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TEAS EA Reconciliation Audit – Batch 16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Scope: Remaining 2025 studies reconciled independently across source PDF, Gemini extraction, and stored RoB 2 file. Source-grounded facts take precedence. RoB 2 judgments are result-specific.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Liu et al. 2025 — thoracoscopic lung cancer surgery</w:t>
      </w:r>
    </w:p>
    <w:p w:rsidR="00000000" w:rsidDel="00000000" w:rsidP="00000000" w:rsidRDefault="00000000" w:rsidRPr="00000000" w14:paraId="00000006">
      <w:pPr>
        <w:rPr/>
      </w:pPr>
      <w:r w:rsidDel="00000000" w:rsidR="00000000" w:rsidRPr="00000000">
        <w:rPr>
          <w:rtl w:val="0"/>
        </w:rPr>
        <w:t xml:space="preserve">Source: pdf.pdf</w:t>
      </w:r>
    </w:p>
    <w:p w:rsidR="00000000" w:rsidDel="00000000" w:rsidP="00000000" w:rsidRDefault="00000000" w:rsidRPr="00000000" w14:paraId="00000007">
      <w:pPr>
        <w:rPr/>
      </w:pPr>
      <w:r w:rsidDel="00000000" w:rsidR="00000000" w:rsidRPr="00000000">
        <w:rPr>
          <w:rtl w:val="0"/>
        </w:rPr>
        <w:t xml:space="preserve">Source/Gemini status: Broadly concordant. Correct trial is an 80-patient randomized study of single-port thoracoscopic lung cancer surgery; 77 were analyzed (38 EA, 39 control) after three post-randomization discontinuations. Active invasive EA used PC6 and SP4 on the surgical side, 2/100 Hz, usually 8–12 mA, beginning 30 min before induction and continuing to the end of surgery, with another 30-min session at 24 h. The primary outcome was new-onset SVT within 24 h. Objective postoperative sleep was measured with an ambulatory sleep recorder; first-night total sleep time was 209.5 [73.8–261.5] min in EA versus 119 [48–193] min in control, P=0.02. The exact electrical-current status of the non-acupoint control procedure is insufficiently described: Insufficient information / not reported.</w:t>
      </w:r>
    </w:p>
    <w:p w:rsidR="00000000" w:rsidDel="00000000" w:rsidP="00000000" w:rsidRDefault="00000000" w:rsidRPr="00000000" w14:paraId="00000008">
      <w:pPr>
        <w:rPr/>
      </w:pPr>
      <w:r w:rsidDel="00000000" w:rsidR="00000000" w:rsidRPr="00000000">
        <w:rPr>
          <w:rtl w:val="0"/>
        </w:rPr>
        <w:t xml:space="preserve">RoB status: INVALID — COMPLETE REPLACEMENT REQUIRED.</w:t>
      </w:r>
    </w:p>
    <w:p w:rsidR="00000000" w:rsidDel="00000000" w:rsidP="00000000" w:rsidRDefault="00000000" w:rsidRPr="00000000" w14:paraId="00000009">
      <w:pPr>
        <w:rPr/>
      </w:pPr>
      <w:r w:rsidDel="00000000" w:rsidR="00000000" w:rsidRPr="00000000">
        <w:rPr>
          <w:rtl w:val="0"/>
        </w:rPr>
        <w:t xml:space="preserve">Major RoB errors: wrong author list/article number; changes sample to 120/120; changes intervention to bilateral PC6/HT7/BL15 on POD1–3 evenings; invents non-penetrating no-current sham; substitutes an Athens Insomnia Scale outcome that the source did not use; fabricates AIS 5.8 ± 1.6 vs 8.9 ± 2.1 and arrhythmia 8/60 vs 20/60; falsely claims full ITT and no missing outcomes.</w:t>
      </w:r>
    </w:p>
    <w:p w:rsidR="00000000" w:rsidDel="00000000" w:rsidP="00000000" w:rsidRDefault="00000000" w:rsidRPr="00000000" w14:paraId="0000000A">
      <w:pPr>
        <w:rPr/>
      </w:pPr>
      <w:r w:rsidDel="00000000" w:rsidR="00000000" w:rsidRPr="00000000">
        <w:rPr>
          <w:rtl w:val="0"/>
        </w:rPr>
        <w:t xml:space="preserve">Reconciliation decision: Retain source-grounded extraction/Gemini data. Discard the stored RoB and redo the assessment for the chosen objective sleep result or SVT result, explicitly considering the three excluded randomized patients and ambiguity of the control intervention.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Huang et al. 2025 — laparoscopic hysterectomy gastrointestinal recovery</w:t>
      </w:r>
    </w:p>
    <w:p w:rsidR="00000000" w:rsidDel="00000000" w:rsidP="00000000" w:rsidRDefault="00000000" w:rsidRPr="00000000" w14:paraId="0000000D">
      <w:pPr>
        <w:rPr/>
      </w:pPr>
      <w:r w:rsidDel="00000000" w:rsidR="00000000" w:rsidRPr="00000000">
        <w:rPr>
          <w:rtl w:val="0"/>
        </w:rPr>
        <w:t xml:space="preserve">Source: covidence_131_verified.pdf</w:t>
      </w:r>
    </w:p>
    <w:p w:rsidR="00000000" w:rsidDel="00000000" w:rsidP="00000000" w:rsidRDefault="00000000" w:rsidRPr="00000000" w14:paraId="0000000E">
      <w:pPr>
        <w:rPr/>
      </w:pPr>
      <w:r w:rsidDel="00000000" w:rsidR="00000000" w:rsidRPr="00000000">
        <w:rPr>
          <w:rtl w:val="0"/>
        </w:rPr>
        <w:t xml:space="preserve">Source/Gemini status: Broadly concordant. Correct trial randomized 101 women (51 EA, 50 standard care) and analyzed 88 (43 EA, 45 control) after 13 post-randomization exclusions. It was a two-arm postoperative invasive EA-versus-standard-care trial with no sham procedure. EA was delivered at bilateral ST36/ST37/ST39, 2 Hz, 0.5–2.0 mA, in three 30-min sessions from 3–5 h after surgery through POD1. Co-primary outcomes were first flatus 36.4 ± 8.0 vs 42.2 ± 8.5 h and first defecation 46.0 ± 8.0 vs 51.3 ± 9.4 h. PCA drug/composition and quantitative postoperative opioid consumption were not reported. Although the article calls patients blinded, true treatment blinding is not credible because the control received standard care without sham EA.</w:t>
      </w:r>
    </w:p>
    <w:p w:rsidR="00000000" w:rsidDel="00000000" w:rsidP="00000000" w:rsidRDefault="00000000" w:rsidRPr="00000000" w14:paraId="0000000F">
      <w:pPr>
        <w:rPr/>
      </w:pPr>
      <w:r w:rsidDel="00000000" w:rsidR="00000000" w:rsidRPr="00000000">
        <w:rPr>
          <w:rtl w:val="0"/>
        </w:rPr>
        <w:t xml:space="preserve">RoB status: INVALID — COMPLETE REPLACEMENT REQUIRED.</w:t>
      </w:r>
    </w:p>
    <w:p w:rsidR="00000000" w:rsidDel="00000000" w:rsidP="00000000" w:rsidRDefault="00000000" w:rsidRPr="00000000" w14:paraId="00000010">
      <w:pPr>
        <w:rPr/>
      </w:pPr>
      <w:r w:rsidDel="00000000" w:rsidR="00000000" w:rsidRPr="00000000">
        <w:rPr>
          <w:rtl w:val="0"/>
        </w:rPr>
        <w:t xml:space="preserve">Major RoB errors: turns the study into a three-arm colorectal-cancer TEAS/sham/control trial; changes randomized sample to 129 with 43/43/43 complete analysis; changes intervention modality/acupoints/frequency; invents a no-current sham arm; claims no registration despite MR-51-24-038798; fabricates 24-h sufentanil values 32.4 ± 5.8, 44.6 ± 6.9 and 58.2 ± 8.1 µg; falsely claims 100% ITT and zero missing data.</w:t>
      </w:r>
    </w:p>
    <w:p w:rsidR="00000000" w:rsidDel="00000000" w:rsidP="00000000" w:rsidRDefault="00000000" w:rsidRPr="00000000" w14:paraId="00000011">
      <w:pPr>
        <w:rPr/>
      </w:pPr>
      <w:r w:rsidDel="00000000" w:rsidR="00000000" w:rsidRPr="00000000">
        <w:rPr>
          <w:rtl w:val="0"/>
        </w:rPr>
        <w:t xml:space="preserve">Reconciliation decision: Retain source-grounded extraction/Gemini data. Discard the RoB. Reassess a specified gastrointestinal-recovery result using the actual two-arm design, the substantial post-randomization exclusions, and the open treatment contrast for patient-reported outcomes.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 Zhou et al. 2025 — PACU TEAS after gynecological laparoscopy</w:t>
      </w:r>
    </w:p>
    <w:p w:rsidR="00000000" w:rsidDel="00000000" w:rsidP="00000000" w:rsidRDefault="00000000" w:rsidRPr="00000000" w14:paraId="00000014">
      <w:pPr>
        <w:rPr/>
      </w:pPr>
      <w:r w:rsidDel="00000000" w:rsidR="00000000" w:rsidRPr="00000000">
        <w:rPr>
          <w:rtl w:val="0"/>
        </w:rPr>
        <w:t xml:space="preserve">Source: 105119.pdf</w:t>
      </w:r>
    </w:p>
    <w:p w:rsidR="00000000" w:rsidDel="00000000" w:rsidP="00000000" w:rsidRDefault="00000000" w:rsidRPr="00000000" w14:paraId="00000015">
      <w:pPr>
        <w:rPr/>
      </w:pPr>
      <w:r w:rsidDel="00000000" w:rsidR="00000000" w:rsidRPr="00000000">
        <w:rPr>
          <w:rtl w:val="0"/>
        </w:rPr>
        <w:t xml:space="preserve">Source/Gemini status: Broadly concordant. Correct trial randomized 100 patients and analyzed 97 (48 TEAS, 49 sham); three randomized participants withdrew and were excluded. Therapeutic TEAS was a single 30-min PACU session at bilateral LI4/PC6/ST36/SP6 using 2/10 Hz and 10–15 mA. A pre-induction procedure only calibrated the optimal stimulation intensity and was not the therapeutic session. POD1 QoR-15 was 112.00 ± 10.67 vs 107.62 ± 10.27, P=0.042. The no-current sham used identical acupoints/setup. Formal success of sensory blinding was not reported, and the 10–15 mA active De Qi stimulus could be perceptible.</w:t>
      </w:r>
    </w:p>
    <w:p w:rsidR="00000000" w:rsidDel="00000000" w:rsidP="00000000" w:rsidRDefault="00000000" w:rsidRPr="00000000" w14:paraId="00000016">
      <w:pPr>
        <w:rPr/>
      </w:pPr>
      <w:r w:rsidDel="00000000" w:rsidR="00000000" w:rsidRPr="00000000">
        <w:rPr>
          <w:rtl w:val="0"/>
        </w:rPr>
        <w:t xml:space="preserve">RoB status: INVALID — COMPLETE REPLACEMENT REQUIRED.</w:t>
      </w:r>
    </w:p>
    <w:p w:rsidR="00000000" w:rsidDel="00000000" w:rsidP="00000000" w:rsidRDefault="00000000" w:rsidRPr="00000000" w14:paraId="00000017">
      <w:pPr>
        <w:rPr/>
      </w:pPr>
      <w:r w:rsidDel="00000000" w:rsidR="00000000" w:rsidRPr="00000000">
        <w:rPr>
          <w:rtl w:val="0"/>
        </w:rPr>
        <w:t xml:space="preserve">Major RoB errors: changes citation/journal/pages; changes analyzed sample from 48/49 to 50/50; omits SP6; changes stimulation from 2/10 Hz to 2/100 Hz and intensity range; invents a blinding-index result; fabricates POD1 QoR-15 134.8 ± 6.2 vs 126.5 ± 7.4; falsely claims all 100 were analyzed with complete outcome data.</w:t>
      </w:r>
    </w:p>
    <w:p w:rsidR="00000000" w:rsidDel="00000000" w:rsidP="00000000" w:rsidRDefault="00000000" w:rsidRPr="00000000" w14:paraId="00000018">
      <w:pPr>
        <w:rPr/>
      </w:pPr>
      <w:r w:rsidDel="00000000" w:rsidR="00000000" w:rsidRPr="00000000">
        <w:rPr>
          <w:rtl w:val="0"/>
        </w:rPr>
        <w:t xml:space="preserve">Reconciliation decision: Retain source-grounded extraction/Gemini data. Discard the RoB and redo RoB 2 for POD1 QoR-15, with specific attention to three excluded randomized participants and potential participant awareness for this patient-reported outcome.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4. Long et al. 2025 — hip fracture neurocognitive outcome</w:t>
      </w:r>
    </w:p>
    <w:p w:rsidR="00000000" w:rsidDel="00000000" w:rsidP="00000000" w:rsidRDefault="00000000" w:rsidRPr="00000000" w14:paraId="0000001B">
      <w:pPr>
        <w:rPr/>
      </w:pPr>
      <w:r w:rsidDel="00000000" w:rsidR="00000000" w:rsidRPr="00000000">
        <w:rPr>
          <w:rtl w:val="0"/>
        </w:rPr>
        <w:t xml:space="preserve">Source: 1-s2.0-S0020138325005200.pdf</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Source/Gemini status: Broadly concordant with important source-level inconsistencies retained. The study enrolled/randomized 60 elderly hip-fracture patients (30/group planned) and analyzed 53 (27 active, 26 control) after seven exclusions/losses; the source does not clearly identify the original randomized groups of all seven excluded patients. Allocation concealment is Insufficient information / not reported. The paper calls the trial double-masked/double-blind but does not adequately describe participant/outcome-assessor masking. The intervention is most consistent with non-invasive TEAS/electrical acupoint stimulation at GV20, bilateral PC6/ST36/SP6, 2/100 Hz, 30 min before anesthesia and 30 min in PACU after recovery score ≥9; control electrodes were placed at the same acupoints without current. PND was defined as an MMSE decrease ≥2 points. Published PND percentages/cell counts are internally inconsistent with the final 27/26 denominators (eg, POD1 7 cases reported as 25.0% and 14 cases as 56.0%; POD3 4 as 14.3% and 12 as 48.0%), so the discrepancy must not be silently corrected.</w:t>
      </w:r>
    </w:p>
    <w:p w:rsidR="00000000" w:rsidDel="00000000" w:rsidP="00000000" w:rsidRDefault="00000000" w:rsidRPr="00000000" w14:paraId="0000001D">
      <w:pPr>
        <w:rPr/>
      </w:pPr>
      <w:r w:rsidDel="00000000" w:rsidR="00000000" w:rsidRPr="00000000">
        <w:rPr>
          <w:rtl w:val="0"/>
        </w:rPr>
        <w:t xml:space="preserve">RoB status: INVALID — COMPLETE REPLACEMENT REQUIRED.</w:t>
      </w:r>
    </w:p>
    <w:p w:rsidR="00000000" w:rsidDel="00000000" w:rsidP="00000000" w:rsidRDefault="00000000" w:rsidRPr="00000000" w14:paraId="0000001E">
      <w:pPr>
        <w:rPr/>
      </w:pPr>
      <w:r w:rsidDel="00000000" w:rsidR="00000000" w:rsidRPr="00000000">
        <w:rPr>
          <w:rtl w:val="0"/>
        </w:rPr>
        <w:t xml:space="preserve">Major RoB errors: changes the article identifier; invents 160 randomized/160 analyzed; changes anesthesia to spinal or general; changes intervention to GV20/GV29/ST36 with POD1–3 sessions; invents non-penetrating off-acupoint sham, successful blinding questionnaire and allocation concealment; changes PND measurement to 3D-CAM plus MMSE twice daily; fabricates cumulative PND 11/80 vs 24/80; falsely claims complete ITT and zero missing data.</w:t>
      </w:r>
    </w:p>
    <w:p w:rsidR="00000000" w:rsidDel="00000000" w:rsidP="00000000" w:rsidRDefault="00000000" w:rsidRPr="00000000" w14:paraId="0000001F">
      <w:pPr>
        <w:rPr/>
      </w:pPr>
      <w:r w:rsidDel="00000000" w:rsidR="00000000" w:rsidRPr="00000000">
        <w:rPr>
          <w:rtl w:val="0"/>
        </w:rPr>
        <w:t xml:space="preserve">Reconciliation decision: Retain source-grounded extraction/Gemini data while preserving the publication’s denominator inconsistencies. Discard the stored RoB and redo RoB 2 for a clearly specified PND timepoint (eg POD3), with Domain 1, missing outcome data, masking, and result-selection judgments based only on what is explicitly reported.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Batch 16 summary</w:t>
      </w:r>
    </w:p>
    <w:p w:rsidR="00000000" w:rsidDel="00000000" w:rsidP="00000000" w:rsidRDefault="00000000" w:rsidRPr="00000000" w14:paraId="00000022">
      <w:pPr>
        <w:rPr/>
      </w:pPr>
      <w:r w:rsidDel="00000000" w:rsidR="00000000" w:rsidRPr="00000000">
        <w:rPr>
          <w:rtl w:val="0"/>
        </w:rPr>
        <w:t xml:space="preserve">- Studies reviewed: 4</w:t>
      </w:r>
    </w:p>
    <w:p w:rsidR="00000000" w:rsidDel="00000000" w:rsidP="00000000" w:rsidRDefault="00000000" w:rsidRPr="00000000" w14:paraId="00000023">
      <w:pPr>
        <w:rPr/>
      </w:pPr>
      <w:r w:rsidDel="00000000" w:rsidR="00000000" w:rsidRPr="00000000">
        <w:rPr>
          <w:rtl w:val="0"/>
        </w:rPr>
        <w:t xml:space="preserve">- Source/Gemini broadly concordant: 4/4</w:t>
      </w:r>
    </w:p>
    <w:p w:rsidR="00000000" w:rsidDel="00000000" w:rsidP="00000000" w:rsidRDefault="00000000" w:rsidRPr="00000000" w14:paraId="00000024">
      <w:pPr>
        <w:rPr/>
      </w:pPr>
      <w:r w:rsidDel="00000000" w:rsidR="00000000" w:rsidRPr="00000000">
        <w:rPr>
          <w:rtl w:val="0"/>
        </w:rPr>
        <w:t xml:space="preserve">- Existing RoB files requiring complete replacement: 4/4</w:t>
      </w:r>
    </w:p>
    <w:p w:rsidR="00000000" w:rsidDel="00000000" w:rsidP="00000000" w:rsidRDefault="00000000" w:rsidRPr="00000000" w14:paraId="00000025">
      <w:pPr>
        <w:rPr/>
      </w:pPr>
      <w:r w:rsidDel="00000000" w:rsidR="00000000" w:rsidRPr="00000000">
        <w:rPr>
          <w:rtl w:val="0"/>
        </w:rPr>
        <w:t xml:space="preserve">- Salvageable stored RoB files in this batch: 0/4</w:t>
      </w:r>
    </w:p>
    <w:p w:rsidR="00000000" w:rsidDel="00000000" w:rsidP="00000000" w:rsidRDefault="00000000" w:rsidRPr="00000000" w14:paraId="00000026">
      <w:pPr>
        <w:rPr/>
      </w:pPr>
      <w:r w:rsidDel="00000000" w:rsidR="00000000" w:rsidRPr="00000000">
        <w:rPr>
          <w:rtl w:val="0"/>
        </w:rPr>
        <w:t xml:space="preserve">- 2025 reconciliation status: complete for the seven identified 2025 studies (Zhang, Zheng, Wu, Liu, Huang, Zhou, Long).</w:t>
      </w:r>
    </w:p>
    <w:p w:rsidR="00000000" w:rsidDel="00000000" w:rsidP="00000000" w:rsidRDefault="00000000" w:rsidRPr="00000000" w14:paraId="00000027">
      <w:pPr>
        <w:rPr/>
      </w:pPr>
      <w:r w:rsidDel="00000000" w:rsidR="00000000" w:rsidRPr="00000000">
        <w:rPr>
          <w:rtl w:val="0"/>
        </w:rPr>
        <w:t xml:space="preserve">- Recurring RoB failure mode remains severe identity-preserving fabrication: derivative files often retain the correct source filename and trial-registration number while inventing study population, sample size, intervention protocol, comparator, outcome instrument, numerical results, and methodological details.</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