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Reconciliation Audit – Batch 17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 First 2026 reconciliation group. Each study was checked independently across the source PDF, the source-grounded/Gemini extraction, and the stored RoB 2 record. Source facts take precedence and publication inconsistencies are preserved rather than silently repaired.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Jiang et al. 2026 — gastrointestinal recovery after non-gastrointestinal laparoscopy</w:t>
      </w:r>
    </w:p>
    <w:p w:rsidR="00000000" w:rsidDel="00000000" w:rsidP="00000000" w:rsidRDefault="00000000" w:rsidRPr="00000000" w14:paraId="00000006">
      <w:pPr>
        <w:rPr/>
      </w:pPr>
      <w:r w:rsidDel="00000000" w:rsidR="00000000" w:rsidRPr="00000000">
        <w:rPr>
          <w:rtl w:val="0"/>
        </w:rPr>
        <w:t xml:space="preserve">Source: study_4_Jiang_2026.pdf</w:t>
      </w:r>
    </w:p>
    <w:p w:rsidR="00000000" w:rsidDel="00000000" w:rsidP="00000000" w:rsidRDefault="00000000" w:rsidRPr="00000000" w14:paraId="00000007">
      <w:pPr>
        <w:rPr/>
      </w:pPr>
      <w:r w:rsidDel="00000000" w:rsidR="00000000" w:rsidRPr="00000000">
        <w:rPr>
          <w:rtl w:val="0"/>
        </w:rPr>
        <w:t xml:space="preserve">Source/Gemini status: Broadly concordant. Correct trial randomized 614 participants (308 TEAS, 306 sham); 593 received allocated intervention and 587 were included in the per-protocol analysis (294 vs 293). The paper’s additional “ITT” analysis of first flatus uses 296 vs 297 and is therefore better characterized as modified ITT rather than all randomized participants. TEAS used bilateral ST36, PC6 and LI4, 2/10 Hz dense-disperse stimulation at maximum tolerated intensity from 30 min before induction through surgery. Sham used the same acupoints with disconnected output/no current. Primary per-protocol first-flatus result: 21.5 (19.0–23.5) vs 23.5 (21.0–26.0) h, P&lt;0.001. The publication has several internal denominator inconsistencies in baseline sex/ASA values.</w:t>
      </w:r>
    </w:p>
    <w:p w:rsidR="00000000" w:rsidDel="00000000" w:rsidP="00000000" w:rsidRDefault="00000000" w:rsidRPr="00000000" w14:paraId="00000008">
      <w:pPr>
        <w:rPr/>
      </w:pPr>
      <w:r w:rsidDel="00000000" w:rsidR="00000000" w:rsidRPr="00000000">
        <w:rPr>
          <w:rtl w:val="0"/>
        </w:rPr>
        <w:t xml:space="preserve">RoB status: INVALID — COMPLETE REPLACEMENT REQUIRED.</w:t>
      </w:r>
    </w:p>
    <w:p w:rsidR="00000000" w:rsidDel="00000000" w:rsidP="00000000" w:rsidRDefault="00000000" w:rsidRPr="00000000" w14:paraId="00000009">
      <w:pPr>
        <w:rPr/>
      </w:pPr>
      <w:r w:rsidDel="00000000" w:rsidR="00000000" w:rsidRPr="00000000">
        <w:rPr>
          <w:rtl w:val="0"/>
        </w:rPr>
        <w:t xml:space="preserve">Major RoB errors: changes article number from 102076 to 101890; treats 587 as the randomized population and as 100% ITT; omits LI4; changes 2/10 Hz to 2/100 Hz and adds unsupported 6–15 mA; changes sham first-flatus median from 23.5 to 27.0 h and alters the HR/CI; falsely claims complete data for all randomized participants.</w:t>
      </w:r>
    </w:p>
    <w:p w:rsidR="00000000" w:rsidDel="00000000" w:rsidP="00000000" w:rsidRDefault="00000000" w:rsidRPr="00000000" w14:paraId="0000000A">
      <w:pPr>
        <w:rPr/>
      </w:pPr>
      <w:r w:rsidDel="00000000" w:rsidR="00000000" w:rsidRPr="00000000">
        <w:rPr>
          <w:rtl w:val="0"/>
        </w:rPr>
        <w:t xml:space="preserve">Reconciliation decision: Retain source-grounded extraction/Gemini data with the reported denominator caveats. Discard the stored RoB and redo RoB 2 for the specified first-flatus result, explicitly distinguishing randomized, treatment-received, mITT-type, and per-protocol populations.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Ma et al. 2026 — breast cancer patients with preoperative sleep disturbance</w:t>
      </w:r>
    </w:p>
    <w:p w:rsidR="00000000" w:rsidDel="00000000" w:rsidP="00000000" w:rsidRDefault="00000000" w:rsidRPr="00000000" w14:paraId="0000000D">
      <w:pPr>
        <w:rPr/>
      </w:pPr>
      <w:r w:rsidDel="00000000" w:rsidR="00000000" w:rsidRPr="00000000">
        <w:rPr>
          <w:rtl w:val="0"/>
        </w:rPr>
        <w:t xml:space="preserve">Source: 117210.pdf</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Source/Gemini status: Broadly concordant. This is a partially randomized trial. Group C (PSQI&lt;6; n=26 analyzed) is a non-randomized sleep-healthy reference group. Only patients with PSQI≥6 were randomized: Group S no-TEAS 17 randomized/16 analyzed and Group T TEAS 18 randomized/17 analyzed. Allocation concealment was explicitly not feasible; participants were not blinded; outcome assessors were blinded; there was no sham intervention. TEAS was one 30-min pre-anesthesia session using HANS-200A, 2/100 Hz, 8–12 mA, with asymmetric placement: left LI4+HT7 and right LI4+PC6. Exact postoperative opioid consumption is NR/not extractable. The randomized treatment effect is Group T versus Group S only.</w:t>
      </w:r>
    </w:p>
    <w:p w:rsidR="00000000" w:rsidDel="00000000" w:rsidP="00000000" w:rsidRDefault="00000000" w:rsidRPr="00000000" w14:paraId="0000000F">
      <w:pPr>
        <w:rPr/>
      </w:pPr>
      <w:r w:rsidDel="00000000" w:rsidR="00000000" w:rsidRPr="00000000">
        <w:rPr>
          <w:rtl w:val="0"/>
        </w:rPr>
        <w:t xml:space="preserve">RoB status: INVALID — COMPLETE REPLACEMENT REQUIRED.</w:t>
      </w:r>
    </w:p>
    <w:p w:rsidR="00000000" w:rsidDel="00000000" w:rsidP="00000000" w:rsidRDefault="00000000" w:rsidRPr="00000000" w14:paraId="00000010">
      <w:pPr>
        <w:rPr/>
      </w:pPr>
      <w:r w:rsidDel="00000000" w:rsidR="00000000" w:rsidRPr="00000000">
        <w:rPr>
          <w:rtl w:val="0"/>
        </w:rPr>
        <w:t xml:space="preserve">Major RoB errors: changes population/surgery to laparoscopic cholecystectomy; converts the partially randomized design into a conventional 72-patient 36/36 sham-controlled RCT; invents sequential opaque-envelope concealment despite the source stating concealment was not feasible; changes acupoints and creates a sham arm; fabricates 24-h VAS means and opioid/GI outcomes; falsely claims complete ITT and no missing data.</w:t>
      </w:r>
    </w:p>
    <w:p w:rsidR="00000000" w:rsidDel="00000000" w:rsidP="00000000" w:rsidRDefault="00000000" w:rsidRPr="00000000" w14:paraId="00000011">
      <w:pPr>
        <w:rPr/>
      </w:pPr>
      <w:r w:rsidDel="00000000" w:rsidR="00000000" w:rsidRPr="00000000">
        <w:rPr>
          <w:rtl w:val="0"/>
        </w:rPr>
        <w:t xml:space="preserve">Reconciliation decision: Retain source-grounded extraction/Gemini data. Discard the stored RoB and redo RoB 2 only for the randomized Group T versus Group S result at a clearly specified pain or AIS timepoint. Comparisons involving Group C must not be treated as randomized effects.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He (Shan) et al. 2026 — intraoperative PC6 TEAS during hepatectomy (JIS)</w:t>
      </w:r>
    </w:p>
    <w:p w:rsidR="00000000" w:rsidDel="00000000" w:rsidP="00000000" w:rsidRDefault="00000000" w:rsidRPr="00000000" w14:paraId="00000014">
      <w:pPr>
        <w:rPr/>
      </w:pPr>
      <w:r w:rsidDel="00000000" w:rsidR="00000000" w:rsidRPr="00000000">
        <w:rPr>
          <w:rtl w:val="0"/>
        </w:rPr>
        <w:t xml:space="preserve">Source: covidence_25_verified.pdf</w:t>
      </w:r>
    </w:p>
    <w:p w:rsidR="00000000" w:rsidDel="00000000" w:rsidP="00000000" w:rsidRDefault="00000000" w:rsidRPr="00000000" w14:paraId="00000015">
      <w:pPr>
        <w:rPr/>
      </w:pPr>
      <w:r w:rsidDel="00000000" w:rsidR="00000000" w:rsidRPr="00000000">
        <w:rPr>
          <w:rtl w:val="0"/>
        </w:rPr>
        <w:t xml:space="preserve">Source/Gemini status: Broadly concordant, including supplement-backed details. Correct trial is a three-center prospective double-blind hepatectomy trial, NCT05396716. 161 were randomized (81 TEAS, 80 control); 159 entered mITT (80 vs 79); PP analysis included 76 vs 77. Secure web-based permuted-block randomization was stratified by center. TEAS used bilateral PC6 only, alternating 2 and 10 Hz, from immediately after anesthesia induction through surgery. Control electrodes were placed identically but remained inactive. Primary 24-h PONV was 19/80 (23.8%) vs 21/79 (26.6%), OR 0.86 (95% CI 0.42–1.76), P=0.68. No significant reduction in PONV was demonstrated. Supplement-backed extraction reports no significant 24- or 48-h morphine-equivalent difference.</w:t>
      </w:r>
    </w:p>
    <w:p w:rsidR="00000000" w:rsidDel="00000000" w:rsidP="00000000" w:rsidRDefault="00000000" w:rsidRPr="00000000" w14:paraId="00000016">
      <w:pPr>
        <w:rPr/>
      </w:pPr>
      <w:r w:rsidDel="00000000" w:rsidR="00000000" w:rsidRPr="00000000">
        <w:rPr>
          <w:rtl w:val="0"/>
        </w:rPr>
        <w:t xml:space="preserve">RoB status: INVALID — COMPLETE REPLACEMENT REQUIRED.</w:t>
      </w:r>
    </w:p>
    <w:p w:rsidR="00000000" w:rsidDel="00000000" w:rsidP="00000000" w:rsidRDefault="00000000" w:rsidRPr="00000000" w14:paraId="00000017">
      <w:pPr>
        <w:rPr/>
      </w:pPr>
      <w:r w:rsidDel="00000000" w:rsidR="00000000" w:rsidRPr="00000000">
        <w:rPr>
          <w:rtl w:val="0"/>
        </w:rPr>
        <w:t xml:space="preserve">Major RoB errors: turns hepatectomy into laparoscopic colorectal surgery; changes bilateral PC6 to ST36/ST37; changes stimulation parameters; changes randomized/analysis populations to 158/158; invents SNOSE randomization instead of the secure web system; replaces the PONV trial with a fabricated first-flatus outcome of 44.8 ± 9.8 vs 56.2 ± 12.1 h; falsely claims 100% ITT and complete gastrointestinal follow-up.</w:t>
      </w:r>
    </w:p>
    <w:p w:rsidR="00000000" w:rsidDel="00000000" w:rsidP="00000000" w:rsidRDefault="00000000" w:rsidRPr="00000000" w14:paraId="00000018">
      <w:pPr>
        <w:rPr/>
      </w:pPr>
      <w:r w:rsidDel="00000000" w:rsidR="00000000" w:rsidRPr="00000000">
        <w:rPr>
          <w:rtl w:val="0"/>
        </w:rPr>
        <w:t xml:space="preserve">Reconciliation decision: Retain the revised source/supplement-grounded extraction and Gemini data. Discard the RoB and redo RoB 2 for the actual 24-h PONV mITT result, with sensitivity to the two randomized participants omitted from mITT and the prespecified PP sensitivity analysis.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 He (Bi-Mei) et al. 2026 — EA plus flurbiprofen after breast cancer surgery (WJCO)</w:t>
      </w:r>
    </w:p>
    <w:p w:rsidR="00000000" w:rsidDel="00000000" w:rsidP="00000000" w:rsidRDefault="00000000" w:rsidRPr="00000000" w14:paraId="0000001B">
      <w:pPr>
        <w:rPr/>
      </w:pPr>
      <w:r w:rsidDel="00000000" w:rsidR="00000000" w:rsidRPr="00000000">
        <w:rPr>
          <w:rtl w:val="0"/>
        </w:rPr>
        <w:t xml:space="preserve">Source: covidence_41_verified.pdf</w:t>
      </w:r>
    </w:p>
    <w:p w:rsidR="00000000" w:rsidDel="00000000" w:rsidP="00000000" w:rsidRDefault="00000000" w:rsidRPr="00000000" w14:paraId="0000001C">
      <w:pPr>
        <w:rPr/>
      </w:pPr>
      <w:r w:rsidDel="00000000" w:rsidR="00000000" w:rsidRPr="00000000">
        <w:rPr>
          <w:rtl w:val="0"/>
        </w:rPr>
        <w:t xml:space="preserve">Source/Gemini status: Broadly concordant. The article is labeled “Case Control Study”/STROBE by the journal but Methods report computer-generated variable-block randomization of 130 patients, 65/65, with all 130 analyzed. Allocation concealment is Insufficient information / not reported. Intervention was invasive EA at ST36 and SP6, 2/10 Hz, beginning 30 min before induction and continuing through surgery. Control used shallow puncture 0.5 cm from the true points connected to an inactive stimulator. Primary outcome was moderate-to-severe movement-evoked pain (VAS&gt;4) at 24 h: 32/65 EA vs 42/65 control. Published 24-h VAS values were movement 2.862 ± 0.233 vs 3.954 ± 0.233 and rest 1.789 ± 0.174 vs 2.692 ± 0.174. Rescue morphine was permitted but total rescue opioid consumption was explicitly not recorded or compared. Table 1 contains irreconcilable surgical-procedure counts; preserve these as source inconsistencies.</w:t>
      </w:r>
    </w:p>
    <w:p w:rsidR="00000000" w:rsidDel="00000000" w:rsidP="00000000" w:rsidRDefault="00000000" w:rsidRPr="00000000" w14:paraId="0000001D">
      <w:pPr>
        <w:rPr/>
      </w:pPr>
      <w:r w:rsidDel="00000000" w:rsidR="00000000" w:rsidRPr="00000000">
        <w:rPr>
          <w:rtl w:val="0"/>
        </w:rPr>
        <w:t xml:space="preserve">RoB status: INVALID — COMPLETE REPLACEMENT REQUIRED.</w:t>
      </w:r>
    </w:p>
    <w:p w:rsidR="00000000" w:rsidDel="00000000" w:rsidP="00000000" w:rsidRDefault="00000000" w:rsidRPr="00000000" w14:paraId="0000001E">
      <w:pPr>
        <w:rPr/>
      </w:pPr>
      <w:r w:rsidDel="00000000" w:rsidR="00000000" w:rsidRPr="00000000">
        <w:rPr>
          <w:rtl w:val="0"/>
        </w:rPr>
        <w:t xml:space="preserve">Major RoB errors: changes the article title/authors and population to gastrointestinal cancer; changes invasive EA to TEAS; adds LI4; changes frequency to 2/100 Hz and invents 10–20 mA; creates POD1–2 treatment sessions not in the source; invents sequential opaque-envelope concealment; fabricates 24-h rest VAS 2.2 ± 0.6 vs 3.6 ± 0.8, rescue analgesic reduction and immune/NK outcomes; claims methodological details not supported by the source.</w:t>
      </w:r>
    </w:p>
    <w:p w:rsidR="00000000" w:rsidDel="00000000" w:rsidP="00000000" w:rsidRDefault="00000000" w:rsidRPr="00000000" w14:paraId="0000001F">
      <w:pPr>
        <w:rPr/>
      </w:pPr>
      <w:r w:rsidDel="00000000" w:rsidR="00000000" w:rsidRPr="00000000">
        <w:rPr>
          <w:rtl w:val="0"/>
        </w:rPr>
        <w:t xml:space="preserve">Reconciliation decision: Retain source-grounded extraction/Gemini data. Discard the stored RoB and redo RoB 2 for the chosen 24-h pain result. Domain 1 must treat allocation concealment as Insufficient information / not reported; Domain 5 should reflect lack of prospective registration/protocol evidence rather than invented prespecification.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Batch 17 summary</w:t>
      </w:r>
    </w:p>
    <w:p w:rsidR="00000000" w:rsidDel="00000000" w:rsidP="00000000" w:rsidRDefault="00000000" w:rsidRPr="00000000" w14:paraId="00000022">
      <w:pPr>
        <w:rPr/>
      </w:pPr>
      <w:r w:rsidDel="00000000" w:rsidR="00000000" w:rsidRPr="00000000">
        <w:rPr>
          <w:rtl w:val="0"/>
        </w:rPr>
        <w:t xml:space="preserve">- Studies reviewed: 4 (Jiang, Ma, He-JIS, He-WJCO)</w:t>
      </w:r>
    </w:p>
    <w:p w:rsidR="00000000" w:rsidDel="00000000" w:rsidP="00000000" w:rsidRDefault="00000000" w:rsidRPr="00000000" w14:paraId="00000023">
      <w:pPr>
        <w:rPr/>
      </w:pPr>
      <w:r w:rsidDel="00000000" w:rsidR="00000000" w:rsidRPr="00000000">
        <w:rPr>
          <w:rtl w:val="0"/>
        </w:rPr>
        <w:t xml:space="preserve">- Source/Gemini broadly concordant: 4/4</w:t>
      </w:r>
    </w:p>
    <w:p w:rsidR="00000000" w:rsidDel="00000000" w:rsidP="00000000" w:rsidRDefault="00000000" w:rsidRPr="00000000" w14:paraId="00000024">
      <w:pPr>
        <w:rPr/>
      </w:pPr>
      <w:r w:rsidDel="00000000" w:rsidR="00000000" w:rsidRPr="00000000">
        <w:rPr>
          <w:rtl w:val="0"/>
        </w:rPr>
        <w:t xml:space="preserve">- Existing RoB files requiring complete replacement: 4/4</w:t>
      </w:r>
    </w:p>
    <w:p w:rsidR="00000000" w:rsidDel="00000000" w:rsidP="00000000" w:rsidRDefault="00000000" w:rsidRPr="00000000" w14:paraId="00000025">
      <w:pPr>
        <w:rPr/>
      </w:pPr>
      <w:r w:rsidDel="00000000" w:rsidR="00000000" w:rsidRPr="00000000">
        <w:rPr>
          <w:rtl w:val="0"/>
        </w:rPr>
        <w:t xml:space="preserve">- No RoB in this batch is safe to retain without a fresh result-specific assessment.</w:t>
      </w:r>
    </w:p>
    <w:p w:rsidR="00000000" w:rsidDel="00000000" w:rsidP="00000000" w:rsidRDefault="00000000" w:rsidRPr="00000000" w14:paraId="00000026">
      <w:pPr>
        <w:rPr/>
      </w:pPr>
      <w:r w:rsidDel="00000000" w:rsidR="00000000" w:rsidRPr="00000000">
        <w:rPr>
          <w:rtl w:val="0"/>
        </w:rPr>
        <w:t xml:space="preserve">- Recurring failure mode: source filename or registration number may be correct while population, randomized denominator, intervention, comparator, outcome, and numerical result are replaced or fabricated. Metadata agreement is therefore not evidence of RoB validity.</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