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TEAS EA Reconciliation Audit – Batch 18</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Scope: Remaining identified 2026 records reconciled independently across source PDF, source-grounded/Gemini extraction, and stored RoB 2 derivative. RoB 2 is result-specific. Source facts take precedence; source inconsistencies are retained rather than silently corrected.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Luo et al. 2026 — tympanoplasty / PONV</w:t>
      </w:r>
    </w:p>
    <w:p w:rsidR="00000000" w:rsidDel="00000000" w:rsidP="00000000" w:rsidRDefault="00000000" w:rsidRPr="00000000" w14:paraId="00000006">
      <w:pPr>
        <w:rPr/>
      </w:pPr>
      <w:r w:rsidDel="00000000" w:rsidR="00000000" w:rsidRPr="00000000">
        <w:rPr>
          <w:rtl w:val="0"/>
        </w:rPr>
        <w:t xml:space="preserve">Source: covidence_35_verified.pdf</w:t>
      </w:r>
    </w:p>
    <w:p w:rsidR="00000000" w:rsidDel="00000000" w:rsidP="00000000" w:rsidRDefault="00000000" w:rsidRPr="00000000" w14:paraId="00000007">
      <w:pPr>
        <w:rPr/>
      </w:pPr>
      <w:r w:rsidDel="00000000" w:rsidR="00000000" w:rsidRPr="00000000">
        <w:rPr>
          <w:rtl w:val="0"/>
        </w:rPr>
        <w:t xml:space="preserve">Source/Gemini status: Broadly concordant. Correct trial is a single-center prospective randomized tympanoplasty trial with 277 randomized and all 277 analyzed (138 TEAS, 139 sham). Computer-generated sequence and sequentially numbered opaque sealed envelopes are reported. Active TEAS used bilateral PC6, 2 Hz, starting at 1 mA and titrated within approximately 2–20 mA to tolerable hand tingling, continuing from anesthesia induction to the end of surgery. Sham used identical PC6 electrode placement with the stimulator turned off. All patients received dexamethasone plus palonosetron. Reported 0–48 h outcomes include nausea 24/138 (17.39%) vs 53/139 (38.13%), vomiting 9/138 (6.52%) vs 27/139 (19.42%), and complete response 112/138 (81.16%) vs 83/139 (59.71%). The registry is anonymized in the supplied publication. The trial’s exploratory blinding survey showed correct allocation guesses well above chance (active 77.5%; sham 66.2%), confirming incomplete sensory masking.</w:t>
      </w:r>
    </w:p>
    <w:p w:rsidR="00000000" w:rsidDel="00000000" w:rsidP="00000000" w:rsidRDefault="00000000" w:rsidRPr="00000000" w14:paraId="00000008">
      <w:pPr>
        <w:rPr/>
      </w:pPr>
      <w:r w:rsidDel="00000000" w:rsidR="00000000" w:rsidRPr="00000000">
        <w:rPr>
          <w:rtl w:val="0"/>
        </w:rPr>
        <w:t xml:space="preserve">RoB status: SOURCE-CORRECT / STRUCTURALLY SALVAGEABLE, BUT REQUIRES FRESH RESULT-SPECIFIC RE-ADJUDICATION.</w:t>
      </w:r>
    </w:p>
    <w:p w:rsidR="00000000" w:rsidDel="00000000" w:rsidP="00000000" w:rsidRDefault="00000000" w:rsidRPr="00000000" w14:paraId="00000009">
      <w:pPr>
        <w:rPr/>
      </w:pPr>
      <w:r w:rsidDel="00000000" w:rsidR="00000000" w:rsidRPr="00000000">
        <w:rPr>
          <w:rtl w:val="0"/>
        </w:rPr>
        <w:t xml:space="preserve">RoB strengths: correct study identity, randomized denominator, intervention, comparator and core numerical outcomes; correctly recognizes concerns about sensory blinding and unverifiable registry details.</w:t>
      </w:r>
    </w:p>
    <w:p w:rsidR="00000000" w:rsidDel="00000000" w:rsidP="00000000" w:rsidRDefault="00000000" w:rsidRPr="00000000" w14:paraId="0000000A">
      <w:pPr>
        <w:rPr/>
      </w:pPr>
      <w:r w:rsidDel="00000000" w:rsidR="00000000" w:rsidRPr="00000000">
        <w:rPr>
          <w:rtl w:val="0"/>
        </w:rPr>
        <w:t xml:space="preserve">Required revisions: the intervention anesthesiologist was explicitly unblinded, so delivery-personnel awareness cannot be coded as probably blinded; participant masking was demonstrably imperfect, not merely theoretical; the RoB target must specify the exact result being assessed (eg nausea, vomiting, complete response, or an explicitly reported combined PONV result) rather than treating several distinct results as one vague outcome. For subjective nausea, participant awareness is especially relevant to measurement because the participant is the symptom reporter.</w:t>
      </w:r>
    </w:p>
    <w:p w:rsidR="00000000" w:rsidDel="00000000" w:rsidP="00000000" w:rsidRDefault="00000000" w:rsidRPr="00000000" w14:paraId="0000000B">
      <w:pPr>
        <w:rPr/>
      </w:pPr>
      <w:r w:rsidDel="00000000" w:rsidR="00000000" w:rsidRPr="00000000">
        <w:rPr>
          <w:rtl w:val="0"/>
        </w:rPr>
        <w:t xml:space="preserve">Reconciliation decision: Do not discard the entire RoB record. Rebuild the signaling-question responses from the source while retaining the correct study/result scaffolding.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Liu et al. 2026 — burn wound debridement / preemptive TEAS</w:t>
      </w:r>
    </w:p>
    <w:p w:rsidR="00000000" w:rsidDel="00000000" w:rsidP="00000000" w:rsidRDefault="00000000" w:rsidRPr="00000000" w14:paraId="0000000E">
      <w:pPr>
        <w:rPr/>
      </w:pPr>
      <w:r w:rsidDel="00000000" w:rsidR="00000000" w:rsidRPr="00000000">
        <w:rPr>
          <w:rtl w:val="0"/>
        </w:rPr>
        <w:t xml:space="preserve">Source: covidence_48_verified.pdf</w:t>
      </w:r>
    </w:p>
    <w:p w:rsidR="00000000" w:rsidDel="00000000" w:rsidP="00000000" w:rsidRDefault="00000000" w:rsidRPr="00000000" w14:paraId="0000000F">
      <w:pPr>
        <w:rPr/>
      </w:pPr>
      <w:r w:rsidDel="00000000" w:rsidR="00000000" w:rsidRPr="00000000">
        <w:rPr>
          <w:rtl w:val="0"/>
        </w:rPr>
        <w:t xml:space="preserve">Source/Gemini status: Broadly concordant. Correct trial is Qian Liu et al., Perioperative Medicine 2026;15:21, DOI 10.1186/s13741-026-00656-7, ChiCTR2300078615. The article states the registration was retrospective (14 December 2023). CONSORT shows 88 randomized (44/44), with 86 receiving intervention and analyzed (43/43); the abstract incorrectly describes 86 as randomized. One participant in each arm withdrew before treatment because of redness/itching beneath electrodes. Active TEAS was one 30-min pre-induction session at bilateral LI4, PC6, ST36 and SP6, 2/100 Hz, &lt;10 mA titrated to maximum acceptable intensity. The placebo device had no therapeutic effect, but both active and placebo procedures caused numbness; exact sham electrical output is Insufficient information / not reported. The primary endpoint was intraoperative remifentanil consumption. Results/Figure 4 report 0.70 (0.50–1.10) mg vs 0.90 (0.65–1.25) mg, P=0.039, whereas the abstract reports 0.65 (0.45–1.00) vs 0.90 (0.67–1.23); preserve this discrepancy. Rescue dezocine through POD1 was 3/43 vs 8/43, and nausea-vomiting through POD1 was 7/43 vs 16/43.</w:t>
      </w:r>
    </w:p>
    <w:p w:rsidR="00000000" w:rsidDel="00000000" w:rsidP="00000000" w:rsidRDefault="00000000" w:rsidRPr="00000000" w14:paraId="00000010">
      <w:pPr>
        <w:rPr/>
      </w:pPr>
      <w:r w:rsidDel="00000000" w:rsidR="00000000" w:rsidRPr="00000000">
        <w:rPr>
          <w:rtl w:val="0"/>
        </w:rPr>
        <w:t xml:space="preserve">RoB status: INVALID — COMPLETE REPLACEMENT REQUIRED.</w:t>
      </w:r>
    </w:p>
    <w:p w:rsidR="00000000" w:rsidDel="00000000" w:rsidP="00000000" w:rsidRDefault="00000000" w:rsidRPr="00000000" w14:paraId="00000011">
      <w:pPr>
        <w:rPr/>
      </w:pPr>
      <w:r w:rsidDel="00000000" w:rsidR="00000000" w:rsidRPr="00000000">
        <w:rPr>
          <w:rtl w:val="0"/>
        </w:rPr>
        <w:t xml:space="preserve">Cross-study contamination: the stored file is named `RoB2_Zhou_2026_TimeFlatus_POD1to3.md` but points to this Liu burn-study source/registration. It invents a 102-patient elderly laparoscopic colorectal trial, 51/51 complete analysis, postoperative ST36/ST37/LI4 TEAS twice daily on POD1–3, and a first-flatus result of 46.4 ± 10.2 vs 59.8 ± 12.6 h. None of those core facts describe the source trial. It also incorrectly describes ChiCTR2300078615 as prospectively registered.</w:t>
      </w:r>
    </w:p>
    <w:p w:rsidR="00000000" w:rsidDel="00000000" w:rsidP="00000000" w:rsidRDefault="00000000" w:rsidRPr="00000000" w14:paraId="00000012">
      <w:pPr>
        <w:rPr/>
      </w:pPr>
      <w:r w:rsidDel="00000000" w:rsidR="00000000" w:rsidRPr="00000000">
        <w:rPr>
          <w:rtl w:val="0"/>
        </w:rPr>
        <w:t xml:space="preserve">Reconciliation decision: Discard the misnamed Zhou RoB. Create a fresh RoB 2 assessment for the actual intraoperative remifentanil result (or another explicitly selected result), using 88 randomized/86 analyzed and preserving the retrospective-registration and abstract-versus-results discrepancies.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 Liu et al. 2026 — gastric/esophageal ESD postoperative pain</w:t>
      </w:r>
    </w:p>
    <w:p w:rsidR="00000000" w:rsidDel="00000000" w:rsidP="00000000" w:rsidRDefault="00000000" w:rsidRPr="00000000" w14:paraId="00000015">
      <w:pPr>
        <w:rPr/>
      </w:pPr>
      <w:r w:rsidDel="00000000" w:rsidR="00000000" w:rsidRPr="00000000">
        <w:rPr>
          <w:rtl w:val="0"/>
        </w:rPr>
        <w:t xml:space="preserve">Source: covidence_69_full_article.pdf</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Source/Gemini status: Broadly concordant. Correct trial is Xu-ming Liu et al., Chinese Journal of Integrative Medicine 2026;32(8):720–727, ChiCTR2100052837. 129 participants were randomized (64 TEAS, 65 sham), but only 120 were analyzed (58 vs 62). Post-randomization exclusions were unequal: TEAS 6 (1 conversion to laparotomy, 2 postoperative bleeding, 3 consent withdrawals) versus sham 3 (1 conversion, 1 postoperative bleeding, 1 consent withdrawal). No full ITT sensitivity analysis is reported. TEAS used bilateral LI4, PC6, ST36 and ST37, 2/100 Hz, maximum tolerated intensity, from 30 min before ESD to the end of surgery; sham used off-acupoint electrodes with no current. The anesthesiologist and acupuncturist were unblinded. The true primary result was moderate-to-severe pain (NRS ≥4) within 24 h: 22/58 (37.9%) vs 40/62 (64.5%), P=0.004. Any postoperative morphine use was 19/58 (32.7%) vs 40/62 (64.5%); cumulative morphine dose per patient/group is not reported. At 24 h, NRS was 1.2 ± 1.3 vs 2.8 ± 1.9, P=0.001.</w:t>
      </w:r>
    </w:p>
    <w:p w:rsidR="00000000" w:rsidDel="00000000" w:rsidP="00000000" w:rsidRDefault="00000000" w:rsidRPr="00000000" w14:paraId="00000017">
      <w:pPr>
        <w:rPr/>
      </w:pPr>
      <w:r w:rsidDel="00000000" w:rsidR="00000000" w:rsidRPr="00000000">
        <w:rPr>
          <w:rtl w:val="0"/>
        </w:rPr>
        <w:t xml:space="preserve">RoB status: INVALID — COMPLETE REPLACEMENT REQUIRED.</w:t>
      </w:r>
    </w:p>
    <w:p w:rsidR="00000000" w:rsidDel="00000000" w:rsidP="00000000" w:rsidRDefault="00000000" w:rsidRPr="00000000" w14:paraId="00000018">
      <w:pPr>
        <w:rPr/>
      </w:pPr>
      <w:r w:rsidDel="00000000" w:rsidR="00000000" w:rsidRPr="00000000">
        <w:rPr>
          <w:rtl w:val="0"/>
        </w:rPr>
        <w:t xml:space="preserve">Major RoB errors: falsely treats all 129 randomized participants as analyzed (64/65) and claims 100% complete follow-up; replaces the actual primary result with 8/64 (12.5%) vs 21/65 (32.3%), P=0.007; invents propofol values 184.2 ± 32.5 vs 238.6 ± 41.2 mg; overstates allocation concealment as sequentially numbered opaque envelopes when the source only states an opaque envelope; ignores unequal post-randomization exclusions and complete-case/per-protocol-like analysis.</w:t>
      </w:r>
    </w:p>
    <w:p w:rsidR="00000000" w:rsidDel="00000000" w:rsidP="00000000" w:rsidRDefault="00000000" w:rsidRPr="00000000" w14:paraId="00000019">
      <w:pPr>
        <w:rPr/>
      </w:pPr>
      <w:r w:rsidDel="00000000" w:rsidR="00000000" w:rsidRPr="00000000">
        <w:rPr>
          <w:rtl w:val="0"/>
        </w:rPr>
        <w:t xml:space="preserve">Reconciliation decision: Retain source-grounded extraction/Gemini data. Discard the stored RoB and redo RoB 2 specifically for the 24-h moderate-to-severe pain result, with particular attention to Domain 3, treatment awareness, and the analysis population.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“Zhou 2026” identity check</w:t>
      </w:r>
    </w:p>
    <w:p w:rsidR="00000000" w:rsidDel="00000000" w:rsidP="00000000" w:rsidRDefault="00000000" w:rsidRPr="00000000" w14:paraId="0000001C">
      <w:pPr>
        <w:rPr/>
      </w:pPr>
      <w:r w:rsidDel="00000000" w:rsidR="00000000" w:rsidRPr="00000000">
        <w:rPr>
          <w:rtl w:val="0"/>
        </w:rPr>
        <w:t xml:space="preserve">Drive reconciliation found no independent 2026 Zhou source PDF or source-grounded extraction corresponding to the stored `RoB2_Zhou_2026_TimeFlatus_POD1to3.md`. The only 2026 Zhou RoB located is the cross-contaminated derivative attached to `covidence_48_verified.pdf` and ChiCTR2300078615, which is the Liu burn trial above.</w:t>
      </w:r>
    </w:p>
    <w:p w:rsidR="00000000" w:rsidDel="00000000" w:rsidP="00000000" w:rsidRDefault="00000000" w:rsidRPr="00000000" w14:paraId="0000001D">
      <w:pPr>
        <w:rPr/>
      </w:pPr>
      <w:r w:rsidDel="00000000" w:rsidR="00000000" w:rsidRPr="00000000">
        <w:rPr>
          <w:rtl w:val="0"/>
        </w:rPr>
        <w:t xml:space="preserve">Reconciliation decision: Do not treat “Zhou 2026” as a separate included study on the basis of this RoB file. The derivative should be quarantined/deleted from any master RoB dataset unless a genuine separate Zhou source is later identified.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Batch 18 summary</w:t>
      </w:r>
    </w:p>
    <w:p w:rsidR="00000000" w:rsidDel="00000000" w:rsidP="00000000" w:rsidRDefault="00000000" w:rsidRPr="00000000" w14:paraId="00000020">
      <w:pPr>
        <w:rPr/>
      </w:pPr>
      <w:r w:rsidDel="00000000" w:rsidR="00000000" w:rsidRPr="00000000">
        <w:rPr>
          <w:rtl w:val="0"/>
        </w:rPr>
        <w:t xml:space="preserve">- Genuine studies reconciled: 3 (Luo; Liu-burn; Liu-ESD)</w:t>
      </w:r>
    </w:p>
    <w:p w:rsidR="00000000" w:rsidDel="00000000" w:rsidP="00000000" w:rsidRDefault="00000000" w:rsidRPr="00000000" w14:paraId="00000021">
      <w:pPr>
        <w:rPr/>
      </w:pPr>
      <w:r w:rsidDel="00000000" w:rsidR="00000000" w:rsidRPr="00000000">
        <w:rPr>
          <w:rtl w:val="0"/>
        </w:rPr>
        <w:t xml:space="preserve">- Source/Gemini broadly concordant: 3/3</w:t>
      </w:r>
    </w:p>
    <w:p w:rsidR="00000000" w:rsidDel="00000000" w:rsidP="00000000" w:rsidRDefault="00000000" w:rsidRPr="00000000" w14:paraId="00000022">
      <w:pPr>
        <w:rPr/>
      </w:pPr>
      <w:r w:rsidDel="00000000" w:rsidR="00000000" w:rsidRPr="00000000">
        <w:rPr>
          <w:rtl w:val="0"/>
        </w:rPr>
        <w:t xml:space="preserve">- RoB files requiring complete replacement: 2/3 (Liu-burn; Liu-ESD)</w:t>
      </w:r>
    </w:p>
    <w:p w:rsidR="00000000" w:rsidDel="00000000" w:rsidP="00000000" w:rsidRDefault="00000000" w:rsidRPr="00000000" w14:paraId="00000023">
      <w:pPr>
        <w:rPr/>
      </w:pPr>
      <w:r w:rsidDel="00000000" w:rsidR="00000000" w:rsidRPr="00000000">
        <w:rPr>
          <w:rtl w:val="0"/>
        </w:rPr>
        <w:t xml:space="preserve">- Source-correct RoB structurally salvageable but requiring fresh result-specific adjudication: 1/3 (Luo)</w:t>
      </w:r>
    </w:p>
    <w:p w:rsidR="00000000" w:rsidDel="00000000" w:rsidP="00000000" w:rsidRDefault="00000000" w:rsidRPr="00000000" w14:paraId="00000024">
      <w:pPr>
        <w:rPr/>
      </w:pPr>
      <w:r w:rsidDel="00000000" w:rsidR="00000000" w:rsidRPr="00000000">
        <w:rPr>
          <w:rtl w:val="0"/>
        </w:rPr>
        <w:t xml:space="preserve">- Misnamed/cross-study RoB identity: “Zhou 2026” is not supported as a separate source study and is attached to the Liu burn trial.</w:t>
      </w:r>
    </w:p>
    <w:p w:rsidR="00000000" w:rsidDel="00000000" w:rsidP="00000000" w:rsidRDefault="00000000" w:rsidRPr="00000000" w14:paraId="00000025">
      <w:pPr>
        <w:rPr/>
      </w:pPr>
      <w:r w:rsidDel="00000000" w:rsidR="00000000" w:rsidRPr="00000000">
        <w:rPr>
          <w:rtl w:val="0"/>
        </w:rPr>
        <w:t xml:space="preserve">- Across the 2026 set reviewed so far, Luo is the main exception to the widespread RoB fabrication/cross-study substitution pattern.</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