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Systematic Review – Reconciliation Audit, Batch 19</w:t>
      </w:r>
    </w:p>
    <w:p w:rsidR="00000000" w:rsidDel="00000000" w:rsidP="00000000" w:rsidRDefault="00000000" w:rsidRPr="00000000" w14:paraId="00000002">
      <w:pPr>
        <w:rPr/>
      </w:pPr>
      <w:r w:rsidDel="00000000" w:rsidR="00000000" w:rsidRPr="00000000">
        <w:rPr>
          <w:rtl w:val="0"/>
        </w:rPr>
        <w:t xml:space="preserve">Audit date: 5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Coverage-gap reconciliation after Batches 1–18. Source PDF/full extraction is the authority. RoB filenames are not treated as reliable study identifiers when their content conflicts with the linked source.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Zhu et al. 2022 – Preoperative electroacupuncture for postoperative nausea and vomiting in laparoscopic gynecological surgery: a randomized controlled trial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Overall status: SOURCE EXTRACTION VERIFIED; GEMINI SUBSTANTIALLY VERIFIED; STORED RoB 2 INVALID / WRONG STUDY IDENTITY – FULL REASSESSMENT REQUIRED.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Source truth: Acupuncture in Medicine 2022;40(5):415–424; DOI 10.1177/09645284221076517; ChiCTR-INR-16010035. Single-center four-arm randomized trial in women undergoing laparoscopic gynecological surgery. 413 randomized across Group Pre, Group 30, Group Comb and Group Usual; 400 completed/per-protocol analyzed. The paper separately reports 405 randomized patients who did not convert to open surgery for an ITT analysis of PON/POV incidence, so 413 randomized, 405 non-converted ITT denominator and 400 per-protocol denominator must not be conflated.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 protocol: invasive bilateral PC6 + ST36; dense-disperse 20–100 Hz; 30-min sessions. Group Pre received EA the day before surgery, Group 30 received one session 30 min before surgery, Group Comb received both sessions, and Group Usual received usual care with no EA/sham.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Primary 6–24-h outcomes include nausea and vomiting. Per-protocol event counts: nausea Pre 11/101, 30-min 18/98, Combined 11/100, Usual 27/101; vomiting Pre 5/101, 30-min 8/98, Combined 9/100, Usual 22/101. Movement pain was also assessed; postoperative analgesic rescue was non-opioid flurbiprofen. There is no source-supported 24-h cumulative morphine endpoint.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Stored RoB failure: `RoB2_Jin_2022_MorphineConsumption_24h.md` claims a different 103-patient elderly abdominal-surgery trial, two arms, LI4/ST36 TEAS, postoperative TEAS sessions, sham electrodes, 100% ITT, and 24-h morphine 19.8 ± 5.2 vs 31.4 ± 7.6 mg. Those facts do not describe Zhu 2022 despite the RoB file naming `covidence_381_full_article.pdf`, which is the Zhu source.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Decision: quarantine the Jin-labeled RoB record as cross-contaminated. Retain the Zhu source-grounded extraction/Gemini record. Perform de novo result-specific RoB 2 for the review-selected Zhu outcome/timepoint, preserving all relevant denominators and the no-sham comparator structure.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Li et al. 2022 – Effects of Preoperative Electroacupuncture on Remifentanil-Induced Post-Infusion Hyperalgesia in Patients Undergoing Thyroidectomy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Overall status: SOURCE EXTRACTION VERIFIED; GEMINI SUBSTANTIALLY VERIFIED; STORED RoB 2 MATERIAL/RESULT SUBSTITUTION – FULL REASSESSMENT REQUIRED.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Source truth: Journal of Pain Research 2022;15:1465–1474; DOI 10.2147/JPR.S365587; ChiCTR2100050235. Prospective single-center randomized double-blind EA-versus-sham trial. 80 randomized 40/40; one participant in the EA group declined the procedure after randomization; 79 analyzed (EA 39, sham 40).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EA protocol: bilateral ST36 + PC6 within 24 h before surgery, one 30-min session, dense-disperse 20–100 Hz. Sham was non-invasive sensory simulation at nearby non-acupoints using bent needles and a flashing but non-stimulating device.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Primary outcome was mechanical pain threshold surrounding the incision at 30 min postoperatively. The source reports significantly higher incision mechanical pain thresholds with EA at 30 min and 6 h, but no significant between-group differences at 24 or 48 h. Pain NRS was lower at 30 min and 6 h, not at 24 or 48 h. Neither group required rescue postoperative flurbiprofen.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Stored RoB failure: `RoB2_Li_2022_MechanicalPainThreshold_24h.md` changes the intervention to LI4 + PC6, 2/100 Hz, 1–3 mA, places the EA 30 min before induction rather than within 24 h/day before surgery, assigns the single dropout to the sham group rather than EA, and fabricates a significant 24-h mechanical threshold of 4.88 ± 0.62 vs 3.42 ± 0.58 g plus 24-h sufentanil consumption 16.4 ± 3.2 vs 23.8 ± 4.1 µg. These numerical results are not the supplied source result; the source explicitly states no significant 24-h mechanical-threshold difference.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Decision: discard the stored RoB assessment and reassess RoB 2 de novo for the actual selected result/timepoint. If the review wants a mechanical-threshold result, the source-defined primary 30-min result or another explicitly selected source-supported timepoint must be used. Do not fabricate a 24-h significant result.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Ge et al. 2023 derivative file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Overall status: DUPLICATE DERIVATIVE – NOT A SEPARATE TRIAL.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`Ge_et_al_2023_gemini.md` corresponds to the same Pain and Therapy article already reconciled as Wang et al. 2023: DOI 10.1007/s40122-023-00493-2, ChiCTR2100054971, 88 randomized / 83 analyzed, laparoscopic gastrointestinal tumor surgery, HT7 + PC6 + ST36 TEAS, 2/10 Hz, three perioperative sessions. It should be linked to that existing study-family/publication record and not counted as an additional included trial.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Batch 19 synthesis-critical flags</w:t>
      </w:r>
    </w:p>
    <w:p w:rsidR="00000000" w:rsidDel="00000000" w:rsidP="00000000" w:rsidRDefault="00000000" w:rsidRPr="00000000" w14:paraId="0000002A">
      <w:pPr>
        <w:rPr/>
      </w:pPr>
      <w:r w:rsidDel="00000000" w:rsidR="00000000" w:rsidRPr="00000000">
        <w:rPr>
          <w:rtl w:val="0"/>
        </w:rPr>
        <w:t xml:space="preserve">• Zhu 2022: the Jin-labeled RoB is completely cross-contaminated; source has 413 randomized and four arms, not 103/two arms.</w:t>
      </w:r>
    </w:p>
    <w:p w:rsidR="00000000" w:rsidDel="00000000" w:rsidP="00000000" w:rsidRDefault="00000000" w:rsidRPr="00000000" w14:paraId="0000002B">
      <w:pPr>
        <w:rPr/>
      </w:pPr>
      <w:r w:rsidDel="00000000" w:rsidR="00000000" w:rsidRPr="00000000">
        <w:rPr>
          <w:rtl w:val="0"/>
        </w:rPr>
        <w:t xml:space="preserve">• Li 2022: stored RoB fabricates a significant 24-h mechanical-threshold result and misstates intervention/attrition; source benefit is at 30 min and 6 h.</w:t>
      </w:r>
    </w:p>
    <w:p w:rsidR="00000000" w:rsidDel="00000000" w:rsidP="00000000" w:rsidRDefault="00000000" w:rsidRPr="00000000" w14:paraId="0000002C">
      <w:pPr>
        <w:rPr/>
      </w:pPr>
      <w:r w:rsidDel="00000000" w:rsidR="00000000" w:rsidRPr="00000000">
        <w:rPr>
          <w:rtl w:val="0"/>
        </w:rPr>
        <w:t xml:space="preserve">• Ge 2023: duplicate derivative of Wang 2023; do not double-count.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Updated QC rule</w:t>
      </w:r>
    </w:p>
    <w:p w:rsidR="00000000" w:rsidDel="00000000" w:rsidP="00000000" w:rsidRDefault="00000000" w:rsidRPr="00000000" w14:paraId="0000002F">
      <w:pPr>
        <w:rPr/>
      </w:pPr>
      <w:r w:rsidDel="00000000" w:rsidR="00000000" w:rsidRPr="00000000">
        <w:rPr>
          <w:rtl w:val="0"/>
        </w:rPr>
        <w:t xml:space="preserve">When a derivative/RoB filename and linked source disagree, identify the study from the source article DOI/title/registration rather than the derivative filename. Coverage audits must be publication/source-based, not filename-based.</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