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Systematic Review – Reconciliation Audit, Batch 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Final master-coverage reconciliation for the four source PDFs in the established 61-PDF master ledger that had not yet received a dedicated reconciliation entry: Yang 2020, Seevaunnamtum 2016, Lin 2002, and An 2014. Source article/full extraction is authoritative. Derivative RoB files are rejected when they change intervention, comparator, denominators, outcome/timepoint, or numerical result.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Yang et al. 2020 – Effect of Electroacupuncture on Postoperative Gastrointestinal Recovery in Patients Undergoing Thoracoscopic Surgery: A Feasibility Study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Source: covidence_464_verified.pdf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Source-grounded extraction: yang_2020_covidence_464_full_data_extraction.md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Gemini: Yang_et_al_2020_gemini.md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Stored RoB: RoB2_Wang_2020_TimeFlatus_POD1to3.md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Overall status: SOURCE EXTRACTION VERIFIED; GEMINI SUBSTANTIALLY VERIFIED; STORED RoB 2 INVALID / WRONG STUDY – COMPLETE REPLACEMENT REQUIRED.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 truth: Medical Science Monitor 2020;26:e920648; DOI 10.12659/MSM.920648; ChiCTR1800014461. Single-center randomized open-label feasibility trial in patients undergoing VATS lobectomy/segmentectomy. Fifty-nine participants were randomized (EA 30, usual care 29); 57 completed/entered analysis (EA 29, usual care 28). Participants and the acupuncture provider were not blinded; assessors, anesthetists and statisticians were blinded.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 protocol: invasive bilateral PC6, ST36 and ST37; 15 Hz; 3–5 mA to maximum comfortable intensity; 30-min sessions 24 h before surgery, 4 h after surgery and 24 h after surgery. Comparator was usual care only, with no sham acupuncture.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efficacy findings included time to first flatus 20.8 ± 4.6 vs 24.1 ± 6.2 h (P=0.026) and first defecation 53.9 ± 6.0 vs 57.5 ± 7.2 h (P=0.046). The postoperative PCA mixture contained morphine, ketamine and ondansetron, but group-specific postoperative morphine consumption was not reported.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Stored RoB failure: the file is mislabeled as Wang 2020 and describes a fabricated laparoscopic-cholecystectomy trial with 60/60 complete analysis, ST36/SP6 EA, a preoperative plus POD1 schedule, sham needling, full participant masking and first-flatus 22.8 ± 4.6 vs 30.2 ± 5.8 h. Those details do not describe the Yang source.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Decision: discard the stored RoB and perform a fresh result-specific RoB 2 assessment for a source-supported Yang result. For subjective patient-reported outcomes, the open-label no-sham design must be explicitly considered. Preserve 59 randomized / 57 analyzed rather than 60/60.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Seevaunnamtum et al. 2016 – Intraoperative Electroacupuncture Reduces Postoperative Pain, Analgesic Requirement and Prevents Postoperative Nausea and Vomiting in Gynaecological Surgery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Source: covidence_596_verified.pdf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Source-grounded extraction: seevaunnamtum_2016_covidence_596_full_data_extraction.md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Stored RoB: RoB2_Praveena_2016_MorphineConsumption_24h.md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Overall status: SOURCE-CORRECT STUDY IDENTITY, BUT MATERIAL INTERVENTION/RESULT ERRORS – COMPLETE RoB REPLACEMENT REQUIRED.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 truth: Anesthesiology and Pain Medicine 2016;6(6):e40106; DOI 10.5812/aapm.40106. Two-arm prospective randomized trial in 64 women undergoing total abdominal hysterectomy; 32/32 randomized and all 64 analyzed. Computer-generated randomization is reported; allocation concealment is not reported. EA began after induction of general anesthesia and ended before awakening, making participant awareness unlikely; postoperative assessors were blinded, while the intraoperative anesthetist/intervention personnel were not fully blinded.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Actual EA protocol: bilateral PC6 (Neiguan) + LI4 (Hegu), 2 Hz continuous wave, device intensity level 1, exact mA not reported, one continuous intraoperative session from before incision/start of surgery through surgery end. Comparator was standard care only; there was no sham acupuncture.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Exact first-24-h IV PCA morphine: EA 21.38 ± 14.38 mg vs control 33.94 ± 20.24 mg, P=0.006. PCA demands were 27.28 ± 21.61 vs 55.25 ± 46.85. NRS was lower with EA at 30 min and 2 h; nausea at 30 min was 15.6% vs 46.9%.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Stored RoB errors: adds ST36 and SP6 to the intervention; describes a different stimulation setup; and, critically, reports control 24-h morphine as 38.88 ± 17.51 mg with P&lt;0.001 rather than the article’s 33.94 ± 20.24 mg with P=0.006. Because the assessed numerical result itself is wrong, the existing result-specific RoB cannot be accepted even though article identity and several methodological elements are correct.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Decision: replace the RoB assessment de novo using the actual 24-h PCA morphine result. Domain 1 should retain allocation concealment as Insufficient information / not reported. Do not infer trial registration or concealment details.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Lin et al. 2002 – The effect of high and low frequency electroacupuncture in pain after lower abdominal surgery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Source: covidence_951_lin_2002.pdf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Source-grounded extraction: lin_2002_covidence_951_full_data_extraction.md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Gemini: Lin_et_al_2002_gemini.md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Stored RoB: RoB2_Lin_2002_MorphineConsumption_24h.md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Overall status: SOURCE EXTRACTION AND GEMINI VERIFIED; STORED RoB 2 MATERIAL/RESULT SUBSTITUTION – COMPLETE REPLACEMENT REQUIRED.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Source truth: Pain 2002;99:509–514. One hundred women undergoing abdominal hysterectomy were randomized by computer-generated sequence to four groups, 25 each: untreated control, sham EA, low-frequency EA (2 Hz), and high-frequency EA (100 Hz). All 100 completed and were analyzed. Allocation concealment is not reported.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Actual EA protocol: bilateral ST36 only. Two needles around each ST36 formed the poles. Treatment was one 20-min session immediately before anesthesia induction and ended before induction. The article states constant current 0.5 mA and also maximal tolerable intensity; both statements should be preserved. Sham used needle insertion at ST36 with device indicator on but no current. Participants could not see current settings; VAS observer was blinded. The untreated control obviously received no acupuncture.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Postoperative analgesia: first-hour pethidine was possible and is separate from the PCA endpoint. At 1 h postoperative, IV morphine PCA began for the following 23 h: 2-mg bolus, 10-min lockout, no reported basal infusion.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Direct cumulative morphine over the 24-h test period: control 38.1 ± 16.0 mg; sham 30.2 ± 14.4 mg; low-EA 21.8 ± 14.7 mg; high-EA 15.0 ± 10.7 mg. Total PCA demands: 20.5 ± 9.2, 16.1 ± 7.4, 11.7 ± 7.1 and 7.9 ± 5.9, respectively.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Stored RoB errors: changes acupoints to ST36+SP6; changes current to 9–15 mA; states intervention was delivered after induction under general anesthesia; relocates sham needles to non-acupoints; changes PCA lockout to 5 min; and fabricates 24-h morphine values 54.3 ± 19.8, 42.8 ± 16.4, 31.0 ± 15.1 and 21.2 ± 13.5 mg. These errors directly affect the assessed result and the participant-awareness logic.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Decision: discard and redo RoB 2 for the actual cumulative morphine result. Preserve all four randomized arms. If the review target is total all-opioid exposure over 0–24 h, note that first-hour pethidine use by group is not reported, so the published morphine endpoint is not a complete all-opioid total.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An et al. 2014 – Electro-Acupuncture Decreases Postoperative Pain and Improves Recovery in Patients Undergoing a Supratentorial Craniotomy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Source: covidence_698_full_article.pdf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Source-grounded extraction: covidence_study_698_full_data_extraction.md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Stored RoB: RoB2_An_2014_MorphineConsumption_24h.md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Overall status: SOURCE EXTRACTION VERIFIED; STORED RoB 2 INVALID / FABRICATED STUDY STRUCTURE AND RESULT – COMPLETE REPLACEMENT REQUIRED.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Source truth: The American Journal of Chinese Medicine 2014;42(5):1099–1109; DOI 10.1142/S0192415X14500682. Two-arm randomized trial in supratentorial craniotomy. Eighty-eight participants were randomized: EA 45, control 43. Eighty-one completed/entered analysis: EA 41, control 40. Seven post-randomization exclusions occurred (two repeat surgery, two remained unconscious, three incomplete information); group-specific reasons for all exclusions are not reported. No ITT analysis of all 88 is reported. Allocation concealment is Insufficient information / not reported.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EA protocol: invasive EA on the same side as the craniotomy using LI4, SJ5, BL63, LR3, ST36 and GB40, paired LI4–SJ5, BL63–LR3 and ST36–GB40. Dense-disperse alternating 2/100 Hz every 3 s at maximum tolerated intensity, continuously from anesthesia induction until surgery end. Control received no needles/no EA; there was no sham arm.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Postoperative analgesia was fentanyl PCIA for 48 h: 10 µg/kg fentanyl + 8 mg ondansetron in 100 mL, no basal infusion, 1-mL bolus, 15-min lockout. The paper reports total fentanyl over the postoperative PCIA period as 0.67 ± 0.09 mg vs 0.73 ± 0.12 mg with no significant difference. It does not report a separate 24-h opioid-consumption total. PCIA bolus activity is reported as 0–6 h and 6–48 h, preventing reliable reconstruction of 0–24 h fentanyl consumption.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Pain VAS was assessed at 1, 2, 3, 4, 6, 24 and 48 h. Exact means are printed on the figure but exact SDs are not tabulated. PONV, dizziness/fullness and appetite are reported at selected postoperative periods.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Stored RoB failure: changes the study to a three-arm 90-patient EA/sham/control trial with 30 per arm; invents a non-meridian sham EA group; reduces intervention to LI4/TE5; invents sequential opaque sealed-envelope concealment; falsely claims all 90 were analyzed; changes postoperative analgesia to morphine; and fabricates a 24-h morphine result of 12.4 ± 3.8 vs 24.6 ± 5.2 vs 26.2 ± 5.8 mg. None of that result structure exists in the source.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Decision: discard the stored RoB assessment. Redo RoB 2 for a genuine source-supported An result, specifying the exact time window. If the review requires 24-h opioid consumption, classify it as Insufficient information / not reported rather than deriving it from 0–6 and 6–48 h data.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Batch 20 summary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Four previously unreconciled master-ledger studies reviewed: Yang 2020, Seevaunnamtum 2016, Lin 2002, An 2014.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Full RoB replacement required: 4/4.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Lin 2002 source/full extraction/Gemini are concordant.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Yang 2020 source/full extraction/Gemini are concordant.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No separate Gemini derivative was identified for Seevaunnamtum 2016 or An 2014 during this audit; no Gemini judgment is inferred.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With Batch 20, all 61 source PDFs in TEAS_EA_RoB2_MASTER_COMPLETE_PDFs_1-61 now have an explicit source-level reconciliation entry.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Global coverage conclusion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original master RoB dataset must NOT be treated as authoritative despite having 1,465 result-specific records. Reconciliation demonstrates widespread derivative RoB fabrication/cross-study substitution, including incorrect study identity, randomized denominators, intervention parameters, comparator structure, outcome definitions, timepoints, numerical results, allocation concealment, blinding, attrition and registration claims. The source-grounded full-extraction layer is consistently more reliable, with Gemini usually useful as an independent secondary check but never overriding the source.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