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TEAS EA Systematic Review – Reconciliation Audit, Batch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Audit date: 5 September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Continuation of source-level reconciliation of stored extraction/Gemini/RoB 2 records against the supplied full-text articles. Source identity and result identity are verified before any RoB judgment is accepted.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Chen et al. 2015 – Does transcutaneous electric acupoint stimulation improve the quality of recovery after thyroidectomy? A prospective randomized controlled trial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Overall status: SOURCE VERIFIED; STORED RoB 2 RECORD INVALID/CROSS-CONTAMINATED WITH THE SEPARATE CHEN 2015 HYPERALGESIA STUDY.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Source truth: Int J Clin Exp Med 2015;8(8):13622–13627; ClinicalTrials.gov NCT02333747; female thyroidectomy patients aged 18–60 years, ASA I–II. Ninety-one were assessed; 84 randomized 1:1; one TEAS participant was excluded after randomization for protocol breach; 83 analyzed (TEAS 41, control 42).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TEAS protocol: bilateral LI4 and PC6, disperse-dense 2/10 Hz, 6–9 mA, one 30-min preoperative treatment. Control participants were attached to the apparatus but received no electrical stimulation.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Primary result: QoR-40 at 24 h, median (IQR) 183 (172–190) vs 168 (154–183), P&lt;0.001.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Postoperative pain was assessed at 1, 2, 4, 8 and 24 h. Rescue analgesia was IV morphine 2 mg to maintain VAS &lt;4. Table 3 reports cumulative rescue-analgesia administrations, 1 (1–3) vs 3.5 (2–7), not a continuous sufentanil-consumption endpoint.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Critical RoB failure: `RoB2_Chen_2015_Thyroidectomy_SufentanilConsumption_24h.md` changes the intervention to 2/100 Hz and 10–20 mA, changes age to 18–65, states 84/84 analyzed, and invents a 24-h cumulative sufentanil result 14.8 ± 3.2 vs 22.6 ± 4.5 µg. The supplied article does not report that outcome and uses morphine rescue, not sufentanil PCIA. This appears to blend details from the separate Chen 2015 remifentanil-hyperalgesia study.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Decision: keep this QoR thyroidectomy trial separate from the hyperalgesia trial. Discard the stored RoB record and redo a result-specific assessment for the actual selected outcome/timepoint.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Grech et al. 2016 – Intraoperative Low-frequency Electroacupuncture under General Anesthesia Improves Postoperative Recovery in a Randomized Trial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Overall status: SOURCE EXTRACTION VERIFIED; GEMINI SUBSTANTIALLY VERIFIED; STORED RoB 2 RECORD INVALID.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Source truth: Journal of Acupuncture and Meridian Studies 2016;9(5):234–241; NCT01937520; prospective randomized double-blinded pilot study at Rutgers/New Jersey Medical School. Twenty thyroid/parathyroid-surgery patients were allocated EA n=11 or control n=9. The paper notes that patient #11 was excluded for elevated preoperative TNF, but it is unclear whether that exclusion applied to all clinical analyses or biomarker analyses only; tables still summarize n=20. Preserve this ambiguity rather than forcing a 19-person denominator universally.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Intervention: invasive bilateral LI4, LI11 and ST36 electroacupuncture, 10 Hz symmetrical biphasic stimulation; two 30-min treatments during general anesthesia, beginning about 15 min after induction, with mild muscle twitching. Exact numeric current is not reported. The main text inadequately describes the sham/control procedure.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Postoperative analgesic treatments were converted by the authors to morphine-equivalent milligrams. Exact component drugs, PCA settings and exact group means are not numerically tabulated. The key reported analgesic finding is a women-only subgroup analysis: EA-treated women required about 60% less analgesic in PACU while pain scores were similar. Day 1–3 analgesic values are graphical. There is no directly tabulated exact 24-h morphine-consumption mean/SD suitable for meta-analysis.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full-data extraction and Gemini record correctly retain the graph-only nature of these outcomes and the sex-imbalance/subgroup issue.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Critical RoB failure: `RoB2_Grech_2016_MorphineConsumption_24h.md` describes 40 open-abdominal-surgery patients at Lund, 20/group, 2-Hz ST36/SP6 stimulation, an explicitly inert sham, PCA morphine with 1-mg bolus/6-min lockout and a 24-h result of 28.5 ± 14.8 vs 32.1 ± 16.2 mg. None of those core trial/result details match the supplied Grech article.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Decision: discard the stored RoB assessment. Do not use fabricated 24-h morphine values. If exact first-24-h morphine-equivalent consumption is essential, author contact or original data would be needed.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Huang et al. 2017 – Effects of transcutaneous electrical acupoint stimulation at different frequencies on perioperative anesthetic dosage, recovery, complications, and prognosis in video-assisted thoracic surgical lobectomy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Overall status: SOURCE EXTRACTION VERIFIED; GEMINI SUBSTANTIALLY VERIFIED; NO MATCHING HUANG-SPECIFIC RoB 2 FILE LOCATED IN DIRECT SEARCH.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Source truth: Journal of Anesthesia 2017;31:58–65; DOI 10.1007/s00540-015-2057-1; ChiCTR-TRC-14004207 on title page. Eighty VATS lobectomy patients were randomized equally to four arms: placebo control, 2/100-Hz TEAS, 2-Hz TEAS and 100-Hz TEAS; all 80 completed the perioperative trial.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TEAS common protocol: surgery-side PC6, LI4, LU7 and LI11; HANS-200A; highest tolerable non-discomfort intensity; 30 min before induction, throughout the operation, and 30 min at 24 and 48 h. The placebo used electrodes over the same sites with device lights flashing but no transmitted current.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Intraoperative total opioid, expressed by the authors as remifentanil-equivalent µg/kg/min: control 0.1617 ± 0.037; 2/100 Hz 0.1128 ± 0.034; 2 Hz 0.1718 ± 0.066; 100 Hz 0.1451 ± 0.036. The 2/100-Hz group was significantly lower than control and both other active-frequency groups.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Postoperative PCIA contained sufentanil 1 µg/mL + flurbiprofen 1.2 mg/mL, basal 2 mL/h, 3-mL bolus, 15-min lockout. The article states postoperative requirements were monitored at 6, 12, 24 and 48 h, but the main publication tabulates one aggregate postoperative sufentanil value per group (control 1.32 ± 0.48; 2/100 Hz 1.67 ± 0.59; 2 Hz 1.41 ± 0.52; 100 Hz 1.69 ± 0.50 µg/kg). The exact fixed window represented by that aggregate table value is not sufficiently explicit to relabel it as an exact 24-h endpoint. The authors report no significant between-group postoperative sufentanil/flurbiprofen difference.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Decision: retain all four arms and keep intraoperative opioid sparing distinct from postoperative consumption. Do not reconstruct a 24-h total from pump settings or relabel the aggregate postoperative dose as exact 24 h without explicit source support.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Sun et al. 2017 – Perioperative Transcutaneous Electrical Acupoint Stimulation for Postoperative Pain Relief Following Laparoscopic Surgery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Overall status: SOURCE EXTRACTION VERIFIED; STORED RoB 2 RECORD MATERIAL/RESULT MISCLASSIFIED AND REQUIRES RE-ASSESSMENT.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Source truth: Clinical Journal of Pain 2017;33(4):340–347; ChiCTR-IOR-15006032. Four-arm trial: SSS sham/sham/sham; TSS true preop only; TTS true preop + intraop; TST true preop + postoperative. 380 randomized, 95/group; 19 post-randomization withdrawals; 361 analyzed: SSS 90, TSS 91, TTS 91, TST 89.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TEAS: bilateral LI4 and PC6, HANS-200A, alternating 2/100 Hz every 3 s, maximum tolerated subnoxious intensity, 30 min per assigned perioperative period.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Sham was NOT electrically inert: participants received minimal perceptible current at the same LI4/PC6 sites with the same 2/100-Hz frequency for 5 min, with electrodes retained for 30 min. The authors acknowledge a possible sham analgesic effect.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outcomes: resting and activity VAS at 1, 6, 24 and 48 h. Postoperative routine/rescue analgesia was NON-OPIOID flurbiprofen axetil: 50 mg IV at surgery end and an additional 50 mg if VAS ≥4 or analgesia requested within 48 h. No postoperative opioid rescue protocol is described.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Supplemental analgesic requirement within 48 h: SSS 23.3%, TSS 11.0%, TTS 15.4%, TST 7.9%; TST significantly lower than SSS (P=0.020). This is a 48-h NSAID-rescue outcome, not 24-h opioid consumption.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Critical RoB issues in `RoB2_Sun_2017_OpioidConsumption_24h.md`: it labels the outcome “Supplemental Analgesic Requirement / Opioid Consumption” at 24 h; states TST used LI4 + ST36 rather than the source LI4 + PC6; names a different device; and describes sham as no-output mock stimulation when the source explicitly reports 5 min of perceptible low-current stimulation. It also treats 19 post-randomization exclusions as essentially benign without result-specific consideration of reasons such as conversion, prolonged surgery and intraoperative complications.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Decision: the extraction is suitable when the analgesic type/window are coded correctly. The stored RoB assessment should not be accepted; redo it for the actual selected result (for example activity pain at 24 h, or 48-h supplemental flurbiprofen requirement) using the correct sham and attrition details.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Batch 5 synthesis-critical flags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Two different Chen 2015 thyroidectomy papers exist and must not be merged: one is a remifentanil-hyperalgesia/mechanical-threshold study; the other is a QoR-40 thyroidectomy trial registered NCT02333747.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Grech 2016 does not provide an extractable exact 24-h morphine mean/SD; the stored RoB result is from a nonmatching trial.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Huang 2017 is a four-arm frequency-comparison trial. Its strong opioid signal is intraoperative 2/100-Hz TEAS; postoperative aggregate sufentanil values should not be forced into a 24-h endpoint.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Sun 2017 postoperative supplemental analgesia is flurbiprofen axetil over 48 h, not opioid consumption at 24 h; sham TEAS delivered active perceptible low current for 5 min.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Updated reconciliation rule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Before accepting any RoB 2 record, verify not only article identity but RESULT TYPE: opioid vs non-opioid rescue, continuous dose vs administration count, exact 24-h window vs 48-h/cumulative/graphical outcome, and author-reported vs derived values. A correct article citation with the wrong result definition is still an invalid result-specific RoB 2 assessment.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