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TEAS EA Systematic Review – Reconciliation Audit, Batch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Audit date: 5 September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Continuation of source-level reconciliation of full-data extraction, Gemini, and RoB 2 records. The source article is the authority. A RoB record is rejected when study identity, intervention, comparator, denominator, outcome, timepoint, or numerical result is not supported by the source.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Gu et al. 2019 – Effect of transcutaneous electrical acupoint stimulation on gastrointestinal function recovery after laparoscopic radical gastrectomy – A randomized controlled trial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Overall status: SOURCE EXTRACTION VERIFIED; GEMINI SUBSTANTIALLY VERIFIED; STORED RoB 2 RECORD INVALID.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 truth: European Journal of Integrative Medicine 2019;26:11–17; DOI 10.1016/j.eujim.2019.01.001. Gastric-cancer patients undergoing laparoscopic radical gastrectomy. 120 randomized 1:1 (60/60); 117 analyzed (C-TEAS 59, L-TEAS 58) after three post-randomization noncompletions. ASA I–II.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Active TEAS: bilateral ST36 and PC6; HANS LH-202; dense-disperse 2/100 Hz; 5–30 mA to de qi. Stimulation ran from 30 min before induction through surgery to 30 min after surgery, plus 30-min sessions at 08:00, 13:00 and 18:00 over the first two postoperative days. Sham used the same sites/schedule with broken output wires, so no current was delivered despite the device being set to 20 mA.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Postoperative PCIA: 100 µg sufentanil + 200 µg dexmedetomidine + 100 mg flurbiprofen axetil + 0.5 mg palonosetron in 100 mL; basal 2 mL/h, bolus 0.5 mL, lockout 15 min. Published analgesic consumption is PCIA VOLUME from this multimodal mixture, not pure opioid consumption. Numerically reported cumulative volumes: 4 h 10.02 ± 2.26 vs 13.38 ± 2.98 mL; 8 h 20.55 ± 4.59 vs 24.63 ± 3.94; 36 h 72.64 ± 9.74 vs 76.01 ± 10.43. Exact 24-h PCIA volume/sufentanil dose is not numerically reported and should not be invented.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 outcomes: first bowel sounds 19.69 ± 7.61 vs 26.58 ± 7.43 h; first flatus 36.58 ± 10.75 vs 43.56 ± 9.57 h; first defecation 71.48 ± 20.62 vs 77.27 ± 22.67 h, favoring L-TEAS.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Stored RoB failure: `RoB2_Gu_2019_TimeFlatus_POD1to4.md` describes a different three-arm 40/40/40 design, adds separate 2/100-Hz and 2-Hz active groups, changes eligibility to age 18–75/ASA I–III, claims all 120 were analyzed, changes the treatment schedule, and reports flatus 58.2 ± 9.4 vs 73.5 ± 11.2 h. Those values/design do not match the source. It also asserts concealed opaque envelopes and other procedural details not explicitly reported.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Decision: retain the source-consistent extraction/Gemini data. Discard the stored RoB assessment and redo RoB 2 from the correct article/result. Preserve 120 randomized / 117 analyzed and evaluate post-randomization exclusions result-specifically.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Zhan &amp; Tian 2020 – Addition of transcutaneous electric acupoint stimulation to transverse abdominis plane block for postoperative analgesia in abdominal surgery: A randomized controlled trial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Overall status: SOURCE EXTRACTION VERIFIED; GEMINI SUBSTANTIALLY VERIFIED; STORED RoB 2 RECORD INVALID.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 truth: European Journal of Integrative Medicine 2020;35:101087; DOI 10.1016/j.eujim.2020.101087; ChiCTR-INR-17011598. Ninety participants were randomized/analyzed, 30 per arm, undergoing elective OPEN abdominal surgery (total/partial gastrectomy or radical colectomy), age 18–85, ASA I–II.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Arms: TAP block + PCIA; TAP block + TEAS + PCIA; usual care/PCIA alone. There is NO sham-TEAS arm.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TEAS: ST36 + PC6, KD2B stimulator, sparse-dense 2–100 Hz, intensity increased to strong but comfortable; two 30-min POSTOPERATIVE sessions only—after TAP before leaving PACU and again at 24 h. No preoperative or intraoperative TEAS.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PCIA: sufentanil 100 µg + tropisetron 6 mg in 100 mL, basal 2 mL/h for 48 h. The publication does NOT report actual cumulative group-specific sufentanil consumption. A theoretical basal exposure can be calculated from the programmed pump, but this is not an observed outcome and must not be used as treatment-effect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Primary outcome: postoperative VAS at 2, 24 and 48 h. At 24 h, the source reports TAP 2 (2.0 ± 3.0), TAP+TEAS 2 (1.7 ± 2.2), usual care 3 (2.0 ± 4.0); the source’s summary notation is unusual and should be preserved rather than silently reinterpreted as mean ± SD. TAP+TEAS vs TAP P=0.03; TAP+TEAS vs usual care P&lt;0.0001.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Stored RoB failure: `RoB2_Zhan_2020_SufentanilConsumption_24h.md` changes the title/article number, population to laparoscopic colorectal surgery, intervention to pre-/intraoperative ST36+LI4 2/100-Hz 10–20-mA TEAS, creates sham TEAS/sham TAP comparators, states the trial was unregistered, and invents 24-h sufentanil means 38.2 ± 5.6, 47.5 ± 6.2 and 58.4 ± 7.1 µg. None of those core result details are supported by the source.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Decision: retain the extraction/Gemini record for pain and intervention variables. Do not include Zhan 2020 in a continuous 24-h opioid-consumption meta-analysis because observed group-specific 24-h sufentanil consumption is not reported. Discard and fully redo the RoB assessment for the actual selected pain result or another source-supported result.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Yu et al. 2020 – The effect of TEAS on the quality of early recovery in patients undergoing gynecological laparoscopic surgery: a prospective, randomized, placebo-controlled trial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Overall status: SOURCE EXTRACTION VERIFIED WITH SOURCE-INTERNAL PROTOCOL DISCREPANCY; STORED RoB 2 RECORD INVALID.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Source truth: Xiangdi Yu, Fangxiang Zhang, Bingning Chen; Trials 2020;21:43; DOI 10.1186/s13063-019-3892-4; ClinicalTrials.gov NCT02619578. Sixty participants randomized 30/30 and all 60 analyzed. ASA I–II. Recruitment ran November 2013–November 2014.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Registration timing: NCT02619578 was registered 2 December 2015, AFTER recruitment had ended. Therefore the registry cannot be treated as prospective evidence that the reported outcome/analysis was prespecified before trial conduct.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Detailed Methods/abstract TEAS protocol: GV20, EX-HN3, ST36 and PC6; 2/100 Hz; 12–15 mA; one 30-min session immediately before anesthesia; control electrodes applied but no stimulation.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Important source-internal discrepancy: Figure 3 instead lists GV20, ST36, EX-HN3, PC6 plus KI3, 2/10 Hz and 6–9 mA. Primary extraction should preserve the detailed-Methods protocol while explicitly flagging KI3/frequency/intensity for verification; the two versions must not be silently merged.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Primary QoR-40: baseline 197.50 ± 2.57 control vs 195.83 ± 5.17 TEAS; POD1 166.07 ± 8.44 vs 175.33 ± 9.66 (P=0.040); POD2 187.73 ± 5.47 vs 191.40 ± 5.74 (P=0.015).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Postoperative opioid information: rescue sufentanil requirement during the first 24 h was binary—24/30 control (80.0%) vs 13/30 TEAS (43.3%), P&lt;0.01. Rescue dose per administration, number of administrations and cumulative sufentanil mass are not reported. Therefore this is suitable for a binary rescue-opioid outcome, not continuous 24-h opioid dose/MME.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Pain reporting also contains a source inconsistency: abstract/table and Results prose disagree on the POD2 VAS SD/significance. Preserve the published means but do not silently resolve the conflicting P value/dispersion.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Stored RoB failure: `RoB2_Yu_2020_QoR40_24h.md` uses the wrong author/citation details, changes TEAS to LI4+SP6 with an additional POD1 session and 10–20 mA, asserts sealed opaque-envelope concealment not reported in the article, reports QoR-40 175.6 ± 12.3 vs 162.8 ± 14.1 (not the published POD1 result), and incorrectly calls the 2015 registration prospective.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Decision: discard the stored RoB assessment and redo it for the actual QoR-40 result. Domain 5 must account for retrospective registration and the possibility of multiple outcome/analysis choices rather than automatically assigning Low Risk because a registry exists.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Batch 6 synthesis-critical flags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Gu 2019: actual two-arm 120-randomized/117-analyzed trial; stored RoB invents a three-arm trial and wrong flatus values.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Zhan 2020: no sham TEAS and no observed 24-h sufentanil-consumption endpoint; stored RoB invents both.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Yu 2020: registry was retrospective, source itself contains conflicting TEAS protocol details, and stored RoB changes protocol/result values while incorrectly treating registration as prospective.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Updated QC rule – registration timing gate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presence of a trial-registration number is not enough for RoB 2 Domain 5. For every study: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Identify recruitment/start date.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Identify registration date.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Determine whether the selected outcome and analysis were specified before unblinded outcome data were available.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If registration occurred after recruitment or after trial completion, do not use the registry alone to support a low-risk selective-reporting judgment.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Preserve any article-versus-registry discrepancy explicitly.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