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TEAS EA Systematic Review – Reconciliation Audit, Batch 7</w:t>
      </w:r>
    </w:p>
    <w:p w:rsidR="00000000" w:rsidDel="00000000" w:rsidP="00000000" w:rsidRDefault="00000000" w:rsidRPr="00000000" w14:paraId="00000002">
      <w:pPr>
        <w:rPr/>
      </w:pPr>
      <w:r w:rsidDel="00000000" w:rsidR="00000000" w:rsidRPr="00000000">
        <w:rPr>
          <w:rtl w:val="0"/>
        </w:rPr>
        <w:t xml:space="preserve">Audit date: 5 September 2026</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Purpose</w:t>
      </w:r>
    </w:p>
    <w:p w:rsidR="00000000" w:rsidDel="00000000" w:rsidP="00000000" w:rsidRDefault="00000000" w:rsidRPr="00000000" w14:paraId="00000005">
      <w:pPr>
        <w:rPr/>
      </w:pPr>
      <w:r w:rsidDel="00000000" w:rsidR="00000000" w:rsidRPr="00000000">
        <w:rPr>
          <w:rtl w:val="0"/>
        </w:rPr>
        <w:t xml:space="preserve">Continuation of source-level reconciliation of stored extraction, Gemini and RoB 2 records. Source article facts are checked before any signaling-question judgment is accepted.</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1. Xiong et al. 2021 – Transcutaneous Electrical Acupoint Stimulation Combined with Dexamethasone and Tropisetron Prevents Postoperative Nausea and Vomiting in Female Patients Undergoing Laparoscopic Sleeve Gastrectomy</w:t>
      </w:r>
    </w:p>
    <w:p w:rsidR="00000000" w:rsidDel="00000000" w:rsidP="00000000" w:rsidRDefault="00000000" w:rsidRPr="00000000" w14:paraId="00000008">
      <w:pPr>
        <w:rPr/>
      </w:pPr>
      <w:r w:rsidDel="00000000" w:rsidR="00000000" w:rsidRPr="00000000">
        <w:rPr>
          <w:rtl w:val="0"/>
        </w:rPr>
        <w:t xml:space="preserve">Overall status: SOURCE EXTRACTION VERIFIED; GEMINI SUBSTANTIALLY VERIFIED; STORED RoB 2 IS THE CORRECT TRIAL/RESULT BUT REQUIRES MATERIAL CORRECTION BEFORE ACCEPTANCE.</w:t>
      </w:r>
    </w:p>
    <w:p w:rsidR="00000000" w:rsidDel="00000000" w:rsidP="00000000" w:rsidRDefault="00000000" w:rsidRPr="00000000" w14:paraId="00000009">
      <w:pPr>
        <w:rPr/>
      </w:pPr>
      <w:r w:rsidDel="00000000" w:rsidR="00000000" w:rsidRPr="00000000">
        <w:rPr>
          <w:rtl w:val="0"/>
        </w:rPr>
        <w:t xml:space="preserve">Source truth: Obesity Surgery 2021;31:1912–1920; DOI 10.1007/s11695-020-05205-9. Sixty-two female patients were randomized 31/31 and all 62 analyzed. Primary result: PONV within 48 h, TEAS 13/31 (41.9%) vs control 24/31 (77.4%), P=0.004. Clinically important PONV was 5/31 vs 15/31 and rescue antiemetic use 9/31 vs 18/31.</w:t>
      </w:r>
    </w:p>
    <w:p w:rsidR="00000000" w:rsidDel="00000000" w:rsidP="00000000" w:rsidRDefault="00000000" w:rsidRPr="00000000" w14:paraId="0000000A">
      <w:pPr>
        <w:rPr/>
      </w:pPr>
      <w:r w:rsidDel="00000000" w:rsidR="00000000" w:rsidRPr="00000000">
        <w:rPr>
          <w:rtl w:val="0"/>
        </w:rPr>
        <w:t xml:space="preserve">TEAS: bilateral PC6 + ST36; Hwato SDZ-V; dense-disperse 2/10 Hz; current starting at 1 mA and increased to maximum tolerated with slight muscle twitch. Began about 30 min before induction, continued intraoperatively, and was repeated at 2 h and 6 h postoperatively. The article does not explicitly restate a 30-min duration for each postoperative application.</w:t>
      </w:r>
    </w:p>
    <w:p w:rsidR="00000000" w:rsidDel="00000000" w:rsidP="00000000" w:rsidRDefault="00000000" w:rsidRPr="00000000" w14:paraId="0000000B">
      <w:pPr>
        <w:rPr/>
      </w:pPr>
      <w:r w:rsidDel="00000000" w:rsidR="00000000" w:rsidRPr="00000000">
        <w:rPr>
          <w:rtl w:val="0"/>
        </w:rPr>
        <w:t xml:space="preserve">Control: same gel electrodes/device with no stimulation. Participants were intended to be blinded, but active stimulation produced perceptible/twitching stimulation while awake. Anesthetists were explicitly NOT blinded; a blinded anesthetic resident performed postoperative follow-up/data collection.</w:t>
      </w:r>
    </w:p>
    <w:p w:rsidR="00000000" w:rsidDel="00000000" w:rsidP="00000000" w:rsidRDefault="00000000" w:rsidRPr="00000000" w14:paraId="0000000C">
      <w:pPr>
        <w:rPr/>
      </w:pPr>
      <w:r w:rsidDel="00000000" w:rsidR="00000000" w:rsidRPr="00000000">
        <w:rPr>
          <w:rtl w:val="0"/>
        </w:rPr>
        <w:t xml:space="preserve">Antiemetic prophylaxis in the source: dexamethasone 10 mg IV during induction + tropisetron 4 mg IV at skin closure.</w:t>
      </w:r>
    </w:p>
    <w:p w:rsidR="00000000" w:rsidDel="00000000" w:rsidP="00000000" w:rsidRDefault="00000000" w:rsidRPr="00000000" w14:paraId="0000000D">
      <w:pPr>
        <w:rPr/>
      </w:pPr>
      <w:r w:rsidDel="00000000" w:rsidR="00000000" w:rsidRPr="00000000">
        <w:rPr>
          <w:rtl w:val="0"/>
        </w:rPr>
        <w:t xml:space="preserve">Stored RoB strengths: it identifies the correct study, arms, 62/62 denominator, correct 48-h PONV event counts and the main participant-blinding limitation. The broad overall judgment of Some Concerns may remain plausible after a proper reassessment.</w:t>
      </w:r>
    </w:p>
    <w:p w:rsidR="00000000" w:rsidDel="00000000" w:rsidP="00000000" w:rsidRDefault="00000000" w:rsidRPr="00000000" w14:paraId="0000000E">
      <w:pPr>
        <w:rPr/>
      </w:pPr>
      <w:r w:rsidDel="00000000" w:rsidR="00000000" w:rsidRPr="00000000">
        <w:rPr>
          <w:rtl w:val="0"/>
        </w:rPr>
        <w:t xml:space="preserve">Required corrections to stored RoB: it states dexamethasone 8 mg + tropisetron 2 mg rather than 10 mg + 4 mg; assumes postoperative sessions were 30 min despite this not being explicitly restated; its quoted baseline evidence values do not match Table 1; and SQ2.2 labels carers as probably unaware even though the source explicitly states anesthetists were not blinded. The source reports age 27.5 ± 8.0 vs 27.3 ± 8.3 and BMI 39.1 ± 6.5 vs 39.9 ± 5.8, not the alternative values appearing in the RoB narrative.</w:t>
      </w:r>
    </w:p>
    <w:p w:rsidR="00000000" w:rsidDel="00000000" w:rsidP="00000000" w:rsidRDefault="00000000" w:rsidRPr="00000000" w14:paraId="0000000F">
      <w:pPr>
        <w:rPr/>
      </w:pPr>
      <w:r w:rsidDel="00000000" w:rsidR="00000000" w:rsidRPr="00000000">
        <w:rPr>
          <w:rtl w:val="0"/>
        </w:rPr>
        <w:t xml:space="preserve">Registration caution: the article gives ChiCTR2000037785 but does not state the registration date. Do not infer retrospective/prospective status solely from the identifier prefix; verify the actual registry record and its correspondence before using it for Domain 5.</w:t>
      </w:r>
    </w:p>
    <w:p w:rsidR="00000000" w:rsidDel="00000000" w:rsidP="00000000" w:rsidRDefault="00000000" w:rsidRPr="00000000" w14:paraId="00000010">
      <w:pPr>
        <w:rPr/>
      </w:pPr>
      <w:r w:rsidDel="00000000" w:rsidR="00000000" w:rsidRPr="00000000">
        <w:rPr>
          <w:rtl w:val="0"/>
        </w:rPr>
        <w:t xml:space="preserve">Decision: do not discard the whole RoB file as cross-contaminated, but do NOT accept it unchanged. Re-run signaling questions using the correct drug doses, caregiver awareness, source-supported baseline data and verified registration timeline.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2. Li et al. 2021 – Perioperative transcutaneous electrical acupoint stimulation for improving postoperative gastrointestinal function: A randomized controlled trial</w:t>
      </w:r>
    </w:p>
    <w:p w:rsidR="00000000" w:rsidDel="00000000" w:rsidP="00000000" w:rsidRDefault="00000000" w:rsidRPr="00000000" w14:paraId="00000013">
      <w:pPr>
        <w:rPr/>
      </w:pPr>
      <w:r w:rsidDel="00000000" w:rsidR="00000000" w:rsidRPr="00000000">
        <w:rPr>
          <w:rtl w:val="0"/>
        </w:rPr>
        <w:t xml:space="preserve">Overall status: SOURCE EXTRACTION VERIFIED; GEMINI MOSTLY VERIFIED WITH ONE UNSUPPORTED UNIT CORRECTION; STORED RoB 2 INVALID.</w:t>
      </w:r>
    </w:p>
    <w:p w:rsidR="00000000" w:rsidDel="00000000" w:rsidP="00000000" w:rsidRDefault="00000000" w:rsidRPr="00000000" w14:paraId="00000014">
      <w:pPr>
        <w:rPr/>
      </w:pPr>
      <w:r w:rsidDel="00000000" w:rsidR="00000000" w:rsidRPr="00000000">
        <w:rPr>
          <w:rtl w:val="0"/>
        </w:rPr>
        <w:t xml:space="preserve">Source truth: Journal of Integrative Medicine 2021;19(3):211–218; DOI 10.1016/j.joim.2021.01.005; ChiCTR1900023263. Participants undergoing laparoscopic gastric/colorectal tumor resection were stratified by surgery type. 311 assessed, five excluded before randomization, 306 randomized: TEAS 154 and sham 152. Twenty-six were excluded after randomization, leaving 280 analyzed per protocol: 140/140. No ITT sensitivity analysis is reported.</w:t>
      </w:r>
    </w:p>
    <w:p w:rsidR="00000000" w:rsidDel="00000000" w:rsidP="00000000" w:rsidRDefault="00000000" w:rsidRPr="00000000" w14:paraId="00000015">
      <w:pPr>
        <w:rPr/>
      </w:pPr>
      <w:r w:rsidDel="00000000" w:rsidR="00000000" w:rsidRPr="00000000">
        <w:rPr>
          <w:rtl w:val="0"/>
        </w:rPr>
        <w:t xml:space="preserve">Active TEAS: bilateral LI4, PC6, ST36 and ST37; HANS-200A; disperse-dense 2/100 Hz alternating every 3 s; exact current in mA not reported, intensity set to maximal tolerated. TEAS/sham ran from 30 min before surgery through the end of the operation, then 30-min sessions at 09:00 on POD1–POD3 until flatus recovered. Sham used non-meridian pseudo-acupoints with no electrical stimulation.</w:t>
      </w:r>
    </w:p>
    <w:p w:rsidR="00000000" w:rsidDel="00000000" w:rsidP="00000000" w:rsidRDefault="00000000" w:rsidRPr="00000000" w14:paraId="00000016">
      <w:pPr>
        <w:rPr/>
      </w:pPr>
      <w:r w:rsidDel="00000000" w:rsidR="00000000" w:rsidRPr="00000000">
        <w:rPr>
          <w:rtl w:val="0"/>
        </w:rPr>
        <w:t xml:space="preserve">Primary outcome: time to first bowel motion, median (IQR) 31 (18.8–45.3) h vs 42 (22.1–52.4), P&lt;0.01. First flatus was 44 (26.5–63.9) vs 64 (30.0–70.6) h, P&lt;0.01. PGD: 26/140 (18.6%) vs 44/140 (31.4%).</w:t>
      </w:r>
    </w:p>
    <w:p w:rsidR="00000000" w:rsidDel="00000000" w:rsidP="00000000" w:rsidRDefault="00000000" w:rsidRPr="00000000" w14:paraId="00000017">
      <w:pPr>
        <w:rPr/>
      </w:pPr>
      <w:r w:rsidDel="00000000" w:rsidR="00000000" w:rsidRPr="00000000">
        <w:rPr>
          <w:rtl w:val="0"/>
        </w:rPr>
        <w:t xml:space="preserve">Critical opioid/unit issue: the article prints an IV analgesic pump containing “250 mg sufentanil in 250 mL saline,” an implausible formulation. The source-supported extraction preserves this wording and flags a probable unit/typesetting error. The Gemini record silently changes the amount to 250 µg. That correction may be clinically plausible, but it is NOT explicitly supported by the supplied article and therefore should not be used without verification from protocol/registry/author.</w:t>
      </w:r>
    </w:p>
    <w:p w:rsidR="00000000" w:rsidDel="00000000" w:rsidP="00000000" w:rsidRDefault="00000000" w:rsidRPr="00000000" w14:paraId="00000018">
      <w:pPr>
        <w:rPr/>
      </w:pPr>
      <w:r w:rsidDel="00000000" w:rsidR="00000000" w:rsidRPr="00000000">
        <w:rPr>
          <w:rtl w:val="0"/>
        </w:rPr>
        <w:t xml:space="preserve">Stored RoB failure: `RoB2_Li_2021_TimeFlatus_POD1to4.md` changes the trial to 120 randomized/analyzed with no missing data; reduces the intervention to ST36+ST37; invents 10–20 mA; calls the trial double-blind; asserts caregivers/anesthesiologists were blinded although acupuncture/anesthesia technicians knew allocation; and reports first flatus as mean ± SD 58.4 ± 14.2 vs 72.8 ± 16.5 h rather than the published median [IQR] 44 [26.5–63.9] vs 64 [30.0–70.6] h. It therefore misses the 26 post-randomization exclusions and the explicit per-protocol analysis.</w:t>
      </w:r>
    </w:p>
    <w:p w:rsidR="00000000" w:rsidDel="00000000" w:rsidP="00000000" w:rsidRDefault="00000000" w:rsidRPr="00000000" w14:paraId="00000019">
      <w:pPr>
        <w:rPr/>
      </w:pPr>
      <w:r w:rsidDel="00000000" w:rsidR="00000000" w:rsidRPr="00000000">
        <w:rPr>
          <w:rtl w:val="0"/>
        </w:rPr>
        <w:t xml:space="preserve">Decision: retain the source-based extraction. Correct the Gemini sufentanil unit back to “250 mg as printed / probable unit error requiring verification.” Discard the stored RoB assessment and perform a fresh result-specific RoB 2 assessment, with particular attention to post-randomization exclusions/per-protocol analysis and participant sensory blinding.</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3. Gao et al. 2021 – Transcutaneous electrical acupoint stimulation applied in lower limbs decreases the incidence of paralytic ileus after colorectal surgery: A multicenter randomized controlled trial</w:t>
      </w:r>
    </w:p>
    <w:p w:rsidR="00000000" w:rsidDel="00000000" w:rsidP="00000000" w:rsidRDefault="00000000" w:rsidRPr="00000000" w14:paraId="0000001C">
      <w:pPr>
        <w:rPr/>
      </w:pPr>
      <w:r w:rsidDel="00000000" w:rsidR="00000000" w:rsidRPr="00000000">
        <w:rPr>
          <w:rtl w:val="0"/>
        </w:rPr>
        <w:t xml:space="preserve">Overall status: SOURCE EXTRACTION VERIFIED; GEMINI SUBSTANTIALLY VERIFIED; STORED RoB 2 INVALID/CROSS-CONTAMINATED AT STUDY-DESIGN AND RESULT LEVEL.</w:t>
      </w:r>
    </w:p>
    <w:p w:rsidR="00000000" w:rsidDel="00000000" w:rsidP="00000000" w:rsidRDefault="00000000" w:rsidRPr="00000000" w14:paraId="0000001D">
      <w:pPr>
        <w:rPr/>
      </w:pPr>
      <w:r w:rsidDel="00000000" w:rsidR="00000000" w:rsidRPr="00000000">
        <w:rPr>
          <w:rtl w:val="0"/>
        </w:rPr>
        <w:t xml:space="preserve">Source truth: Surgery 2021;170:1618–1626; DOI 10.1016/j.surg.2021.08.007; ClinicalTrials.gov NCT03086304. Multicenter study across 10 hospitals. 992 screened; after two-stage screening, 610 randomized after completion of surgery/general anesthesia: TEAS 303, sham 307. All 610 were included in the ITT analysis with no loss to follow-up after randomization.</w:t>
      </w:r>
    </w:p>
    <w:p w:rsidR="00000000" w:rsidDel="00000000" w:rsidP="00000000" w:rsidRDefault="00000000" w:rsidRPr="00000000" w14:paraId="0000001E">
      <w:pPr>
        <w:rPr/>
      </w:pPr>
      <w:r w:rsidDel="00000000" w:rsidR="00000000" w:rsidRPr="00000000">
        <w:rPr>
          <w:rFonts w:ascii="Arial Unicode MS" w:cs="Arial Unicode MS" w:eastAsia="Arial Unicode MS" w:hAnsi="Arial Unicode MS"/>
          <w:rtl w:val="0"/>
        </w:rPr>
        <w:t xml:space="preserve">Active TEAS: entirely POSTOPERATIVE; bilateral ST36, ST37 and SP6; SDZ-V (Hwato); 2–10 Hz; perceptible de qi/tingling then maximum tolerated intensity. Four 30-min sessions: first in PACU when Steward recovery score ≥4, then once between 09:00–11:00 on POD1, POD2 and POD3. PACU intensity was approximately 13–15 mA, with ward intensity 2–5 mA lower. Sham had identical manipulation/sites but a severed wire preventing current delivery.</w:t>
      </w:r>
    </w:p>
    <w:p w:rsidR="00000000" w:rsidDel="00000000" w:rsidP="00000000" w:rsidRDefault="00000000" w:rsidRPr="00000000" w14:paraId="0000001F">
      <w:pPr>
        <w:rPr/>
      </w:pPr>
      <w:r w:rsidDel="00000000" w:rsidR="00000000" w:rsidRPr="00000000">
        <w:rPr>
          <w:rtl w:val="0"/>
        </w:rPr>
        <w:t xml:space="preserve">Primary outcome: POI defined as no flatus for &gt;72 h. POI was 98/303 (32.3%) vs 126/307 (41.0%), P=0.026; unadjusted OR 0.68 (95% CI 0.48–0.96), P=0.029. First flatus: 63.4 ± 29.0 vs 76.3 ± 37.9 h, P&lt;0.001.</w:t>
      </w:r>
    </w:p>
    <w:p w:rsidR="00000000" w:rsidDel="00000000" w:rsidP="00000000" w:rsidRDefault="00000000" w:rsidRPr="00000000" w14:paraId="00000020">
      <w:pPr>
        <w:rPr/>
      </w:pPr>
      <w:r w:rsidDel="00000000" w:rsidR="00000000" w:rsidRPr="00000000">
        <w:rPr>
          <w:rtl w:val="0"/>
        </w:rPr>
        <w:t xml:space="preserve">Randomization/concealment: SPSS block randomization (block size 4); final enrollment/randomization after surgery; central administrator opened sealed envelopes and communicated allocation to intervention executors. This is not the web-based central randomization system described in the stored RoB file.</w:t>
      </w:r>
    </w:p>
    <w:p w:rsidR="00000000" w:rsidDel="00000000" w:rsidP="00000000" w:rsidRDefault="00000000" w:rsidRPr="00000000" w14:paraId="00000021">
      <w:pPr>
        <w:rPr/>
      </w:pPr>
      <w:r w:rsidDel="00000000" w:rsidR="00000000" w:rsidRPr="00000000">
        <w:rPr>
          <w:rtl w:val="0"/>
        </w:rPr>
        <w:t xml:space="preserve">Blinding caveat: participants and other study personnel were intended to be blinded, but the article itself acknowledges that true participant blinding was limited by perceptible active TEAS; intervention executors could not be blinded.</w:t>
      </w:r>
    </w:p>
    <w:p w:rsidR="00000000" w:rsidDel="00000000" w:rsidP="00000000" w:rsidRDefault="00000000" w:rsidRPr="00000000" w14:paraId="00000022">
      <w:pPr>
        <w:rPr/>
      </w:pPr>
      <w:r w:rsidDel="00000000" w:rsidR="00000000" w:rsidRPr="00000000">
        <w:rPr>
          <w:rtl w:val="0"/>
        </w:rPr>
        <w:t xml:space="preserve">Stored RoB failure: `RoB2_Gao_2021_ParalyticIleus_POD5.md` describes only 400 participants (200/200), four hospitals, TEAS at ST36+SP6 twice daily POD1–POD5, 2/100 Hz at 10–20 mA, a central web-based randomization system, complete successful participant blinding confirmed by questionnaires, and POI 21/200 vs 41/200 within five days. These central facts are not the supplied Gao trial. The correct endpoint is no flatus &gt;72 h with 98/303 vs 126/307.</w:t>
      </w:r>
    </w:p>
    <w:p w:rsidR="00000000" w:rsidDel="00000000" w:rsidP="00000000" w:rsidRDefault="00000000" w:rsidRPr="00000000" w14:paraId="00000023">
      <w:pPr>
        <w:rPr/>
      </w:pPr>
      <w:r w:rsidDel="00000000" w:rsidR="00000000" w:rsidRPr="00000000">
        <w:rPr>
          <w:rtl w:val="0"/>
        </w:rPr>
        <w:t xml:space="preserve">Decision: retain the source/Gemini extraction. Discard the stored RoB assessment and redo RoB 2 for the actual POI result using the correct 610-person denominator, intervention schedule, sensory-blinding limitation and sealed-envelope allocation process.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Batch 7 synthesis-critical flags</w:t>
      </w:r>
    </w:p>
    <w:p w:rsidR="00000000" w:rsidDel="00000000" w:rsidP="00000000" w:rsidRDefault="00000000" w:rsidRPr="00000000" w14:paraId="00000026">
      <w:pPr>
        <w:rPr/>
      </w:pPr>
      <w:r w:rsidDel="00000000" w:rsidR="00000000" w:rsidRPr="00000000">
        <w:rPr>
          <w:rtl w:val="0"/>
        </w:rPr>
        <w:t xml:space="preserve">• Xiong 2021: correct study/result in RoB file, but important signaling evidence and cointervention doses are wrong; correct rather than wholesale discard.</w:t>
      </w:r>
    </w:p>
    <w:p w:rsidR="00000000" w:rsidDel="00000000" w:rsidP="00000000" w:rsidRDefault="00000000" w:rsidRPr="00000000" w14:paraId="00000027">
      <w:pPr>
        <w:rPr/>
      </w:pPr>
      <w:r w:rsidDel="00000000" w:rsidR="00000000" w:rsidRPr="00000000">
        <w:rPr>
          <w:rtl w:val="0"/>
        </w:rPr>
        <w:t xml:space="preserve">• Li 2021: 306 randomized / 280 per-protocol analyzed, not 120/120; flatus is median [IQR], not fabricated mean ± SD; Gemini silently corrected an implausible sufentanil unit without source support.</w:t>
      </w:r>
    </w:p>
    <w:p w:rsidR="00000000" w:rsidDel="00000000" w:rsidP="00000000" w:rsidRDefault="00000000" w:rsidRPr="00000000" w14:paraId="00000028">
      <w:pPr>
        <w:rPr/>
      </w:pPr>
      <w:r w:rsidDel="00000000" w:rsidR="00000000" w:rsidRPr="00000000">
        <w:rPr>
          <w:rtl w:val="0"/>
        </w:rPr>
        <w:t xml:space="preserve">• Gao 2021: actual 610-person, 10-center trial with postoperative-only ST36/ST37/SP6 TEAS and POI 98/303 vs 126/307; stored RoB describes a different 400-person trial/result.</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Updated QC rule – plausible correction is still a correction</w:t>
      </w:r>
    </w:p>
    <w:p w:rsidR="00000000" w:rsidDel="00000000" w:rsidP="00000000" w:rsidRDefault="00000000" w:rsidRPr="00000000" w14:paraId="0000002B">
      <w:pPr>
        <w:rPr/>
      </w:pPr>
      <w:r w:rsidDel="00000000" w:rsidR="00000000" w:rsidRPr="00000000">
        <w:rPr>
          <w:rtl w:val="0"/>
        </w:rPr>
        <w:t xml:space="preserve">When a source contains an implausible unit or apparent typo, do not silently normalize it because the clinically plausible value appears obvious. Preserve the published value, label it as a probable source error, and verify against protocol, registry, supplement or author before using a corrected value in quantitative synthesis.</w:t>
      </w:r>
    </w:p>
    <w:p w:rsidR="00000000" w:rsidDel="00000000" w:rsidP="00000000" w:rsidRDefault="00000000" w:rsidRPr="00000000" w14:paraId="0000002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