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TEAS EA Reconciliation Audit – Batch 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Scope</w:t>
      </w:r>
    </w:p>
    <w:p w:rsidR="00000000" w:rsidDel="00000000" w:rsidP="00000000" w:rsidRDefault="00000000" w:rsidRPr="00000000" w14:paraId="00000004">
      <w:pPr>
        <w:rPr/>
      </w:pPr>
      <w:r w:rsidDel="00000000" w:rsidR="00000000" w:rsidRPr="00000000">
        <w:rPr>
          <w:rtl w:val="0"/>
        </w:rPr>
        <w:t xml:space="preserve">Independent reconciliation of the next three unreconciled 2021 studies. Source PDF was treated as primary evidence. Existing Covidence/full extraction and Gemini extraction were checked for source consistency. Existing RoB 2 files were accepted only if study identity, intervention, sample, outcome/timepoint and numerical result matched the source.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Lu et al. 2021 – Study #414</w:t>
      </w:r>
    </w:p>
    <w:p w:rsidR="00000000" w:rsidDel="00000000" w:rsidP="00000000" w:rsidRDefault="00000000" w:rsidRPr="00000000" w14:paraId="00000007">
      <w:pPr>
        <w:rPr/>
      </w:pPr>
      <w:r w:rsidDel="00000000" w:rsidR="00000000" w:rsidRPr="00000000">
        <w:rPr>
          <w:rtl w:val="0"/>
        </w:rPr>
        <w:t xml:space="preserve">Source: covidence_414_full_article.pdf</w:t>
      </w:r>
    </w:p>
    <w:p w:rsidR="00000000" w:rsidDel="00000000" w:rsidP="00000000" w:rsidRDefault="00000000" w:rsidRPr="00000000" w14:paraId="00000008">
      <w:pPr>
        <w:rPr/>
      </w:pPr>
      <w:r w:rsidDel="00000000" w:rsidR="00000000" w:rsidRPr="00000000">
        <w:rPr>
          <w:rtl w:val="0"/>
        </w:rPr>
        <w:t xml:space="preserve">Article: Transcutaneous electrical acupoint stimulation before surgery reduces chronic pain after mastectomy: A randomized clinical trial. Journal of Clinical Anesthesia 74 (2021) 110453. NCT02741726.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Source-verified trial facts</w:t>
      </w:r>
    </w:p>
    <w:p w:rsidR="00000000" w:rsidDel="00000000" w:rsidP="00000000" w:rsidRDefault="00000000" w:rsidRPr="00000000" w14:paraId="0000000B">
      <w:pPr>
        <w:rPr/>
      </w:pPr>
      <w:r w:rsidDel="00000000" w:rsidR="00000000" w:rsidRPr="00000000">
        <w:rPr>
          <w:rtl w:val="0"/>
        </w:rPr>
        <w:t xml:space="preserve">- Six-center randomized trial in women undergoing radical mastectomy.</w:t>
      </w:r>
    </w:p>
    <w:p w:rsidR="00000000" w:rsidDel="00000000" w:rsidP="00000000" w:rsidRDefault="00000000" w:rsidRPr="00000000" w14:paraId="0000000C">
      <w:pPr>
        <w:rPr/>
      </w:pPr>
      <w:r w:rsidDel="00000000" w:rsidR="00000000" w:rsidRPr="00000000">
        <w:rPr>
          <w:rtl w:val="0"/>
        </w:rPr>
        <w:t xml:space="preserve">- 576 randomized: sham 188; single-acupoint PC6 198; combined PC6 + CV17 190.</w:t>
      </w:r>
    </w:p>
    <w:p w:rsidR="00000000" w:rsidDel="00000000" w:rsidP="00000000" w:rsidRDefault="00000000" w:rsidRPr="00000000" w14:paraId="0000000D">
      <w:pPr>
        <w:rPr/>
      </w:pPr>
      <w:r w:rsidDel="00000000" w:rsidR="00000000" w:rsidRPr="00000000">
        <w:rPr>
          <w:rtl w:val="0"/>
        </w:rPr>
        <w:t xml:space="preserve">- TEAS: one 30-minute pre-induction session only; disperse-dense 2/10 Hz; intensity at maximal tolerated Teh Chi/de qi sensation.</w:t>
      </w:r>
    </w:p>
    <w:p w:rsidR="00000000" w:rsidDel="00000000" w:rsidP="00000000" w:rsidRDefault="00000000" w:rsidRPr="00000000" w14:paraId="0000000E">
      <w:pPr>
        <w:rPr/>
      </w:pPr>
      <w:r w:rsidDel="00000000" w:rsidR="00000000" w:rsidRPr="00000000">
        <w:rPr>
          <w:rtl w:val="0"/>
        </w:rPr>
        <w:t xml:space="preserve">- Patients and intervention investigators were not masked; surgeons, anesthesiologists, ward staff and outcome assessors were blinded.</w:t>
      </w:r>
    </w:p>
    <w:p w:rsidR="00000000" w:rsidDel="00000000" w:rsidP="00000000" w:rsidRDefault="00000000" w:rsidRPr="00000000" w14:paraId="0000000F">
      <w:pPr>
        <w:rPr/>
      </w:pPr>
      <w:r w:rsidDel="00000000" w:rsidR="00000000" w:rsidRPr="00000000">
        <w:rPr>
          <w:rtl w:val="0"/>
        </w:rPr>
        <w:t xml:space="preserve">- Primary outcome was chronic post-mastectomy pain at 6 months.</w:t>
      </w:r>
    </w:p>
    <w:p w:rsidR="00000000" w:rsidDel="00000000" w:rsidP="00000000" w:rsidRDefault="00000000" w:rsidRPr="00000000" w14:paraId="00000010">
      <w:pPr>
        <w:rPr/>
      </w:pPr>
      <w:r w:rsidDel="00000000" w:rsidR="00000000" w:rsidRPr="00000000">
        <w:rPr>
          <w:rtl w:val="0"/>
        </w:rPr>
        <w:t xml:space="preserve">- Main 6-month event counts in Table 2: sham 65/188; single PC6 72/198; combined PC6+CV17 42/190. The article contains internal inconsistencies in some printed pairwise P-values/RRs, which should be preserved and flagged rather than silently reconciled.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Extraction reconciliation</w:t>
      </w:r>
    </w:p>
    <w:p w:rsidR="00000000" w:rsidDel="00000000" w:rsidP="00000000" w:rsidRDefault="00000000" w:rsidRPr="00000000" w14:paraId="00000013">
      <w:pPr>
        <w:rPr/>
      </w:pPr>
      <w:r w:rsidDel="00000000" w:rsidR="00000000" w:rsidRPr="00000000">
        <w:rPr>
          <w:rtl w:val="0"/>
        </w:rPr>
        <w:t xml:space="preserve">- Covidence/full extraction and Gemini extraction are broadly source-consistent.</w:t>
      </w:r>
    </w:p>
    <w:p w:rsidR="00000000" w:rsidDel="00000000" w:rsidP="00000000" w:rsidRDefault="00000000" w:rsidRPr="00000000" w14:paraId="00000014">
      <w:pPr>
        <w:rPr/>
      </w:pPr>
      <w:r w:rsidDel="00000000" w:rsidR="00000000" w:rsidRPr="00000000">
        <w:rPr>
          <w:rtl w:val="0"/>
        </w:rPr>
        <w:t xml:space="preserve">- Important caveat: Gemini wording that 568 completed and were analyzed in the ITT population is imprecise. The trial used full randomized denominators for ITT with worst-case handling of missing follow-up; 568 were completers/per-protocol participants.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RoB 2 audit</w:t>
      </w:r>
    </w:p>
    <w:p w:rsidR="00000000" w:rsidDel="00000000" w:rsidP="00000000" w:rsidRDefault="00000000" w:rsidRPr="00000000" w14:paraId="00000017">
      <w:pPr>
        <w:rPr/>
      </w:pPr>
      <w:r w:rsidDel="00000000" w:rsidR="00000000" w:rsidRPr="00000000">
        <w:rPr>
          <w:rtl w:val="0"/>
        </w:rPr>
        <w:t xml:space="preserve">STATUS: INVALID – FULL REASSESSMENT REQUIRED.</w:t>
      </w:r>
    </w:p>
    <w:p w:rsidR="00000000" w:rsidDel="00000000" w:rsidP="00000000" w:rsidRDefault="00000000" w:rsidRPr="00000000" w14:paraId="00000018">
      <w:pPr>
        <w:rPr/>
      </w:pPr>
      <w:r w:rsidDel="00000000" w:rsidR="00000000" w:rsidRPr="00000000">
        <w:rPr>
          <w:rtl w:val="0"/>
        </w:rPr>
        <w:t xml:space="preserve">The stored RoB2_Lu_2021_ModerateToSeverePain_24h.md does not describe the source trial correctly. It changes:</w:t>
      </w:r>
    </w:p>
    <w:p w:rsidR="00000000" w:rsidDel="00000000" w:rsidP="00000000" w:rsidRDefault="00000000" w:rsidRPr="00000000" w14:paraId="00000019">
      <w:pPr>
        <w:rPr/>
      </w:pPr>
      <w:r w:rsidDel="00000000" w:rsidR="00000000" w:rsidRPr="00000000">
        <w:rPr>
          <w:rtl w:val="0"/>
        </w:rPr>
        <w:t xml:space="preserve">- randomized sample from 576 to 564 and forces equal 188-per-arm allocation;</w:t>
      </w:r>
    </w:p>
    <w:p w:rsidR="00000000" w:rsidDel="00000000" w:rsidP="00000000" w:rsidRDefault="00000000" w:rsidRPr="00000000" w14:paraId="0000001A">
      <w:pPr>
        <w:rPr/>
      </w:pPr>
      <w:r w:rsidDel="00000000" w:rsidR="00000000" w:rsidRPr="00000000">
        <w:rPr>
          <w:rtl w:val="0"/>
        </w:rPr>
        <w:t xml:space="preserve">- acupoints from PC6 and PC6+CV17 to LI4/SP6;</w:t>
      </w:r>
    </w:p>
    <w:p w:rsidR="00000000" w:rsidDel="00000000" w:rsidP="00000000" w:rsidRDefault="00000000" w:rsidRPr="00000000" w14:paraId="0000001B">
      <w:pPr>
        <w:rPr/>
      </w:pPr>
      <w:r w:rsidDel="00000000" w:rsidR="00000000" w:rsidRPr="00000000">
        <w:rPr>
          <w:rtl w:val="0"/>
        </w:rPr>
        <w:t xml:space="preserve">- frequency from 2/10 Hz to 2/100 Hz;</w:t>
      </w:r>
    </w:p>
    <w:p w:rsidR="00000000" w:rsidDel="00000000" w:rsidP="00000000" w:rsidRDefault="00000000" w:rsidRPr="00000000" w14:paraId="0000001C">
      <w:pPr>
        <w:rPr/>
      </w:pPr>
      <w:r w:rsidDel="00000000" w:rsidR="00000000" w:rsidRPr="00000000">
        <w:rPr>
          <w:rtl w:val="0"/>
        </w:rPr>
        <w:t xml:space="preserve">- intensity from maximal tolerated sensation to invented 10–20 mA;</w:t>
      </w:r>
    </w:p>
    <w:p w:rsidR="00000000" w:rsidDel="00000000" w:rsidP="00000000" w:rsidRDefault="00000000" w:rsidRPr="00000000" w14:paraId="0000001D">
      <w:pPr>
        <w:rPr/>
      </w:pPr>
      <w:r w:rsidDel="00000000" w:rsidR="00000000" w:rsidRPr="00000000">
        <w:rPr>
          <w:rtl w:val="0"/>
        </w:rPr>
        <w:t xml:space="preserve">- patient masking from explicitly unmasked to successfully blinded;</w:t>
      </w:r>
    </w:p>
    <w:p w:rsidR="00000000" w:rsidDel="00000000" w:rsidP="00000000" w:rsidRDefault="00000000" w:rsidRPr="00000000" w14:paraId="0000001E">
      <w:pPr>
        <w:rPr/>
      </w:pPr>
      <w:r w:rsidDel="00000000" w:rsidR="00000000" w:rsidRPr="00000000">
        <w:rPr>
          <w:rtl w:val="0"/>
        </w:rPr>
        <w:t xml:space="preserve">- primary/result focus to a fabricated 24-h moderate-to-severe pain endpoint with 26/188 vs 58/188;</w:t>
      </w:r>
    </w:p>
    <w:p w:rsidR="00000000" w:rsidDel="00000000" w:rsidP="00000000" w:rsidRDefault="00000000" w:rsidRPr="00000000" w14:paraId="0000001F">
      <w:pPr>
        <w:rPr/>
      </w:pPr>
      <w:r w:rsidDel="00000000" w:rsidR="00000000" w:rsidRPr="00000000">
        <w:rPr>
          <w:rtl w:val="0"/>
        </w:rPr>
        <w:t xml:space="preserve">- postoperative opioid findings, including claimed 24-h sufentanil reduction, not supported by the main article.</w:t>
      </w:r>
    </w:p>
    <w:p w:rsidR="00000000" w:rsidDel="00000000" w:rsidP="00000000" w:rsidRDefault="00000000" w:rsidRPr="00000000" w14:paraId="00000020">
      <w:pPr>
        <w:rPr/>
      </w:pPr>
      <w:r w:rsidDel="00000000" w:rsidR="00000000" w:rsidRPr="00000000">
        <w:rPr>
          <w:rtl w:val="0"/>
        </w:rPr>
        <w:t xml:space="preserve">Do not patch this RoB assessment field-by-field. Replace it with a new result-specific RoB 2 assessment using the correct source and selected review outcome/timepoint.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 Liang et al. 2021 – Study #14</w:t>
      </w:r>
    </w:p>
    <w:p w:rsidR="00000000" w:rsidDel="00000000" w:rsidP="00000000" w:rsidRDefault="00000000" w:rsidRPr="00000000" w14:paraId="00000023">
      <w:pPr>
        <w:rPr/>
      </w:pPr>
      <w:r w:rsidDel="00000000" w:rsidR="00000000" w:rsidRPr="00000000">
        <w:rPr>
          <w:rtl w:val="0"/>
        </w:rPr>
        <w:t xml:space="preserve">Source: 014_liang_2021.pdf</w:t>
      </w:r>
    </w:p>
    <w:p w:rsidR="00000000" w:rsidDel="00000000" w:rsidP="00000000" w:rsidRDefault="00000000" w:rsidRPr="00000000" w14:paraId="00000024">
      <w:pPr>
        <w:rPr/>
      </w:pPr>
      <w:r w:rsidDel="00000000" w:rsidR="00000000" w:rsidRPr="00000000">
        <w:rPr>
          <w:rtl w:val="0"/>
        </w:rPr>
        <w:t xml:space="preserve">Article: The Effect of Transcutaneous Electrical Acupoint Stimulation on Postoperative Catheter-Related Bladder Discomfort in Patients Undergoing Transurethral Resection of the Prostate. Evidence-Based Complementary and Alternative Medicine. 2021:6691459. ChiCTR1800019951.</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Source-verified trial facts</w:t>
      </w:r>
    </w:p>
    <w:p w:rsidR="00000000" w:rsidDel="00000000" w:rsidP="00000000" w:rsidRDefault="00000000" w:rsidRPr="00000000" w14:paraId="00000027">
      <w:pPr>
        <w:rPr/>
      </w:pPr>
      <w:r w:rsidDel="00000000" w:rsidR="00000000" w:rsidRPr="00000000">
        <w:rPr>
          <w:rtl w:val="0"/>
        </w:rPr>
        <w:t xml:space="preserve">- TURP under general anesthesia in male patients with BPH.</w:t>
      </w:r>
    </w:p>
    <w:p w:rsidR="00000000" w:rsidDel="00000000" w:rsidP="00000000" w:rsidRDefault="00000000" w:rsidRPr="00000000" w14:paraId="00000028">
      <w:pPr>
        <w:rPr/>
      </w:pPr>
      <w:r w:rsidDel="00000000" w:rsidR="00000000" w:rsidRPr="00000000">
        <w:rPr>
          <w:rtl w:val="0"/>
        </w:rPr>
        <w:t xml:space="preserve">- 80 assessed, 75 randomized, 70 analyzed (35/group). The abstract incorrectly says 70 were enrolled.</w:t>
      </w:r>
    </w:p>
    <w:p w:rsidR="00000000" w:rsidDel="00000000" w:rsidP="00000000" w:rsidRDefault="00000000" w:rsidRPr="00000000" w14:paraId="00000029">
      <w:pPr>
        <w:rPr/>
      </w:pPr>
      <w:r w:rsidDel="00000000" w:rsidR="00000000" w:rsidRPr="00000000">
        <w:rPr>
          <w:rtl w:val="0"/>
        </w:rPr>
        <w:t xml:space="preserve">- One preoperative TEAS session, 30 min, 2/100 Hz, maximal tolerated without discomfort.</w:t>
      </w:r>
    </w:p>
    <w:p w:rsidR="00000000" w:rsidDel="00000000" w:rsidP="00000000" w:rsidRDefault="00000000" w:rsidRPr="00000000" w14:paraId="0000002A">
      <w:pPr>
        <w:rPr/>
      </w:pPr>
      <w:r w:rsidDel="00000000" w:rsidR="00000000" w:rsidRPr="00000000">
        <w:rPr>
          <w:rtl w:val="0"/>
        </w:rPr>
        <w:t xml:space="preserve">- Acupoints: RN7, RN6, RN5, RN4, RN3 and bilateral BL32, BL33, BL34.</w:t>
      </w:r>
    </w:p>
    <w:p w:rsidR="00000000" w:rsidDel="00000000" w:rsidP="00000000" w:rsidRDefault="00000000" w:rsidRPr="00000000" w14:paraId="0000002B">
      <w:pPr>
        <w:rPr/>
      </w:pPr>
      <w:r w:rsidDel="00000000" w:rsidR="00000000" w:rsidRPr="00000000">
        <w:rPr>
          <w:rtl w:val="0"/>
        </w:rPr>
        <w:t xml:space="preserve">- Control: no electrical stimulation; exact sensory-matched sham procedure not adequately described.</w:t>
      </w:r>
    </w:p>
    <w:p w:rsidR="00000000" w:rsidDel="00000000" w:rsidP="00000000" w:rsidRDefault="00000000" w:rsidRPr="00000000" w14:paraId="0000002C">
      <w:pPr>
        <w:rPr/>
      </w:pPr>
      <w:r w:rsidDel="00000000" w:rsidR="00000000" w:rsidRPr="00000000">
        <w:rPr>
          <w:rtl w:val="0"/>
        </w:rPr>
        <w:t xml:space="preserve">- CRBD assessed at end of surgery, PACU discharge, 24 h and 48 h.</w:t>
      </w:r>
    </w:p>
    <w:p w:rsidR="00000000" w:rsidDel="00000000" w:rsidP="00000000" w:rsidRDefault="00000000" w:rsidRPr="00000000" w14:paraId="0000002D">
      <w:pPr>
        <w:rPr/>
      </w:pPr>
      <w:r w:rsidDel="00000000" w:rsidR="00000000" w:rsidRPr="00000000">
        <w:rPr>
          <w:rtl w:val="0"/>
        </w:rPr>
        <w:t xml:space="preserve">- CRBD incidence: end surgery 9/35 vs 28/35; PACU discharge 20/35 vs 28/35; 24 h 7/35 vs 31/35; 48 h 4/35 vs 19/35 in Table 2. The abstract gives a conflicting 48-h control value.</w:t>
      </w:r>
    </w:p>
    <w:p w:rsidR="00000000" w:rsidDel="00000000" w:rsidP="00000000" w:rsidRDefault="00000000" w:rsidRPr="00000000" w14:paraId="0000002E">
      <w:pPr>
        <w:rPr/>
      </w:pPr>
      <w:r w:rsidDel="00000000" w:rsidR="00000000" w:rsidRPr="00000000">
        <w:rPr>
          <w:rtl w:val="0"/>
        </w:rPr>
        <w:t xml:space="preserve">- Major article inconsistencies requiring preservation: inclusion age 18–64 despite baseline mean ages around 70; implausible cisatracurium/sufentanil dose units; Methods say 30-min TEAS while flow diagram says 3 min.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Extraction reconciliation</w:t>
      </w:r>
    </w:p>
    <w:p w:rsidR="00000000" w:rsidDel="00000000" w:rsidP="00000000" w:rsidRDefault="00000000" w:rsidRPr="00000000" w14:paraId="00000031">
      <w:pPr>
        <w:rPr/>
      </w:pPr>
      <w:r w:rsidDel="00000000" w:rsidR="00000000" w:rsidRPr="00000000">
        <w:rPr>
          <w:rtl w:val="0"/>
        </w:rPr>
        <w:t xml:space="preserve">- Covidence/full extraction is source-consistent and appropriately flags the internal contradictions.</w:t>
      </w:r>
    </w:p>
    <w:p w:rsidR="00000000" w:rsidDel="00000000" w:rsidP="00000000" w:rsidRDefault="00000000" w:rsidRPr="00000000" w14:paraId="00000032">
      <w:pPr>
        <w:rPr/>
      </w:pPr>
      <w:r w:rsidDel="00000000" w:rsidR="00000000" w:rsidRPr="00000000">
        <w:rPr>
          <w:rtl w:val="0"/>
        </w:rPr>
        <w:t xml:space="preserve">- Gemini is broadly source-consistent but should not be used to override the publication’s unresolved inconsistencies.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RoB 2 audit</w:t>
      </w:r>
    </w:p>
    <w:p w:rsidR="00000000" w:rsidDel="00000000" w:rsidP="00000000" w:rsidRDefault="00000000" w:rsidRPr="00000000" w14:paraId="00000035">
      <w:pPr>
        <w:rPr/>
      </w:pPr>
      <w:r w:rsidDel="00000000" w:rsidR="00000000" w:rsidRPr="00000000">
        <w:rPr>
          <w:rtl w:val="0"/>
        </w:rPr>
        <w:t xml:space="preserve">STATUS: INVALID – FULL REASSESSMENT REQUIRED.</w:t>
      </w:r>
    </w:p>
    <w:p w:rsidR="00000000" w:rsidDel="00000000" w:rsidP="00000000" w:rsidRDefault="00000000" w:rsidRPr="00000000" w14:paraId="00000036">
      <w:pPr>
        <w:rPr/>
      </w:pPr>
      <w:r w:rsidDel="00000000" w:rsidR="00000000" w:rsidRPr="00000000">
        <w:rPr>
          <w:rtl w:val="0"/>
        </w:rPr>
        <w:t xml:space="preserve">The stored RoB2_Liang_2021_IncidenceCRBD_6h.md describes a different trial configuration. It changes:</w:t>
      </w:r>
    </w:p>
    <w:p w:rsidR="00000000" w:rsidDel="00000000" w:rsidP="00000000" w:rsidRDefault="00000000" w:rsidRPr="00000000" w14:paraId="00000037">
      <w:pPr>
        <w:rPr/>
      </w:pPr>
      <w:r w:rsidDel="00000000" w:rsidR="00000000" w:rsidRPr="00000000">
        <w:rPr>
          <w:rtl w:val="0"/>
        </w:rPr>
        <w:t xml:space="preserve">- anesthesia from general anesthesia to combined spinal-epidural;</w:t>
      </w:r>
    </w:p>
    <w:p w:rsidR="00000000" w:rsidDel="00000000" w:rsidP="00000000" w:rsidRDefault="00000000" w:rsidRPr="00000000" w14:paraId="00000038">
      <w:pPr>
        <w:rPr/>
      </w:pPr>
      <w:r w:rsidDel="00000000" w:rsidR="00000000" w:rsidRPr="00000000">
        <w:rPr>
          <w:rtl w:val="0"/>
        </w:rPr>
        <w:t xml:space="preserve">- acupoints to CV4/CV3/BL23;</w:t>
      </w:r>
    </w:p>
    <w:p w:rsidR="00000000" w:rsidDel="00000000" w:rsidP="00000000" w:rsidRDefault="00000000" w:rsidRPr="00000000" w14:paraId="00000039">
      <w:pPr>
        <w:rPr/>
      </w:pPr>
      <w:r w:rsidDel="00000000" w:rsidR="00000000" w:rsidRPr="00000000">
        <w:rPr>
          <w:rtl w:val="0"/>
        </w:rPr>
        <w:t xml:space="preserve">- intervention timing to preoperative plus a second PACU treatment;</w:t>
      </w:r>
    </w:p>
    <w:p w:rsidR="00000000" w:rsidDel="00000000" w:rsidP="00000000" w:rsidRDefault="00000000" w:rsidRPr="00000000" w14:paraId="0000003A">
      <w:pPr>
        <w:rPr/>
      </w:pPr>
      <w:r w:rsidDel="00000000" w:rsidR="00000000" w:rsidRPr="00000000">
        <w:rPr>
          <w:rtl w:val="0"/>
        </w:rPr>
        <w:t xml:space="preserve">- control to identical sham electrodes despite the source not clearly describing a sensory-matched sham;</w:t>
      </w:r>
    </w:p>
    <w:p w:rsidR="00000000" w:rsidDel="00000000" w:rsidP="00000000" w:rsidRDefault="00000000" w:rsidRPr="00000000" w14:paraId="0000003B">
      <w:pPr>
        <w:rPr/>
      </w:pPr>
      <w:r w:rsidDel="00000000" w:rsidR="00000000" w:rsidRPr="00000000">
        <w:rPr>
          <w:rtl w:val="0"/>
        </w:rPr>
        <w:t xml:space="preserve">- randomized sample to 70 with no missing data, ignoring 75 randomized and 5 post-randomization losses;</w:t>
      </w:r>
    </w:p>
    <w:p w:rsidR="00000000" w:rsidDel="00000000" w:rsidP="00000000" w:rsidRDefault="00000000" w:rsidRPr="00000000" w14:paraId="0000003C">
      <w:pPr>
        <w:rPr/>
      </w:pPr>
      <w:r w:rsidDel="00000000" w:rsidR="00000000" w:rsidRPr="00000000">
        <w:rPr>
          <w:rtl w:val="0"/>
        </w:rPr>
        <w:t xml:space="preserve">- outcome timing to 6 h, which was not a reported CRBD assessment timepoint;</w:t>
      </w:r>
    </w:p>
    <w:p w:rsidR="00000000" w:rsidDel="00000000" w:rsidP="00000000" w:rsidRDefault="00000000" w:rsidRPr="00000000" w14:paraId="0000003D">
      <w:pPr>
        <w:rPr/>
      </w:pPr>
      <w:r w:rsidDel="00000000" w:rsidR="00000000" w:rsidRPr="00000000">
        <w:rPr>
          <w:rtl w:val="0"/>
        </w:rPr>
        <w:t xml:space="preserve">- numerical result to fabricated 11/35 vs 22/35 at 6 h.</w:t>
      </w:r>
    </w:p>
    <w:p w:rsidR="00000000" w:rsidDel="00000000" w:rsidP="00000000" w:rsidRDefault="00000000" w:rsidRPr="00000000" w14:paraId="0000003E">
      <w:pPr>
        <w:rPr/>
      </w:pPr>
      <w:r w:rsidDel="00000000" w:rsidR="00000000" w:rsidRPr="00000000">
        <w:rPr>
          <w:rtl w:val="0"/>
        </w:rPr>
        <w:t xml:space="preserve">This stored RoB assessment cannot be retained.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 Liu et al. 2021</w:t>
      </w:r>
    </w:p>
    <w:p w:rsidR="00000000" w:rsidDel="00000000" w:rsidP="00000000" w:rsidRDefault="00000000" w:rsidRPr="00000000" w14:paraId="00000041">
      <w:pPr>
        <w:rPr/>
      </w:pPr>
      <w:r w:rsidDel="00000000" w:rsidR="00000000" w:rsidRPr="00000000">
        <w:rPr>
          <w:rtl w:val="0"/>
        </w:rPr>
        <w:t xml:space="preserve">Source: getfile.php-2.pdf</w:t>
      </w:r>
    </w:p>
    <w:p w:rsidR="00000000" w:rsidDel="00000000" w:rsidP="00000000" w:rsidRDefault="00000000" w:rsidRPr="00000000" w14:paraId="00000042">
      <w:pPr>
        <w:rPr/>
      </w:pPr>
      <w:r w:rsidDel="00000000" w:rsidR="00000000" w:rsidRPr="00000000">
        <w:rPr>
          <w:rtl w:val="0"/>
        </w:rPr>
        <w:t xml:space="preserve">Article: Effects of Transcutaneous Electrical Acupoint Stimulation on Postoperative Cognitive Decline in Elderly Patients: A Pilot Study. Clinical Interventions in Aging. 2021;16:757–765. DOI 10.2147/CIA.S309082. ChiCTR2000040397.</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Source-verified trial facts</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Single-center randomized pilot trial in patients aged ≥65 years undergoing laparoscopic radical colon-cancer resection.</w:t>
      </w:r>
    </w:p>
    <w:p w:rsidR="00000000" w:rsidDel="00000000" w:rsidP="00000000" w:rsidRDefault="00000000" w:rsidRPr="00000000" w14:paraId="00000046">
      <w:pPr>
        <w:rPr/>
      </w:pPr>
      <w:r w:rsidDel="00000000" w:rsidR="00000000" w:rsidRPr="00000000">
        <w:rPr>
          <w:rtl w:val="0"/>
        </w:rPr>
        <w:t xml:space="preserve">- 100 randomized and analyzed, 50/group; no post-randomization attrition reported.</w:t>
      </w:r>
    </w:p>
    <w:p w:rsidR="00000000" w:rsidDel="00000000" w:rsidP="00000000" w:rsidRDefault="00000000" w:rsidRPr="00000000" w14:paraId="00000047">
      <w:pPr>
        <w:rPr/>
      </w:pPr>
      <w:r w:rsidDel="00000000" w:rsidR="00000000" w:rsidRPr="00000000">
        <w:rPr>
          <w:rtl w:val="0"/>
        </w:rPr>
        <w:t xml:space="preserve">- TEAS at PC6, LI4 and ST36 from 30 min before induction continuously until the end of surgery.</w:t>
      </w:r>
    </w:p>
    <w:p w:rsidR="00000000" w:rsidDel="00000000" w:rsidP="00000000" w:rsidRDefault="00000000" w:rsidRPr="00000000" w14:paraId="00000048">
      <w:pPr>
        <w:rPr/>
      </w:pPr>
      <w:r w:rsidDel="00000000" w:rsidR="00000000" w:rsidRPr="00000000">
        <w:rPr>
          <w:rtl w:val="0"/>
        </w:rPr>
        <w:t xml:space="preserve">- Density wave, 2–100 Hz, maximal tolerated intensity; no postoperative TEAS sessions.</w:t>
      </w:r>
    </w:p>
    <w:p w:rsidR="00000000" w:rsidDel="00000000" w:rsidP="00000000" w:rsidRDefault="00000000" w:rsidRPr="00000000" w14:paraId="00000049">
      <w:pPr>
        <w:rPr/>
      </w:pPr>
      <w:r w:rsidDel="00000000" w:rsidR="00000000" w:rsidRPr="00000000">
        <w:rPr>
          <w:rtl w:val="0"/>
        </w:rPr>
        <w:t xml:space="preserve">- Control electrodes at same sites with no current.</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Cognitive outcome based on MMSE-derived Z-score; POCD defined as Z ≤ −2.</w:t>
      </w:r>
    </w:p>
    <w:p w:rsidR="00000000" w:rsidDel="00000000" w:rsidP="00000000" w:rsidRDefault="00000000" w:rsidRPr="00000000" w14:paraId="0000004B">
      <w:pPr>
        <w:rPr/>
      </w:pPr>
      <w:r w:rsidDel="00000000" w:rsidR="00000000" w:rsidRPr="00000000">
        <w:rPr>
          <w:rtl w:val="0"/>
        </w:rPr>
        <w:t xml:space="preserve">- MMSE assessed preoperatively and POD1, POD2, POD3. Individual-day POCD incidence was not statistically different; cumulative duration was lower with TEAS by POD2 and POD3.</w:t>
      </w:r>
    </w:p>
    <w:p w:rsidR="00000000" w:rsidDel="00000000" w:rsidP="00000000" w:rsidRDefault="00000000" w:rsidRPr="00000000" w14:paraId="0000004C">
      <w:pPr>
        <w:rPr/>
      </w:pPr>
      <w:r w:rsidDel="00000000" w:rsidR="00000000" w:rsidRPr="00000000">
        <w:rPr>
          <w:rtl w:val="0"/>
        </w:rPr>
        <w:t xml:space="preserve">- Published individual-day counts: POD1 5/50 vs 11/50; POD2 4/50 vs 8/50; POD3 2/50 vs 5/50. The prose labels 11/50 as 25%, which is internally inconsistent.</w:t>
      </w:r>
    </w:p>
    <w:p w:rsidR="00000000" w:rsidDel="00000000" w:rsidP="00000000" w:rsidRDefault="00000000" w:rsidRPr="00000000" w14:paraId="0000004D">
      <w:pPr>
        <w:rPr/>
      </w:pPr>
      <w:r w:rsidDel="00000000" w:rsidR="00000000" w:rsidRPr="00000000">
        <w:rPr>
          <w:rtl w:val="0"/>
        </w:rPr>
        <w:t xml:space="preserve">- 24-h VAS and PCA compression counts showed no significant group difference; exact postoperative sufentanil dose/MME cannot be reconstructed reliably from the ambiguous pump formulation.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Extraction reconciliation</w:t>
      </w:r>
    </w:p>
    <w:p w:rsidR="00000000" w:rsidDel="00000000" w:rsidP="00000000" w:rsidRDefault="00000000" w:rsidRPr="00000000" w14:paraId="00000050">
      <w:pPr>
        <w:rPr/>
      </w:pPr>
      <w:r w:rsidDel="00000000" w:rsidR="00000000" w:rsidRPr="00000000">
        <w:rPr>
          <w:rtl w:val="0"/>
        </w:rPr>
        <w:t xml:space="preserve">- Covidence/full extraction is source-consistent and appropriately distinguishes PCA compressions from delivered opioid dose.</w:t>
      </w:r>
    </w:p>
    <w:p w:rsidR="00000000" w:rsidDel="00000000" w:rsidP="00000000" w:rsidRDefault="00000000" w:rsidRPr="00000000" w14:paraId="00000051">
      <w:pPr>
        <w:rPr/>
      </w:pPr>
      <w:r w:rsidDel="00000000" w:rsidR="00000000" w:rsidRPr="00000000">
        <w:rPr>
          <w:rtl w:val="0"/>
        </w:rPr>
        <w:t xml:space="preserve">- Gemini is broadly source-consistent, but its DOI is mistyped as CIA.S309982; the source DOI is CIA.S309082.</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RoB 2 audit</w:t>
      </w:r>
    </w:p>
    <w:p w:rsidR="00000000" w:rsidDel="00000000" w:rsidP="00000000" w:rsidRDefault="00000000" w:rsidRPr="00000000" w14:paraId="00000054">
      <w:pPr>
        <w:rPr/>
      </w:pPr>
      <w:r w:rsidDel="00000000" w:rsidR="00000000" w:rsidRPr="00000000">
        <w:rPr>
          <w:rtl w:val="0"/>
        </w:rPr>
        <w:t xml:space="preserve">STATUS: INVALID – FULL REASSESSMENT REQUIRED.</w:t>
      </w:r>
    </w:p>
    <w:p w:rsidR="00000000" w:rsidDel="00000000" w:rsidP="00000000" w:rsidRDefault="00000000" w:rsidRPr="00000000" w14:paraId="00000055">
      <w:pPr>
        <w:rPr/>
      </w:pPr>
      <w:r w:rsidDel="00000000" w:rsidR="00000000" w:rsidRPr="00000000">
        <w:rPr>
          <w:rtl w:val="0"/>
        </w:rPr>
        <w:t xml:space="preserve">The stored RoB2_Liu_2021_CognitiveDecline_POD7.md is not source-compatible. It changes:</w:t>
      </w:r>
    </w:p>
    <w:p w:rsidR="00000000" w:rsidDel="00000000" w:rsidP="00000000" w:rsidRDefault="00000000" w:rsidRPr="00000000" w14:paraId="00000056">
      <w:pPr>
        <w:rPr/>
      </w:pPr>
      <w:r w:rsidDel="00000000" w:rsidR="00000000" w:rsidRPr="00000000">
        <w:rPr>
          <w:rtl w:val="0"/>
        </w:rPr>
        <w:t xml:space="preserve">- sample from 100 (50/50) to 110 (55/55);</w:t>
      </w:r>
    </w:p>
    <w:p w:rsidR="00000000" w:rsidDel="00000000" w:rsidP="00000000" w:rsidRDefault="00000000" w:rsidRPr="00000000" w14:paraId="00000057">
      <w:pPr>
        <w:rPr/>
      </w:pPr>
      <w:r w:rsidDel="00000000" w:rsidR="00000000" w:rsidRPr="00000000">
        <w:rPr>
          <w:rtl w:val="0"/>
        </w:rPr>
        <w:t xml:space="preserve">- acupoints from PC6/LI4/ST36 to GV20/GV14/ST36;</w:t>
      </w:r>
    </w:p>
    <w:p w:rsidR="00000000" w:rsidDel="00000000" w:rsidP="00000000" w:rsidRDefault="00000000" w:rsidRPr="00000000" w14:paraId="00000058">
      <w:pPr>
        <w:rPr/>
      </w:pPr>
      <w:r w:rsidDel="00000000" w:rsidR="00000000" w:rsidRPr="00000000">
        <w:rPr>
          <w:rtl w:val="0"/>
        </w:rPr>
        <w:t xml:space="preserve">- intervention from continuous pre/intraoperative TEAS to preoperative plus daily POD1–3 sessions;</w:t>
      </w:r>
    </w:p>
    <w:p w:rsidR="00000000" w:rsidDel="00000000" w:rsidP="00000000" w:rsidRDefault="00000000" w:rsidRPr="00000000" w14:paraId="00000059">
      <w:pPr>
        <w:rPr/>
      </w:pPr>
      <w:r w:rsidDel="00000000" w:rsidR="00000000" w:rsidRPr="00000000">
        <w:rPr>
          <w:rtl w:val="0"/>
        </w:rPr>
        <w:t xml:space="preserve">- study outcome from MMSE-derived POCD on POD1–3 to a POD7 multi-test neuropsychological battery;</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POCD definition to decline ≥1 SD on ≥2 tests;</w:t>
      </w:r>
    </w:p>
    <w:p w:rsidR="00000000" w:rsidDel="00000000" w:rsidP="00000000" w:rsidRDefault="00000000" w:rsidRPr="00000000" w14:paraId="0000005B">
      <w:pPr>
        <w:rPr/>
      </w:pPr>
      <w:r w:rsidDel="00000000" w:rsidR="00000000" w:rsidRPr="00000000">
        <w:rPr>
          <w:rtl w:val="0"/>
        </w:rPr>
        <w:t xml:space="preserve">- numerical result to fabricated 6/55 vs 15/55 at POD7;</w:t>
      </w:r>
    </w:p>
    <w:p w:rsidR="00000000" w:rsidDel="00000000" w:rsidP="00000000" w:rsidRDefault="00000000" w:rsidRPr="00000000" w14:paraId="0000005C">
      <w:pPr>
        <w:rPr/>
      </w:pPr>
      <w:r w:rsidDel="00000000" w:rsidR="00000000" w:rsidRPr="00000000">
        <w:rPr>
          <w:rtl w:val="0"/>
        </w:rPr>
        <w:t xml:space="preserve">- outcome-assessor description and several registry/analysis details not supported by the supplied article.</w:t>
      </w:r>
    </w:p>
    <w:p w:rsidR="00000000" w:rsidDel="00000000" w:rsidP="00000000" w:rsidRDefault="00000000" w:rsidRPr="00000000" w14:paraId="0000005D">
      <w:pPr>
        <w:rPr/>
      </w:pPr>
      <w:r w:rsidDel="00000000" w:rsidR="00000000" w:rsidRPr="00000000">
        <w:rPr>
          <w:rtl w:val="0"/>
        </w:rPr>
        <w:t xml:space="preserve">Full replacement is required.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Batch 8 overall conclusion</w:t>
      </w:r>
    </w:p>
    <w:p w:rsidR="00000000" w:rsidDel="00000000" w:rsidP="00000000" w:rsidRDefault="00000000" w:rsidRPr="00000000" w14:paraId="00000060">
      <w:pPr>
        <w:rPr/>
      </w:pPr>
      <w:r w:rsidDel="00000000" w:rsidR="00000000" w:rsidRPr="00000000">
        <w:rPr>
          <w:rtl w:val="0"/>
        </w:rPr>
        <w:t xml:space="preserve">All three stored RoB 2 files in this batch are invalid because they alter core study identity, intervention, sample structure, result definition or numerical outcome. The source-grounded Covidence/full extractions are substantially more reliable and should be retained as the reconciliation reference, with the listed publication inconsistencies preserved. Gemini records are generally usable as secondary checks but must not override the source PDF.</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Recommended action</w:t>
      </w:r>
    </w:p>
    <w:p w:rsidR="00000000" w:rsidDel="00000000" w:rsidP="00000000" w:rsidRDefault="00000000" w:rsidRPr="00000000" w14:paraId="00000063">
      <w:pPr>
        <w:rPr/>
      </w:pPr>
      <w:r w:rsidDel="00000000" w:rsidR="00000000" w:rsidRPr="00000000">
        <w:rPr>
          <w:rtl w:val="0"/>
        </w:rPr>
        <w:t xml:space="preserve">1. Do not import any of the three existing RoB judgments into consensus.</w:t>
      </w:r>
    </w:p>
    <w:p w:rsidR="00000000" w:rsidDel="00000000" w:rsidP="00000000" w:rsidRDefault="00000000" w:rsidRPr="00000000" w14:paraId="00000064">
      <w:pPr>
        <w:rPr/>
      </w:pPr>
      <w:r w:rsidDel="00000000" w:rsidR="00000000" w:rsidRPr="00000000">
        <w:rPr>
          <w:rtl w:val="0"/>
        </w:rPr>
        <w:t xml:space="preserve">2. Re-run RoB 2 de novo for the review-specified outcome/timepoint using the correct PDF and, where relevant, the registry/protocol.</w:t>
      </w:r>
    </w:p>
    <w:p w:rsidR="00000000" w:rsidDel="00000000" w:rsidP="00000000" w:rsidRDefault="00000000" w:rsidRPr="00000000" w14:paraId="00000065">
      <w:pPr>
        <w:rPr/>
      </w:pPr>
      <w:r w:rsidDel="00000000" w:rsidR="00000000" w:rsidRPr="00000000">
        <w:rPr>
          <w:rtl w:val="0"/>
        </w:rPr>
        <w:t xml:space="preserve">3. Preserve article inconsistencies as explicit uncertainty rather than resolving by assumption.</w:t>
      </w:r>
    </w:p>
    <w:p w:rsidR="00000000" w:rsidDel="00000000" w:rsidP="00000000" w:rsidRDefault="00000000" w:rsidRPr="00000000" w14:paraId="00000066">
      <w:pPr>
        <w:rPr/>
      </w:pPr>
      <w:r w:rsidDel="00000000" w:rsidR="00000000" w:rsidRPr="00000000">
        <w:rPr>
          <w:rtl w:val="0"/>
        </w:rPr>
        <w:t xml:space="preserve">4. For opioid-sparing synthesis, do not infer continuous 24-h opioid dose where the article only reports PCA demands or ambiguous pump prescriptions.</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