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2937"/>
          <w:sz w:val="32"/>
          <w:szCs w:val="32"/>
        </w:rPr>
        <w:t xml:space="preserve">Materials and Methods</w:t>
      </w:r>
    </w:p>
    <w:p>
      <w:pPr>
        <w:spacing w:after="240"/>
        <w:jc w:val="center"/>
      </w:pPr>
      <w:r>
        <w:rPr>
          <w:rFonts w:ascii="Times New Roman" w:cs="Times New Roman" w:eastAsia="Times New Roman" w:hAnsi="Times New Roman"/>
          <w:i/>
          <w:iCs/>
          <w:color w:val="6B7280"/>
          <w:sz w:val="22"/>
          <w:szCs w:val="22"/>
        </w:rPr>
        <w:t xml:space="preserve">Network-embedded seed degeneration model for evaluating distribution strategies in informal seed systems</w:t>
      </w:r>
    </w:p>
    <w:p>
      <w:pPr>
        <w:pStyle w:val="Heading1"/>
        <w:spacing w:after="160" w:before="320"/>
      </w:pPr>
      <w:r>
        <w:rPr>
          <w:rFonts w:ascii="Times New Roman" w:cs="Times New Roman" w:eastAsia="Times New Roman" w:hAnsi="Times New Roman"/>
          <w:b/>
          <w:bCs/>
          <w:color w:val="1F2937"/>
          <w:sz w:val="26"/>
          <w:szCs w:val="26"/>
        </w:rPr>
        <w:t xml:space="preserve">Overview</w:t>
      </w:r>
    </w:p>
    <w:p>
      <w:pPr>
        <w:spacing w:after="140" w:line="280"/>
        <w:jc w:val="both"/>
      </w:pPr>
      <w:r>
        <w:rPr>
          <w:rFonts w:ascii="Times New Roman" w:cs="Times New Roman" w:eastAsia="Times New Roman" w:hAnsi="Times New Roman"/>
          <w:sz w:val="22"/>
          <w:szCs w:val="22"/>
        </w:rPr>
        <w:t xml:space="preserve">We constructed a stochastic, discrete-time epidemic model in which the within-field seed degeneration dynamics of Thomas-Sharma et al. (2017) are embedded at every node of an empirically observed seed-trade network. The model couples two processes operating on the same time scale: (i) within-node disease dynamics, in which infected and healthy plants compete during a growing season under environmental, vector-management, roguing, and seed-selection forces, producing the seed lot used for the next planting; and (ii) between-node propagation, in which seed of variable health flows along directed, volume-weighted trade edges and is mixed at recipient nodes. Disease is therefore not introduced at any single point but is endemic at the start of every simulation, with its trajectory determined by the joint operation of degeneration and trade. Distribution interventions enter the model as a node-selection rule applied at the start of each season and, when delivery succeeds, as an override of the recipient's seed-health state.</w:t>
      </w:r>
    </w:p>
    <w:p>
      <w:pPr>
        <w:spacing w:after="140" w:line="280"/>
        <w:jc w:val="both"/>
      </w:pPr>
      <w:r>
        <w:rPr>
          <w:rFonts w:ascii="Times New Roman" w:cs="Times New Roman" w:eastAsia="Times New Roman" w:hAnsi="Times New Roman"/>
          <w:sz w:val="22"/>
          <w:szCs w:val="22"/>
        </w:rPr>
        <w:t xml:space="preserve">All analyses were implemented in R (v4.3 or later) using the igraph package for network operations and the seedHealth package for the within-node degeneration model. The full pipeline is organized into nine modular R files: network construction (loading from .rds or Excel sources), parameter definitions, distribution-strategy factories, the core network simulation function, three objective-specific drivers (Objectives 2–4), an analysis module, and a toy-network generator used for testing. Source code and toy-network test scripts are available with the manuscript.</w:t>
      </w:r>
    </w:p>
    <w:p>
      <w:pPr>
        <w:pStyle w:val="Heading1"/>
        <w:spacing w:after="160" w:before="320"/>
      </w:pPr>
      <w:r>
        <w:rPr>
          <w:rFonts w:ascii="Times New Roman" w:cs="Times New Roman" w:eastAsia="Times New Roman" w:hAnsi="Times New Roman"/>
          <w:b/>
          <w:bCs/>
          <w:color w:val="1F2937"/>
          <w:sz w:val="26"/>
          <w:szCs w:val="26"/>
        </w:rPr>
        <w:t xml:space="preserve">Network Representation</w:t>
      </w:r>
    </w:p>
    <w:p>
      <w:pPr>
        <w:spacing w:after="140" w:line="280"/>
        <w:jc w:val="both"/>
      </w:pPr>
      <w:r>
        <w:rPr>
          <w:rFonts w:ascii="Times New Roman" w:cs="Times New Roman" w:eastAsia="Times New Roman" w:hAnsi="Times New Roman"/>
          <w:sz w:val="22"/>
          <w:szCs w:val="22"/>
        </w:rPr>
        <w:t xml:space="preserve">The seed-trade network was represented as a directed weighted graph </w:t>
      </w:r>
      <w:r>
        <w:rPr>
          <w:rFonts w:ascii="Times New Roman" w:cs="Times New Roman" w:eastAsia="Times New Roman" w:hAnsi="Times New Roman"/>
          <w:i/>
          <w:iCs/>
          <w:sz w:val="22"/>
          <w:szCs w:val="22"/>
        </w:rPr>
        <w:t xml:space="preserve">G = (V, E, W)</w:t>
      </w:r>
      <w:r>
        <w:rPr>
          <w:rFonts w:ascii="Times New Roman" w:cs="Times New Roman" w:eastAsia="Times New Roman" w:hAnsi="Times New Roman"/>
          <w:sz w:val="22"/>
          <w:szCs w:val="22"/>
        </w:rPr>
        <w:t xml:space="preserve">, where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denotes the set of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actors (nodes), </w:t>
      </w:r>
      <w:r>
        <w:rPr>
          <w:rFonts w:ascii="Times New Roman" w:cs="Times New Roman" w:eastAsia="Times New Roman" w:hAnsi="Times New Roman"/>
          <w:i/>
          <w:iCs/>
          <w:sz w:val="22"/>
          <w:szCs w:val="22"/>
        </w:rPr>
        <w:t xml:space="preserve">E ⊆ V × V</w:t>
      </w:r>
      <w:r>
        <w:rPr>
          <w:rFonts w:ascii="Times New Roman" w:cs="Times New Roman" w:eastAsia="Times New Roman" w:hAnsi="Times New Roman"/>
          <w:sz w:val="22"/>
          <w:szCs w:val="22"/>
        </w:rPr>
        <w:t xml:space="preserve"> the set of directed seed transactions, and </w:t>
      </w:r>
      <w:r>
        <w:rPr>
          <w:rFonts w:ascii="Times New Roman" w:cs="Times New Roman" w:eastAsia="Times New Roman" w:hAnsi="Times New Roman"/>
          <w:i/>
          <w:iCs/>
          <w:sz w:val="22"/>
          <w:szCs w:val="22"/>
        </w:rPr>
        <w:t xml:space="preserve">W : E → ℝ₊</w:t>
      </w:r>
      <w:r>
        <w:rPr>
          <w:rFonts w:ascii="Times New Roman" w:cs="Times New Roman" w:eastAsia="Times New Roman" w:hAnsi="Times New Roman"/>
          <w:sz w:val="22"/>
          <w:szCs w:val="22"/>
        </w:rPr>
        <w:t xml:space="preserve"> the edge-weight function assigning to each ordered pair </w:t>
      </w:r>
      <w:r>
        <w:rPr>
          <w:rFonts w:ascii="Times New Roman" w:cs="Times New Roman" w:eastAsia="Times New Roman" w:hAnsi="Times New Roman"/>
          <w:i/>
          <w:iCs/>
          <w:sz w:val="22"/>
          <w:szCs w:val="22"/>
        </w:rPr>
        <w:t xml:space="preserve">(j, i) ∈ E</w:t>
      </w:r>
      <w:r>
        <w:rPr>
          <w:rFonts w:ascii="Times New Roman" w:cs="Times New Roman" w:eastAsia="Times New Roman" w:hAnsi="Times New Roman"/>
          <w:sz w:val="22"/>
          <w:szCs w:val="22"/>
        </w:rPr>
        <w:t xml:space="preserve"> the cumulative transaction volume </w:t>
      </w:r>
      <w:r>
        <w:rPr>
          <w:rFonts w:ascii="Times New Roman" w:cs="Times New Roman" w:eastAsia="Times New Roman" w:hAnsi="Times New Roman"/>
          <w:i/>
          <w:iCs/>
          <w:sz w:val="22"/>
          <w:szCs w:val="22"/>
        </w:rPr>
        <w:t xml:space="preserve">wⱼᵢ</w:t>
      </w:r>
      <w:r>
        <w:rPr>
          <w:rFonts w:ascii="Times New Roman" w:cs="Times New Roman" w:eastAsia="Times New Roman" w:hAnsi="Times New Roman"/>
          <w:sz w:val="22"/>
          <w:szCs w:val="22"/>
        </w:rPr>
        <w:t xml:space="preserve"> in kilograms. Each node </w:t>
      </w:r>
      <w:r>
        <w:rPr>
          <w:rFonts w:ascii="Times New Roman" w:cs="Times New Roman" w:eastAsia="Times New Roman" w:hAnsi="Times New Roman"/>
          <w:i/>
          <w:iCs/>
          <w:sz w:val="22"/>
          <w:szCs w:val="22"/>
        </w:rPr>
        <w:t xml:space="preserve">i ∈ V</w:t>
      </w:r>
      <w:r>
        <w:rPr>
          <w:rFonts w:ascii="Times New Roman" w:cs="Times New Roman" w:eastAsia="Times New Roman" w:hAnsi="Times New Roman"/>
          <w:sz w:val="22"/>
          <w:szCs w:val="22"/>
        </w:rPr>
        <w:t xml:space="preserve"> carries categorical attributes: institutional type ∈ {Seed_specialist, Government, NGO, Farm_assoc, Custodian, Farmer, Trader, Other}, administrative region, and geographic location.</w:t>
      </w:r>
    </w:p>
    <w:p>
      <w:pPr>
        <w:spacing w:after="140" w:line="280"/>
        <w:jc w:val="both"/>
      </w:pPr>
      <w:r>
        <w:rPr>
          <w:rFonts w:ascii="Times New Roman" w:cs="Times New Roman" w:eastAsia="Times New Roman" w:hAnsi="Times New Roman"/>
          <w:sz w:val="22"/>
          <w:szCs w:val="22"/>
        </w:rPr>
        <w:t xml:space="preserve">Six networks were analyzed in total, generated upstream of this pipeline through exponential random graph and temporal exponential random graph models fitted to two empirical datasets (stress and non-stress agricultural seasons). The six networks combine two environmental conditions (stress, non-stress) with three topology classes (real-extended, scale-free, small-world). Real-extended networks were generated by simulation from fitted ERGM/TERGM coefficients; scale-free and small-world variants were generated by adjusting the ERGM parameters to produce the corresponding topological signatures while preserving node attribute distributions. Networks were imported as serialized igraph objects (.rds) or constructed from edge-list and node-attribute spreadsheets when raw data were used.</w:t>
      </w:r>
    </w:p>
    <w:p>
      <w:pPr>
        <w:spacing w:after="140" w:line="280"/>
        <w:jc w:val="both"/>
      </w:pPr>
      <w:r>
        <w:rPr>
          <w:rFonts w:ascii="Times New Roman" w:cs="Times New Roman" w:eastAsia="Times New Roman" w:hAnsi="Times New Roman"/>
          <w:sz w:val="22"/>
          <w:szCs w:val="22"/>
        </w:rPr>
        <w:t xml:space="preserve">Four node-level structural metrics were computed at network ingestion and stored as vertex attributes: weighted in-degree strength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vertAlign w:val="subscript"/>
        </w:rPr>
        <w:t xml:space="preserve">in</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i/>
          <w:iCs/>
          <w:sz w:val="22"/>
          <w:szCs w:val="22"/>
        </w:rPr>
        <w:t xml:space="preserve"> wⱼᵢ</w:t>
      </w:r>
      <w:r>
        <w:rPr>
          <w:rFonts w:ascii="Times New Roman" w:cs="Times New Roman" w:eastAsia="Times New Roman" w:hAnsi="Times New Roman"/>
          <w:sz w:val="22"/>
          <w:szCs w:val="22"/>
        </w:rPr>
        <w:t xml:space="preserve">, weighted out-degree strength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vertAlign w:val="subscript"/>
        </w:rPr>
        <w:t xml:space="preserve">out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i/>
          <w:iCs/>
          <w:sz w:val="22"/>
          <w:szCs w:val="22"/>
        </w:rPr>
        <w:t xml:space="preserve"> wᵢⱼ</w:t>
      </w:r>
      <w:r>
        <w:rPr>
          <w:rFonts w:ascii="Times New Roman" w:cs="Times New Roman" w:eastAsia="Times New Roman" w:hAnsi="Times New Roman"/>
          <w:sz w:val="22"/>
          <w:szCs w:val="22"/>
        </w:rPr>
        <w:t xml:space="preserve">, normalized betweenness centrality </w:t>
      </w:r>
      <w:r>
        <w:rPr>
          <w:rFonts w:ascii="Times New Roman" w:cs="Times New Roman" w:eastAsia="Times New Roman" w:hAnsi="Times New Roman"/>
          <w:i/>
          <w:iCs/>
          <w:sz w:val="22"/>
          <w:szCs w:val="22"/>
        </w:rPr>
        <w:t xml:space="preserve">B(i)</w:t>
      </w:r>
      <w:r>
        <w:rPr>
          <w:rFonts w:ascii="Times New Roman" w:cs="Times New Roman" w:eastAsia="Times New Roman" w:hAnsi="Times New Roman"/>
          <w:sz w:val="22"/>
          <w:szCs w:val="22"/>
        </w:rPr>
        <w:t xml:space="preserve">, and unweighted in/out degree. Betweenness was computed on the directed unweighted topology to capture flow-control independent of trade volume.</w:t>
      </w:r>
    </w:p>
    <w:p>
      <w:pPr>
        <w:pStyle w:val="Heading1"/>
        <w:spacing w:after="160" w:before="320"/>
      </w:pPr>
      <w:r>
        <w:rPr>
          <w:rFonts w:ascii="Times New Roman" w:cs="Times New Roman" w:eastAsia="Times New Roman" w:hAnsi="Times New Roman"/>
          <w:b/>
          <w:bCs/>
          <w:color w:val="1F2937"/>
          <w:sz w:val="26"/>
          <w:szCs w:val="26"/>
        </w:rPr>
        <w:t xml:space="preserve">Within-Node Seed Degeneration Model</w:t>
      </w:r>
    </w:p>
    <w:p>
      <w:pPr>
        <w:spacing w:after="140" w:line="280"/>
        <w:jc w:val="both"/>
      </w:pPr>
      <w:r>
        <w:rPr>
          <w:rFonts w:ascii="Times New Roman" w:cs="Times New Roman" w:eastAsia="Times New Roman" w:hAnsi="Times New Roman"/>
          <w:sz w:val="22"/>
          <w:szCs w:val="22"/>
        </w:rPr>
        <w:t xml:space="preserve">At each node </w:t>
      </w:r>
      <w:r>
        <w:rPr>
          <w:rFonts w:ascii="Times New Roman" w:cs="Times New Roman" w:eastAsia="Times New Roman" w:hAnsi="Times New Roman"/>
          <w:i/>
          <w:iCs/>
          <w:sz w:val="22"/>
          <w:szCs w:val="22"/>
        </w:rPr>
        <w:t xml:space="preserve">i ∈ V</w:t>
      </w:r>
      <w:r>
        <w:rPr>
          <w:rFonts w:ascii="Times New Roman" w:cs="Times New Roman" w:eastAsia="Times New Roman" w:hAnsi="Times New Roman"/>
          <w:sz w:val="22"/>
          <w:szCs w:val="22"/>
        </w:rPr>
        <w:t xml:space="preserve"> and each season </w:t>
      </w:r>
      <w:r>
        <w:rPr>
          <w:rFonts w:ascii="Times New Roman" w:cs="Times New Roman" w:eastAsia="Times New Roman" w:hAnsi="Times New Roman"/>
          <w:i/>
          <w:iCs/>
          <w:sz w:val="22"/>
          <w:szCs w:val="22"/>
        </w:rPr>
        <w:t xml:space="preserve">t = 1, …, T</w:t>
      </w:r>
      <w:r>
        <w:rPr>
          <w:rFonts w:ascii="Times New Roman" w:cs="Times New Roman" w:eastAsia="Times New Roman" w:hAnsi="Times New Roman"/>
          <w:sz w:val="22"/>
          <w:szCs w:val="22"/>
        </w:rPr>
        <w:t xml:space="preserve">, we ran one season of the stochastic seed-degeneration model of Thomas-Sharma et al. (2017). Let </w:t>
      </w:r>
      <w:r>
        <w:rPr>
          <w:rFonts w:ascii="Times New Roman" w:cs="Times New Roman" w:eastAsia="Times New Roman" w:hAnsi="Times New Roman"/>
          <w:i/>
          <w:iCs/>
          <w:sz w:val="22"/>
          <w:szCs w:val="22"/>
        </w:rPr>
        <w:t xml:space="preserve">pᵢ(t)</w:t>
      </w:r>
      <w:r>
        <w:rPr>
          <w:rFonts w:ascii="Times New Roman" w:cs="Times New Roman" w:eastAsia="Times New Roman" w:hAnsi="Times New Roman"/>
          <w:sz w:val="22"/>
          <w:szCs w:val="22"/>
        </w:rPr>
        <w:t xml:space="preserve"> denote the proportion of healthy seed planted at node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 the start of season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and let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denote the total number of plants per field (standardized to </w:t>
      </w:r>
      <w:r>
        <w:rPr>
          <w:rFonts w:ascii="Times New Roman" w:cs="Times New Roman" w:eastAsia="Times New Roman" w:hAnsi="Times New Roman"/>
          <w:i/>
          <w:iCs/>
          <w:sz w:val="22"/>
          <w:szCs w:val="22"/>
        </w:rPr>
        <w:t xml:space="preserve">K = 100</w:t>
      </w:r>
      <w:r>
        <w:rPr>
          <w:rFonts w:ascii="Times New Roman" w:cs="Times New Roman" w:eastAsia="Times New Roman" w:hAnsi="Times New Roman"/>
          <w:sz w:val="22"/>
          <w:szCs w:val="22"/>
        </w:rPr>
        <w:t xml:space="preserve">). At each season, four stochastic environmental and management scalars were drawn independently from truncated normal distributions on [0, 1]: weather conduciveness </w:t>
      </w:r>
      <w:r>
        <w:rPr>
          <w:rFonts w:ascii="Times New Roman" w:cs="Times New Roman" w:eastAsia="Times New Roman" w:hAnsi="Times New Roman"/>
          <w:i/>
          <w:iCs/>
          <w:sz w:val="22"/>
          <w:szCs w:val="22"/>
        </w:rPr>
        <w:t xml:space="preserve">w ∼ TN(μ</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i/>
          <w:iCs/>
          <w:sz w:val="22"/>
          <w:szCs w:val="22"/>
        </w:rPr>
        <w:t xml:space="preserve">, σ</w:t>
      </w:r>
      <w:r>
        <w:rPr>
          <w:rFonts w:ascii="Times New Roman" w:cs="Times New Roman" w:eastAsia="Times New Roman" w:hAnsi="Times New Roman"/>
          <w:sz w:val="22"/>
          <w:szCs w:val="22"/>
          <w:vertAlign w:val="subscript"/>
        </w:rPr>
        <w:t xml:space="preserve">w</w:t>
      </w:r>
      <w:r>
        <w:rPr>
          <w:rFonts w:ascii="Times New Roman" w:cs="Times New Roman" w:eastAsia="Times New Roman" w:hAnsi="Times New Roman"/>
          <w:sz w:val="22"/>
          <w:szCs w:val="22"/>
        </w:rPr>
        <w:t xml:space="preserve">, 0, 1), vector-management effort </w:t>
      </w:r>
      <w:r>
        <w:rPr>
          <w:rFonts w:ascii="Times New Roman" w:cs="Times New Roman" w:eastAsia="Times New Roman" w:hAnsi="Times New Roman"/>
          <w:i/>
          <w:iCs/>
          <w:sz w:val="22"/>
          <w:szCs w:val="22"/>
        </w:rPr>
        <w:t xml:space="preserve">m ∼ TN(μ</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i/>
          <w:iCs/>
          <w:sz w:val="22"/>
          <w:szCs w:val="22"/>
        </w:rPr>
        <w:t xml:space="preserve">, σ</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0, 1), roguing effectiveness </w:t>
      </w:r>
      <w:r>
        <w:rPr>
          <w:rFonts w:ascii="Times New Roman" w:cs="Times New Roman" w:eastAsia="Times New Roman" w:hAnsi="Times New Roman"/>
          <w:i/>
          <w:iCs/>
          <w:sz w:val="22"/>
          <w:szCs w:val="22"/>
        </w:rPr>
        <w:t xml:space="preserve">α ∼ TN(μ</w:t>
      </w:r>
      <w:r>
        <w:rPr>
          <w:rFonts w:ascii="Times New Roman" w:cs="Times New Roman" w:eastAsia="Times New Roman" w:hAnsi="Times New Roman"/>
          <w:sz w:val="22"/>
          <w:szCs w:val="22"/>
          <w:vertAlign w:val="subscript"/>
        </w:rPr>
        <w:t xml:space="preserve">α</w:t>
      </w:r>
      <w:r>
        <w:rPr>
          <w:rFonts w:ascii="Times New Roman" w:cs="Times New Roman" w:eastAsia="Times New Roman" w:hAnsi="Times New Roman"/>
          <w:i/>
          <w:iCs/>
          <w:sz w:val="22"/>
          <w:szCs w:val="22"/>
        </w:rPr>
        <w:t xml:space="preserve">, σ</w:t>
      </w:r>
      <w:r>
        <w:rPr>
          <w:rFonts w:ascii="Times New Roman" w:cs="Times New Roman" w:eastAsia="Times New Roman" w:hAnsi="Times New Roman"/>
          <w:sz w:val="22"/>
          <w:szCs w:val="22"/>
          <w:vertAlign w:val="subscript"/>
        </w:rPr>
        <w:t xml:space="preserve">α</w:t>
      </w:r>
      <w:r>
        <w:rPr>
          <w:rFonts w:ascii="Times New Roman" w:cs="Times New Roman" w:eastAsia="Times New Roman" w:hAnsi="Times New Roman"/>
          <w:sz w:val="22"/>
          <w:szCs w:val="22"/>
        </w:rPr>
        <w:t xml:space="preserve">, 0, 1), and seed-selection coefficient </w:t>
      </w:r>
      <w:r>
        <w:rPr>
          <w:rFonts w:ascii="Times New Roman" w:cs="Times New Roman" w:eastAsia="Times New Roman" w:hAnsi="Times New Roman"/>
          <w:i/>
          <w:iCs/>
          <w:sz w:val="22"/>
          <w:szCs w:val="22"/>
        </w:rPr>
        <w:t xml:space="preserve">z ∼ TN(μ</w:t>
      </w:r>
      <w:r>
        <w:rPr>
          <w:rFonts w:ascii="Times New Roman" w:cs="Times New Roman" w:eastAsia="Times New Roman" w:hAnsi="Times New Roman"/>
          <w:sz w:val="22"/>
          <w:szCs w:val="22"/>
          <w:vertAlign w:val="subscript"/>
        </w:rPr>
        <w:t xml:space="preserve">z</w:t>
      </w:r>
      <w:r>
        <w:rPr>
          <w:rFonts w:ascii="Times New Roman" w:cs="Times New Roman" w:eastAsia="Times New Roman" w:hAnsi="Times New Roman"/>
          <w:i/>
          <w:iCs/>
          <w:sz w:val="22"/>
          <w:szCs w:val="22"/>
        </w:rPr>
        <w:t xml:space="preserve">, σ</w:t>
      </w:r>
      <w:r>
        <w:rPr>
          <w:rFonts w:ascii="Times New Roman" w:cs="Times New Roman" w:eastAsia="Times New Roman" w:hAnsi="Times New Roman"/>
          <w:sz w:val="22"/>
          <w:szCs w:val="22"/>
          <w:vertAlign w:val="subscript"/>
        </w:rPr>
        <w:t xml:space="preserve">z</w:t>
      </w:r>
      <w:r>
        <w:rPr>
          <w:rFonts w:ascii="Times New Roman" w:cs="Times New Roman" w:eastAsia="Times New Roman" w:hAnsi="Times New Roman"/>
          <w:sz w:val="22"/>
          <w:szCs w:val="22"/>
        </w:rPr>
        <w:t xml:space="preserve">, 0, 1).</w:t>
      </w:r>
    </w:p>
    <w:p>
      <w:pPr>
        <w:spacing w:after="140" w:line="280"/>
        <w:jc w:val="both"/>
      </w:pPr>
      <w:r>
        <w:rPr>
          <w:rFonts w:ascii="Times New Roman" w:cs="Times New Roman" w:eastAsia="Times New Roman" w:hAnsi="Times New Roman"/>
          <w:sz w:val="22"/>
          <w:szCs w:val="22"/>
        </w:rPr>
        <w:t xml:space="preserve">The number of healthy plants at the end of within-season transmission is:</w:t>
      </w:r>
    </w:p>
    <w:p>
      <w:pPr>
        <w:spacing w:after="140" w:before="140"/>
        <w:jc w:val="center"/>
      </w:pPr>
      <w:r>
        <w:rPr>
          <w:rFonts w:ascii="Cambria Math" w:cs="Cambria Math" w:eastAsia="Cambria Math" w:hAnsi="Cambria Math"/>
          <w:i/>
          <w:iCs/>
          <w:sz w:val="22"/>
          <w:szCs w:val="22"/>
        </w:rPr>
        <w:t xml:space="preserve">HPᵢ(t) = K · pᵢ(t) − β w h m [(K · (1−pᵢ(t))) (K · pᵢ(t)) + E (K · pᵢ(t))]</w:t>
      </w:r>
      <w:r>
        <w:rPr>
          <w:rFonts w:ascii="Times New Roman" w:cs="Times New Roman" w:eastAsia="Times New Roman" w:hAnsi="Times New Roman"/>
          <w:i w:val="false"/>
          <w:iCs w:val="false"/>
          <w:sz w:val="20"/>
          <w:szCs w:val="20"/>
        </w:rPr>
        <w:t xml:space="preserve">      (1)</w:t>
      </w:r>
    </w:p>
    <w:p>
      <w:pPr>
        <w:spacing w:after="140" w:line="280"/>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β</w:t>
      </w:r>
      <w:r>
        <w:rPr>
          <w:rFonts w:ascii="Times New Roman" w:cs="Times New Roman" w:eastAsia="Times New Roman" w:hAnsi="Times New Roman"/>
          <w:sz w:val="22"/>
          <w:szCs w:val="22"/>
        </w:rPr>
        <w:t xml:space="preserve"> is the maximum seasonal transmission rate,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is host susceptibility (fixed at 1), and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 is the level of external inoculum surrounding the field. The number of diseased plants before roguing is </w:t>
      </w:r>
      <w:r>
        <w:rPr>
          <w:rFonts w:ascii="Times New Roman" w:cs="Times New Roman" w:eastAsia="Times New Roman" w:hAnsi="Times New Roman"/>
          <w:i/>
          <w:iCs/>
          <w:sz w:val="22"/>
          <w:szCs w:val="22"/>
        </w:rPr>
        <w:t xml:space="preserve">DPbrᵢ(t) = K − HPᵢ(t)</w:t>
      </w:r>
      <w:r>
        <w:rPr>
          <w:rFonts w:ascii="Times New Roman" w:cs="Times New Roman" w:eastAsia="Times New Roman" w:hAnsi="Times New Roman"/>
          <w:sz w:val="22"/>
          <w:szCs w:val="22"/>
        </w:rPr>
        <w:t xml:space="preserve">, bounded to [0, K]. Roguing reduces the diseased population multiplicatively:</w:t>
      </w:r>
    </w:p>
    <w:p>
      <w:pPr>
        <w:spacing w:after="140" w:before="140"/>
        <w:jc w:val="center"/>
      </w:pPr>
      <w:r>
        <w:rPr>
          <w:rFonts w:ascii="Cambria Math" w:cs="Cambria Math" w:eastAsia="Cambria Math" w:hAnsi="Cambria Math"/>
          <w:i/>
          <w:iCs/>
          <w:sz w:val="22"/>
          <w:szCs w:val="22"/>
        </w:rPr>
        <w:t xml:space="preserve">DPᵢ(t) = α · DPbrᵢ(t)</w:t>
      </w:r>
      <w:r>
        <w:rPr>
          <w:rFonts w:ascii="Times New Roman" w:cs="Times New Roman" w:eastAsia="Times New Roman" w:hAnsi="Times New Roman"/>
          <w:i w:val="false"/>
          <w:iCs w:val="false"/>
          <w:sz w:val="20"/>
          <w:szCs w:val="20"/>
        </w:rPr>
        <w:t xml:space="preserve">      (2)</w:t>
      </w:r>
    </w:p>
    <w:p>
      <w:pPr>
        <w:spacing w:after="140" w:line="280"/>
        <w:jc w:val="both"/>
      </w:pPr>
      <w:r>
        <w:rPr>
          <w:rFonts w:ascii="Times New Roman" w:cs="Times New Roman" w:eastAsia="Times New Roman" w:hAnsi="Times New Roman"/>
          <w:sz w:val="22"/>
          <w:szCs w:val="22"/>
        </w:rPr>
        <w:t xml:space="preserve">Healthy and diseased seed produced at harvest are:</w:t>
      </w:r>
    </w:p>
    <w:p>
      <w:pPr>
        <w:spacing w:after="140" w:before="140"/>
        <w:jc w:val="center"/>
      </w:pPr>
      <w:r>
        <w:rPr>
          <w:rFonts w:ascii="Cambria Math" w:cs="Cambria Math" w:eastAsia="Cambria Math" w:hAnsi="Cambria Math"/>
          <w:i/>
          <w:iCs/>
          <w:sz w:val="22"/>
          <w:szCs w:val="22"/>
        </w:rPr>
        <w:t xml:space="preserve">HSᵢ(t) = g · [HPᵢ(t) + r · DPᵢ(t)]</w:t>
      </w:r>
      <w:r>
        <w:rPr>
          <w:rFonts w:ascii="Times New Roman" w:cs="Times New Roman" w:eastAsia="Times New Roman" w:hAnsi="Times New Roman"/>
          <w:i w:val="false"/>
          <w:iCs w:val="false"/>
          <w:sz w:val="20"/>
          <w:szCs w:val="20"/>
        </w:rPr>
        <w:t xml:space="preserve">      (3)</w:t>
      </w:r>
    </w:p>
    <w:p>
      <w:pPr>
        <w:spacing w:after="140" w:before="140"/>
        <w:jc w:val="center"/>
      </w:pPr>
      <w:r>
        <w:rPr>
          <w:rFonts w:ascii="Cambria Math" w:cs="Cambria Math" w:eastAsia="Cambria Math" w:hAnsi="Cambria Math"/>
          <w:i/>
          <w:iCs/>
          <w:sz w:val="22"/>
          <w:szCs w:val="22"/>
        </w:rPr>
        <w:t xml:space="preserve">DSᵢ(t) = z · c · g · (1 − r) · DPᵢ(t)</w:t>
      </w:r>
      <w:r>
        <w:rPr>
          <w:rFonts w:ascii="Times New Roman" w:cs="Times New Roman" w:eastAsia="Times New Roman" w:hAnsi="Times New Roman"/>
          <w:i w:val="false"/>
          <w:iCs w:val="false"/>
          <w:sz w:val="20"/>
          <w:szCs w:val="20"/>
        </w:rPr>
        <w:t xml:space="preserve">      (4)</w:t>
      </w:r>
    </w:p>
    <w:p>
      <w:pPr>
        <w:spacing w:after="140" w:line="280"/>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is the seed production rate per healthy plant,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is the reversion rate (fraction of seed produced by infected plants that is disease-free), and </w:t>
      </w:r>
      <w:r>
        <w:rPr>
          <w:rFonts w:ascii="Times New Roman" w:cs="Times New Roman" w:eastAsia="Times New Roman" w:hAnsi="Times New Roman"/>
          <w:i/>
          <w:iCs/>
          <w:sz w:val="22"/>
          <w:szCs w:val="22"/>
        </w:rPr>
        <w:t xml:space="preserve">c</w:t>
      </w:r>
      <w:r>
        <w:rPr>
          <w:rFonts w:ascii="Times New Roman" w:cs="Times New Roman" w:eastAsia="Times New Roman" w:hAnsi="Times New Roman"/>
          <w:sz w:val="22"/>
          <w:szCs w:val="22"/>
        </w:rPr>
        <w:t xml:space="preserve"> is the proportional seed yield of diseased relative to healthy plants. The proportion of healthy seed retained for the next planting is:</w:t>
      </w:r>
    </w:p>
    <w:p>
      <w:pPr>
        <w:spacing w:after="140" w:before="140"/>
        <w:jc w:val="center"/>
      </w:pPr>
      <w:r>
        <w:rPr>
          <w:rFonts w:ascii="Cambria Math" w:cs="Cambria Math" w:eastAsia="Cambria Math" w:hAnsi="Cambria Math"/>
          <w:i/>
          <w:iCs/>
          <w:sz w:val="22"/>
          <w:szCs w:val="22"/>
        </w:rPr>
        <w:t xml:space="preserve">pᵢ(t+1) = HSᵢ(t) / [HSᵢ(t) + DSᵢ(t)]</w:t>
      </w:r>
      <w:r>
        <w:rPr>
          <w:rFonts w:ascii="Times New Roman" w:cs="Times New Roman" w:eastAsia="Times New Roman" w:hAnsi="Times New Roman"/>
          <w:i w:val="false"/>
          <w:iCs w:val="false"/>
          <w:sz w:val="20"/>
          <w:szCs w:val="20"/>
        </w:rPr>
        <w:t xml:space="preserve">      (5)</w:t>
      </w:r>
    </w:p>
    <w:p>
      <w:pPr>
        <w:spacing w:after="140" w:line="280"/>
        <w:jc w:val="both"/>
      </w:pPr>
      <w:r>
        <w:rPr>
          <w:rFonts w:ascii="Times New Roman" w:cs="Times New Roman" w:eastAsia="Times New Roman" w:hAnsi="Times New Roman"/>
          <w:sz w:val="22"/>
          <w:szCs w:val="22"/>
        </w:rPr>
        <w:t xml:space="preserve">End-of-season yield loss at node i was computed from a modified Beta function relating disease incidence to proportional yield, with shape parameter θ governing curvature:</w:t>
      </w:r>
    </w:p>
    <w:p>
      <w:pPr>
        <w:spacing w:after="140" w:before="140"/>
        <w:jc w:val="center"/>
      </w:pPr>
      <w:r>
        <w:rPr>
          <w:rFonts w:ascii="Cambria Math" w:cs="Cambria Math" w:eastAsia="Cambria Math" w:hAnsi="Cambria Math"/>
          <w:i/>
          <w:iCs/>
          <w:sz w:val="22"/>
          <w:szCs w:val="22"/>
        </w:rPr>
        <w:t xml:space="preserve">Yldᵢ(t) = [(HPᵢ + DPᵢ) / (HPᵢ + DPbrᵢ)] · [miY + (maY − miY) · ξᵢ / ((1−θ) + θ · ξᵢ)²]</w:t>
      </w:r>
      <w:r>
        <w:rPr>
          <w:rFonts w:ascii="Times New Roman" w:cs="Times New Roman" w:eastAsia="Times New Roman" w:hAnsi="Times New Roman"/>
          <w:i w:val="false"/>
          <w:iCs w:val="false"/>
          <w:sz w:val="20"/>
          <w:szCs w:val="20"/>
        </w:rPr>
        <w:t xml:space="preserve">      (6)</w:t>
      </w:r>
    </w:p>
    <w:p>
      <w:pPr>
        <w:spacing w:after="140" w:line="280"/>
        <w:jc w:val="both"/>
      </w:pPr>
      <w:r>
        <w:rPr>
          <w:rFonts w:ascii="Times New Roman" w:cs="Times New Roman" w:eastAsia="Times New Roman" w:hAnsi="Times New Roman"/>
          <w:sz w:val="22"/>
          <w:szCs w:val="22"/>
        </w:rPr>
        <w:t xml:space="preserve">with  </w:t>
      </w:r>
      <w:r>
        <w:rPr>
          <w:rFonts w:ascii="Times New Roman" w:cs="Times New Roman" w:eastAsia="Times New Roman" w:hAnsi="Times New Roman"/>
          <w:i/>
          <w:iCs/>
          <w:sz w:val="22"/>
          <w:szCs w:val="22"/>
        </w:rPr>
        <w:t xml:space="preserve">ξᵢ = 1 − DPᵢ / (HPᵢ + DPᵢ)</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YLᵢ(t) = maY − Yldᵢ(t)</w:t>
      </w:r>
      <w:r>
        <w:rPr>
          <w:rFonts w:ascii="Times New Roman" w:cs="Times New Roman" w:eastAsia="Times New Roman" w:hAnsi="Times New Roman"/>
          <w:sz w:val="22"/>
          <w:szCs w:val="22"/>
        </w:rPr>
        <w:t xml:space="preserve">, where </w:t>
      </w:r>
      <w:r>
        <w:rPr>
          <w:rFonts w:ascii="Times New Roman" w:cs="Times New Roman" w:eastAsia="Times New Roman" w:hAnsi="Times New Roman"/>
          <w:i/>
          <w:iCs/>
          <w:sz w:val="22"/>
          <w:szCs w:val="22"/>
        </w:rPr>
        <w:t xml:space="preserve">maY</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miY</w:t>
      </w:r>
      <w:r>
        <w:rPr>
          <w:rFonts w:ascii="Times New Roman" w:cs="Times New Roman" w:eastAsia="Times New Roman" w:hAnsi="Times New Roman"/>
          <w:sz w:val="22"/>
          <w:szCs w:val="22"/>
        </w:rPr>
        <w:t xml:space="preserve"> are maximum and minimum attainable yields. We used </w:t>
      </w:r>
      <w:r>
        <w:rPr>
          <w:rFonts w:ascii="Times New Roman" w:cs="Times New Roman" w:eastAsia="Times New Roman" w:hAnsi="Times New Roman"/>
          <w:i/>
          <w:iCs/>
          <w:sz w:val="22"/>
          <w:szCs w:val="22"/>
        </w:rPr>
        <w:t xml:space="preserve">maY = 100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miY = 0</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θ = 0.2</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c = 0.9</w:t>
      </w:r>
      <w:r>
        <w:rPr>
          <w:rFonts w:ascii="Times New Roman" w:cs="Times New Roman" w:eastAsia="Times New Roman" w:hAnsi="Times New Roman"/>
          <w:sz w:val="22"/>
          <w:szCs w:val="22"/>
        </w:rPr>
        <w:t xml:space="preserve"> throughout.</w:t>
      </w:r>
    </w:p>
    <w:p>
      <w:pPr>
        <w:pStyle w:val="Heading1"/>
        <w:spacing w:after="160" w:before="320"/>
      </w:pPr>
      <w:r>
        <w:rPr>
          <w:rFonts w:ascii="Times New Roman" w:cs="Times New Roman" w:eastAsia="Times New Roman" w:hAnsi="Times New Roman"/>
          <w:b/>
          <w:bCs/>
          <w:color w:val="1F2937"/>
          <w:sz w:val="26"/>
          <w:szCs w:val="26"/>
        </w:rPr>
        <w:t xml:space="preserve">Network Coupling: Seed Mixing</w:t>
      </w:r>
    </w:p>
    <w:p>
      <w:pPr>
        <w:spacing w:after="140" w:line="280"/>
        <w:jc w:val="both"/>
      </w:pPr>
      <w:r>
        <w:rPr>
          <w:rFonts w:ascii="Times New Roman" w:cs="Times New Roman" w:eastAsia="Times New Roman" w:hAnsi="Times New Roman"/>
          <w:sz w:val="22"/>
          <w:szCs w:val="22"/>
        </w:rPr>
        <w:t xml:space="preserve">The within-node model receives an initial proportion of healthy seed at every season. In our network-embedded formulation, that initial value is determined by trade flow rather than retained from the previous harvest at the same node. Specifically, before the within-season dynamics of season t are simulated, each node receives a volume-weighted mixture of seed from all upstream trade partners observed in the network:</w:t>
      </w:r>
    </w:p>
    <w:p>
      <w:pPr>
        <w:spacing w:after="140" w:before="140"/>
        <w:jc w:val="center"/>
      </w:pPr>
      <w:r>
        <w:rPr>
          <w:rFonts w:ascii="Cambria Math" w:cs="Cambria Math" w:eastAsia="Cambria Math" w:hAnsi="Cambria Math"/>
          <w:i/>
          <w:iCs/>
          <w:sz w:val="22"/>
          <w:szCs w:val="22"/>
        </w:rPr>
        <w:t xml:space="preserve">p_mixᵢ(t) = Σⱼ ∈ N⁻(ᵢ)  wⱼᵢ · pⱼ(t − 1) / Σⱼ ∈ N⁻(ᵢ) wⱼᵢ</w:t>
      </w:r>
      <w:r>
        <w:rPr>
          <w:rFonts w:ascii="Times New Roman" w:cs="Times New Roman" w:eastAsia="Times New Roman" w:hAnsi="Times New Roman"/>
          <w:i w:val="false"/>
          <w:iCs w:val="false"/>
          <w:sz w:val="20"/>
          <w:szCs w:val="20"/>
        </w:rPr>
        <w:t xml:space="preserve">      (7)</w:t>
      </w:r>
    </w:p>
    <w:p>
      <w:pPr>
        <w:spacing w:after="140" w:line="280"/>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N⁻(i) = {j : (j, i) ∈ E}</w:t>
      </w:r>
      <w:r>
        <w:rPr>
          <w:rFonts w:ascii="Times New Roman" w:cs="Times New Roman" w:eastAsia="Times New Roman" w:hAnsi="Times New Roman"/>
          <w:sz w:val="22"/>
          <w:szCs w:val="22"/>
        </w:rPr>
        <w:t xml:space="preserve"> denotes the in-neighborhood of node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For nodes with no incoming trade edges (pure sources or isolates), Eq. (7) is replaced by </w:t>
      </w:r>
      <w:r>
        <w:rPr>
          <w:rFonts w:ascii="Times New Roman" w:cs="Times New Roman" w:eastAsia="Times New Roman" w:hAnsi="Times New Roman"/>
          <w:i/>
          <w:iCs/>
          <w:sz w:val="22"/>
          <w:szCs w:val="22"/>
        </w:rPr>
        <w:t xml:space="preserve">p_mixᵢ(t) = pᵢ(t − 1)</w:t>
      </w:r>
      <w:r>
        <w:rPr>
          <w:rFonts w:ascii="Times New Roman" w:cs="Times New Roman" w:eastAsia="Times New Roman" w:hAnsi="Times New Roman"/>
          <w:sz w:val="22"/>
          <w:szCs w:val="22"/>
        </w:rPr>
        <w:t xml:space="preserve">: the node retains its own saved seed.</w:t>
      </w:r>
    </w:p>
    <w:p>
      <w:pPr>
        <w:spacing w:after="140" w:line="280"/>
        <w:jc w:val="both"/>
      </w:pPr>
      <w:r>
        <w:rPr>
          <w:rFonts w:ascii="Times New Roman" w:cs="Times New Roman" w:eastAsia="Times New Roman" w:hAnsi="Times New Roman"/>
          <w:sz w:val="22"/>
          <w:szCs w:val="22"/>
        </w:rPr>
        <w:t xml:space="preserve">Eq. (7) is implemented as a single matrix–vector operation. We define the column-stochastic mixing matrix M of size n × n by</w:t>
      </w:r>
    </w:p>
    <w:p>
      <w:pPr>
        <w:spacing w:after="140" w:before="140"/>
        <w:jc w:val="center"/>
      </w:pPr>
      <w:r>
        <w:rPr>
          <w:rFonts w:ascii="Cambria Math" w:cs="Cambria Math" w:eastAsia="Cambria Math" w:hAnsi="Cambria Math"/>
          <w:i/>
          <w:iCs/>
          <w:sz w:val="22"/>
          <w:szCs w:val="22"/>
        </w:rPr>
        <w:t xml:space="preserve">M[i, j] = wᵢⱼ / Σₖ wᵢₖ    (with M[i, i] = 1 if column i is empty)</w:t>
      </w:r>
      <w:r>
        <w:rPr>
          <w:rFonts w:ascii="Times New Roman" w:cs="Times New Roman" w:eastAsia="Times New Roman" w:hAnsi="Times New Roman"/>
          <w:i w:val="false"/>
          <w:iCs w:val="false"/>
          <w:sz w:val="20"/>
          <w:szCs w:val="20"/>
        </w:rPr>
        <w:t xml:space="preserve">      (8)</w:t>
      </w:r>
    </w:p>
    <w:p>
      <w:pPr>
        <w:spacing w:after="140" w:line="280"/>
        <w:jc w:val="both"/>
      </w:pPr>
      <w:r>
        <w:rPr>
          <w:rFonts w:ascii="Times New Roman" w:cs="Times New Roman" w:eastAsia="Times New Roman" w:hAnsi="Times New Roman"/>
          <w:sz w:val="22"/>
          <w:szCs w:val="22"/>
        </w:rPr>
        <w:t xml:space="preserve">such that the propagation step becomes </w:t>
      </w:r>
      <w:r>
        <w:rPr>
          <w:rFonts w:ascii="Times New Roman" w:cs="Times New Roman" w:eastAsia="Times New Roman" w:hAnsi="Times New Roman"/>
          <w:i/>
          <w:iCs/>
          <w:sz w:val="22"/>
          <w:szCs w:val="22"/>
        </w:rPr>
        <w:t xml:space="preserve">p_mix(t) = Mᵀ p(t − 1)</w:t>
      </w:r>
      <w:r>
        <w:rPr>
          <w:rFonts w:ascii="Times New Roman" w:cs="Times New Roman" w:eastAsia="Times New Roman" w:hAnsi="Times New Roman"/>
          <w:sz w:val="22"/>
          <w:szCs w:val="22"/>
        </w:rPr>
        <w:t xml:space="preserve">. The mixing matrix is computed once at simulation initialization and reused across all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seasons and all stochastic replicates of a scenario.</w:t>
      </w:r>
    </w:p>
    <w:p>
      <w:pPr>
        <w:pStyle w:val="Heading1"/>
        <w:spacing w:after="160" w:before="320"/>
      </w:pPr>
      <w:r>
        <w:rPr>
          <w:rFonts w:ascii="Times New Roman" w:cs="Times New Roman" w:eastAsia="Times New Roman" w:hAnsi="Times New Roman"/>
          <w:b/>
          <w:bCs/>
          <w:color w:val="1F2937"/>
          <w:sz w:val="26"/>
          <w:szCs w:val="26"/>
        </w:rPr>
        <w:t xml:space="preserve">Initialization by Institutional Type</w:t>
      </w:r>
    </w:p>
    <w:p>
      <w:pPr>
        <w:spacing w:after="140" w:line="280"/>
        <w:jc w:val="both"/>
      </w:pPr>
      <w:r>
        <w:rPr>
          <w:rFonts w:ascii="Times New Roman" w:cs="Times New Roman" w:eastAsia="Times New Roman" w:hAnsi="Times New Roman"/>
          <w:sz w:val="22"/>
          <w:szCs w:val="22"/>
        </w:rPr>
        <w:t xml:space="preserve">Initial seed health </w:t>
      </w:r>
      <w:r>
        <w:rPr>
          <w:rFonts w:ascii="Times New Roman" w:cs="Times New Roman" w:eastAsia="Times New Roman" w:hAnsi="Times New Roman"/>
          <w:i/>
          <w:iCs/>
          <w:sz w:val="22"/>
          <w:szCs w:val="22"/>
        </w:rPr>
        <w:t xml:space="preserve">pᵢ(0)</w:t>
      </w:r>
      <w:r>
        <w:rPr>
          <w:rFonts w:ascii="Times New Roman" w:cs="Times New Roman" w:eastAsia="Times New Roman" w:hAnsi="Times New Roman"/>
          <w:sz w:val="22"/>
          <w:szCs w:val="22"/>
        </w:rPr>
        <w:t xml:space="preserve"> was assigned to each node according to its institutional type, reflecting the empirical reality that nodes with closer ties to formal seed channels start the simulation at higher seed-health levels. Specifically, </w:t>
      </w:r>
      <w:r>
        <w:rPr>
          <w:rFonts w:ascii="Times New Roman" w:cs="Times New Roman" w:eastAsia="Times New Roman" w:hAnsi="Times New Roman"/>
          <w:i/>
          <w:iCs/>
          <w:sz w:val="22"/>
          <w:szCs w:val="22"/>
        </w:rPr>
        <w:t xml:space="preserve">pᵢ(0) ∈</w:t>
      </w:r>
      <w:r>
        <w:rPr>
          <w:rFonts w:ascii="Times New Roman" w:cs="Times New Roman" w:eastAsia="Times New Roman" w:hAnsi="Times New Roman"/>
          <w:sz w:val="22"/>
          <w:szCs w:val="22"/>
        </w:rPr>
        <w:t xml:space="preserve"> {0.80, 0.75, 0.70, 0.60, 0.55, 0.40, 0.35, 0.30} for {Seed_specialist, Government, NGO, Farm_assoc, Custodian, Farmer, Trader, Other}, respectively. Nodes of unknown type defaulted to the Farmer value (0.40). Under intervention scenarios involving certified or quality-declared seed, the type-specific initial values were rescaled multiplicatively by the ratio of the corresponding seed-system baseline to the informal baseline (e.g., × 2.425 for certified relative to informal), and clipped to [0, 1].</w:t>
      </w:r>
    </w:p>
    <w:p>
      <w:pPr>
        <w:pStyle w:val="Heading1"/>
        <w:spacing w:after="160" w:before="320"/>
      </w:pPr>
      <w:r>
        <w:rPr>
          <w:rFonts w:ascii="Times New Roman" w:cs="Times New Roman" w:eastAsia="Times New Roman" w:hAnsi="Times New Roman"/>
          <w:b/>
          <w:bCs/>
          <w:color w:val="1F2937"/>
          <w:sz w:val="26"/>
          <w:szCs w:val="26"/>
        </w:rPr>
        <w:t xml:space="preserve">Distribution Strategies</w:t>
      </w:r>
    </w:p>
    <w:p>
      <w:pPr>
        <w:spacing w:after="140" w:line="280"/>
        <w:jc w:val="both"/>
      </w:pPr>
      <w:r>
        <w:rPr>
          <w:rFonts w:ascii="Times New Roman" w:cs="Times New Roman" w:eastAsia="Times New Roman" w:hAnsi="Times New Roman"/>
          <w:sz w:val="22"/>
          <w:szCs w:val="22"/>
        </w:rPr>
        <w:t xml:space="preserve">A distribution strategy is a node-selection rule applied at the start of each season t to designate the set T(t) ⊆ V of k nodes that the program targets for intervention. We defined four such rules; the value of k was held constant across rules so that the operational footprint of each strategy was identical.</w:t>
      </w:r>
    </w:p>
    <w:p>
      <w:pPr>
        <w:pStyle w:val="Heading2"/>
        <w:spacing w:after="100" w:before="220"/>
      </w:pPr>
      <w:r>
        <w:rPr>
          <w:rFonts w:ascii="Times New Roman" w:cs="Times New Roman" w:eastAsia="Times New Roman" w:hAnsi="Times New Roman"/>
          <w:b/>
          <w:bCs/>
          <w:color w:val="374151"/>
          <w:sz w:val="23"/>
          <w:szCs w:val="23"/>
        </w:rPr>
        <w:t xml:space="preserve">Random allocation</w:t>
      </w:r>
    </w:p>
    <w:p>
      <w:pPr>
        <w:spacing w:after="140" w:line="280"/>
        <w:jc w:val="both"/>
      </w:pPr>
      <w:r>
        <w:rPr>
          <w:rFonts w:ascii="Times New Roman" w:cs="Times New Roman" w:eastAsia="Times New Roman" w:hAnsi="Times New Roman"/>
          <w:sz w:val="22"/>
          <w:szCs w:val="22"/>
        </w:rPr>
        <w:t xml:space="preserve">T(t) is drawn uniformly without replacement from V. Serves as the stochastic null model.</w:t>
      </w:r>
    </w:p>
    <w:p>
      <w:pPr>
        <w:pStyle w:val="Heading2"/>
        <w:spacing w:after="100" w:before="220"/>
      </w:pPr>
      <w:r>
        <w:rPr>
          <w:rFonts w:ascii="Times New Roman" w:cs="Times New Roman" w:eastAsia="Times New Roman" w:hAnsi="Times New Roman"/>
          <w:b/>
          <w:bCs/>
          <w:color w:val="374151"/>
          <w:sz w:val="23"/>
          <w:szCs w:val="23"/>
        </w:rPr>
        <w:t xml:space="preserve">Surveillance-guided ring</w:t>
      </w:r>
    </w:p>
    <w:p>
      <w:pPr>
        <w:spacing w:after="140" w:line="280"/>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Eₛ(t)</w:t>
      </w:r>
      <w:r>
        <w:rPr>
          <w:rFonts w:ascii="Times New Roman" w:cs="Times New Roman" w:eastAsia="Times New Roman" w:hAnsi="Times New Roman"/>
          <w:sz w:val="22"/>
          <w:szCs w:val="22"/>
        </w:rPr>
        <w:t xml:space="preserve"> denote the set of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nodes ("epicenters") with the highest observed yield loss in the preceding season. The strategy targets the first-order graph neighbors of the epicenters, </w:t>
      </w:r>
      <w:r>
        <w:rPr>
          <w:rFonts w:ascii="Times New Roman" w:cs="Times New Roman" w:eastAsia="Times New Roman" w:hAnsi="Times New Roman"/>
          <w:i/>
          <w:iCs/>
          <w:sz w:val="22"/>
          <w:szCs w:val="22"/>
        </w:rPr>
        <w:t xml:space="preserve">T(t) = (⋃</w:t>
      </w:r>
      <w:r>
        <w:rPr>
          <w:rFonts w:ascii="Times New Roman" w:cs="Times New Roman" w:eastAsia="Times New Roman" w:hAnsi="Times New Roman"/>
          <w:sz w:val="22"/>
          <w:szCs w:val="22"/>
          <w:vertAlign w:val="subscript"/>
        </w:rPr>
        <w:t xml:space="preserve">e ∈ Eₛ(t)</w:t>
      </w:r>
      <w:r>
        <w:rPr>
          <w:rFonts w:ascii="Times New Roman" w:cs="Times New Roman" w:eastAsia="Times New Roman" w:hAnsi="Times New Roman"/>
          <w:i/>
          <w:iCs/>
          <w:sz w:val="22"/>
          <w:szCs w:val="22"/>
        </w:rPr>
        <w:t xml:space="preserve"> N(e)) \ Eₛ(t)</w:t>
      </w:r>
      <w:r>
        <w:rPr>
          <w:rFonts w:ascii="Times New Roman" w:cs="Times New Roman" w:eastAsia="Times New Roman" w:hAnsi="Times New Roman"/>
          <w:sz w:val="22"/>
          <w:szCs w:val="22"/>
        </w:rPr>
        <w:t xml:space="preserve">, subsampled to size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if larger. At </w:t>
      </w:r>
      <w:r>
        <w:rPr>
          <w:rFonts w:ascii="Times New Roman" w:cs="Times New Roman" w:eastAsia="Times New Roman" w:hAnsi="Times New Roman"/>
          <w:i/>
          <w:iCs/>
          <w:sz w:val="22"/>
          <w:szCs w:val="22"/>
        </w:rPr>
        <w:t xml:space="preserve">t = 1</w:t>
      </w:r>
      <w:r>
        <w:rPr>
          <w:rFonts w:ascii="Times New Roman" w:cs="Times New Roman" w:eastAsia="Times New Roman" w:hAnsi="Times New Roman"/>
          <w:sz w:val="22"/>
          <w:szCs w:val="22"/>
        </w:rPr>
        <w:t xml:space="preserve">, when no yield-loss history is available, ties were broken by random jitter. This rule formalizes a surveillance-and-containment response in which extension agents identify high-burden field clusters and deliver clean seed to the surrounding susceptible population.</w:t>
      </w:r>
    </w:p>
    <w:p>
      <w:pPr>
        <w:pStyle w:val="Heading2"/>
        <w:spacing w:after="100" w:before="220"/>
      </w:pPr>
      <w:r>
        <w:rPr>
          <w:rFonts w:ascii="Times New Roman" w:cs="Times New Roman" w:eastAsia="Times New Roman" w:hAnsi="Times New Roman"/>
          <w:b/>
          <w:bCs/>
          <w:color w:val="374151"/>
          <w:sz w:val="23"/>
          <w:szCs w:val="23"/>
        </w:rPr>
        <w:t xml:space="preserve">Network-metric targeting</w:t>
      </w:r>
    </w:p>
    <w:p>
      <w:pPr>
        <w:spacing w:after="140" w:line="280"/>
        <w:jc w:val="both"/>
      </w:pPr>
      <w:r>
        <w:rPr>
          <w:rFonts w:ascii="Times New Roman" w:cs="Times New Roman" w:eastAsia="Times New Roman" w:hAnsi="Times New Roman"/>
          <w:sz w:val="22"/>
          <w:szCs w:val="22"/>
        </w:rPr>
        <w:t xml:space="preserve">T(t) is the set of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nodes with the highest normalized betweenness centrality. This rule targets structural bridges between network communities under the hypothesis that intervention at high-betweenness nodes yields the greatest downstream diffusion of healthy seed.</w:t>
      </w:r>
    </w:p>
    <w:p>
      <w:pPr>
        <w:pStyle w:val="Heading2"/>
        <w:spacing w:after="100" w:before="220"/>
      </w:pPr>
      <w:r>
        <w:rPr>
          <w:rFonts w:ascii="Times New Roman" w:cs="Times New Roman" w:eastAsia="Times New Roman" w:hAnsi="Times New Roman"/>
          <w:b/>
          <w:bCs/>
          <w:color w:val="374151"/>
          <w:sz w:val="23"/>
          <w:szCs w:val="23"/>
        </w:rPr>
        <w:t xml:space="preserve">Convenience-based</w:t>
      </w:r>
    </w:p>
    <w:p>
      <w:pPr>
        <w:spacing w:after="140" w:line="280"/>
        <w:jc w:val="both"/>
      </w:pPr>
      <w:r>
        <w:rPr>
          <w:rFonts w:ascii="Times New Roman" w:cs="Times New Roman" w:eastAsia="Times New Roman" w:hAnsi="Times New Roman"/>
          <w:sz w:val="22"/>
          <w:szCs w:val="22"/>
        </w:rPr>
        <w:t xml:space="preserve">T(t) consists of nodes whose region attribute belongs to a designated set </w:t>
      </w:r>
      <w:r>
        <w:rPr>
          <w:rFonts w:ascii="Times New Roman" w:cs="Times New Roman" w:eastAsia="Times New Roman" w:hAnsi="Times New Roman"/>
          <w:i/>
          <w:iCs/>
          <w:sz w:val="22"/>
          <w:szCs w:val="22"/>
        </w:rPr>
        <w:t xml:space="preserve">R✳ ⊆</w:t>
      </w:r>
      <w:r>
        <w:rPr>
          <w:rFonts w:ascii="Times New Roman" w:cs="Times New Roman" w:eastAsia="Times New Roman" w:hAnsi="Times New Roman"/>
          <w:sz w:val="22"/>
          <w:szCs w:val="22"/>
        </w:rPr>
        <w:t xml:space="preserve"> {regions in V}, subsampled to size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when more than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eligible nodes exist. The accessible region set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 represents administrative units with established distribution infrastructure, and was specified a priori based on the regional logistical context of the study system.</w:t>
      </w:r>
    </w:p>
    <w:p>
      <w:pPr>
        <w:pStyle w:val="Heading1"/>
        <w:spacing w:after="160" w:before="320"/>
      </w:pPr>
      <w:r>
        <w:rPr>
          <w:rFonts w:ascii="Times New Roman" w:cs="Times New Roman" w:eastAsia="Times New Roman" w:hAnsi="Times New Roman"/>
          <w:b/>
          <w:bCs/>
          <w:color w:val="1F2937"/>
          <w:sz w:val="26"/>
          <w:szCs w:val="26"/>
        </w:rPr>
        <w:t xml:space="preserve">Risk Modifiers</w:t>
      </w:r>
    </w:p>
    <w:p>
      <w:pPr>
        <w:spacing w:after="140" w:line="280"/>
        <w:jc w:val="both"/>
      </w:pPr>
      <w:r>
        <w:rPr>
          <w:rFonts w:ascii="Times New Roman" w:cs="Times New Roman" w:eastAsia="Times New Roman" w:hAnsi="Times New Roman"/>
          <w:sz w:val="22"/>
          <w:szCs w:val="22"/>
        </w:rPr>
        <w:t xml:space="preserve">Two operational barriers governed whether a targeted node successfully received and adopted intervention seed in any given season. Seed availability ρ ∈ [0, 1] captures supply-side limitations: production shortfalls, logistical delays, and program-readiness constraints that prevent certified or quality-declared seed from physically reaching a targeted node. Willingness to accept ω ∈ [0, 1] captures demand-side limitations: price sensitivity, risk aversion, and farmer preference for locally adapted informal seed. The two factors enter the model multiplicatively: each targeted node i ∈ T(t) successfully receives intervention with probability</w:t>
      </w:r>
    </w:p>
    <w:p>
      <w:pPr>
        <w:spacing w:after="140" w:before="140"/>
        <w:jc w:val="center"/>
      </w:pPr>
      <w:r>
        <w:rPr>
          <w:rFonts w:ascii="Cambria Math" w:cs="Cambria Math" w:eastAsia="Cambria Math" w:hAnsi="Cambria Math"/>
          <w:i/>
          <w:iCs/>
          <w:sz w:val="22"/>
          <w:szCs w:val="22"/>
        </w:rPr>
        <w:t xml:space="preserve">P(i ∈ S(t) | i ∈ T(t)) = ρ · ω</w:t>
      </w:r>
      <w:r>
        <w:rPr>
          <w:rFonts w:ascii="Times New Roman" w:cs="Times New Roman" w:eastAsia="Times New Roman" w:hAnsi="Times New Roman"/>
          <w:i w:val="false"/>
          <w:iCs w:val="false"/>
          <w:sz w:val="20"/>
          <w:szCs w:val="20"/>
        </w:rPr>
        <w:t xml:space="preserve">      (9)</w:t>
      </w:r>
    </w:p>
    <w:p>
      <w:pPr>
        <w:spacing w:after="140" w:line="280"/>
        <w:jc w:val="both"/>
      </w:pPr>
      <w:r>
        <w:rPr>
          <w:rFonts w:ascii="Times New Roman" w:cs="Times New Roman" w:eastAsia="Times New Roman" w:hAnsi="Times New Roman"/>
          <w:sz w:val="22"/>
          <w:szCs w:val="22"/>
        </w:rPr>
        <w:t xml:space="preserve">where S(t) is the realized successful set, sampled by independent Bernoulli draws across all targeted nodes each season. Nodes in S(t) had their mixed seed-health value p_mixᵢ(t) (from Eq. 7) replaced by the seed-system baseline pHS_a corresponding to the delivered seed type a ∈ {certified, QDS} before the within-node dynamics of season t were simulated. We treat ρ and ω as decoupled scenario parameters in Objective 4, exploring all combinations on the 5 × 5 grid ρ, ω ∈ {0, 0.25, 0.50, 0.75, 1.00}.</w:t>
      </w:r>
    </w:p>
    <w:p>
      <w:pPr>
        <w:pStyle w:val="Heading1"/>
        <w:spacing w:after="160" w:before="320"/>
      </w:pPr>
      <w:r>
        <w:rPr>
          <w:rFonts w:ascii="Times New Roman" w:cs="Times New Roman" w:eastAsia="Times New Roman" w:hAnsi="Times New Roman"/>
          <w:b/>
          <w:bCs/>
          <w:color w:val="1F2937"/>
          <w:sz w:val="26"/>
          <w:szCs w:val="26"/>
        </w:rPr>
        <w:t xml:space="preserve">Seed Quality Scenarios</w:t>
      </w:r>
    </w:p>
    <w:p>
      <w:pPr>
        <w:spacing w:after="140" w:line="280"/>
        <w:jc w:val="both"/>
      </w:pPr>
      <w:r>
        <w:rPr>
          <w:rFonts w:ascii="Times New Roman" w:cs="Times New Roman" w:eastAsia="Times New Roman" w:hAnsi="Times New Roman"/>
          <w:sz w:val="22"/>
          <w:szCs w:val="22"/>
        </w:rPr>
        <w:t xml:space="preserve">Three seed quality categories were considered: certified (CS), quality-declared (QDS), and informal (IS). We adopted a strict parsimony principle: only the initial proportion of healthy seed differs across categories. All within-node biological and management parameters (β, μ_w, μ_m, μ_α, μ_z, r, g, c, E, θ) take identical values across CS, QDS, and IS, isolating the effect of seed quality itself from confounded management practices. The parameter values used represent the informal Andean potato system: μ_m = μ_α = μ_z = 1.0 (no vector management, no roguing, random selection), r = 0.05 (low reversion), E = 0.05 (moderate external inoculum), and β = 0.02. Stochastic standard deviations were 0.10 for all four truncated normal scalars. Seed-system baselines for the proportion of healthy seed were pHS_CS = 0.97, pHS_QDS = 0.80, and pHS_IS = 0.40.</w:t>
      </w:r>
    </w:p>
    <w:p>
      <w:pPr>
        <w:pStyle w:val="Heading1"/>
        <w:spacing w:after="160" w:before="320"/>
      </w:pPr>
      <w:r>
        <w:rPr>
          <w:rFonts w:ascii="Times New Roman" w:cs="Times New Roman" w:eastAsia="Times New Roman" w:hAnsi="Times New Roman"/>
          <w:b/>
          <w:bCs/>
          <w:color w:val="1F2937"/>
          <w:sz w:val="26"/>
          <w:szCs w:val="26"/>
        </w:rPr>
        <w:t xml:space="preserve">Simulation Sequence</w:t>
      </w:r>
    </w:p>
    <w:p>
      <w:pPr>
        <w:spacing w:after="140" w:line="280"/>
        <w:jc w:val="both"/>
      </w:pPr>
      <w:r>
        <w:rPr>
          <w:rFonts w:ascii="Times New Roman" w:cs="Times New Roman" w:eastAsia="Times New Roman" w:hAnsi="Times New Roman"/>
          <w:sz w:val="22"/>
          <w:szCs w:val="22"/>
        </w:rPr>
        <w:t xml:space="preserve">Each combination of network, seed quality, distribution strategy, and risk modifier (ρ, ω) was simulated across </w:t>
      </w:r>
      <w:r>
        <w:rPr>
          <w:rFonts w:ascii="Times New Roman" w:cs="Times New Roman" w:eastAsia="Times New Roman" w:hAnsi="Times New Roman"/>
          <w:i/>
          <w:iCs/>
          <w:sz w:val="22"/>
          <w:szCs w:val="22"/>
        </w:rPr>
        <w:t xml:space="preserve">T = 10</w:t>
      </w:r>
      <w:r>
        <w:rPr>
          <w:rFonts w:ascii="Times New Roman" w:cs="Times New Roman" w:eastAsia="Times New Roman" w:hAnsi="Times New Roman"/>
          <w:sz w:val="22"/>
          <w:szCs w:val="22"/>
        </w:rPr>
        <w:t xml:space="preserve"> seasons and </w:t>
      </w:r>
      <w:r>
        <w:rPr>
          <w:rFonts w:ascii="Times New Roman" w:cs="Times New Roman" w:eastAsia="Times New Roman" w:hAnsi="Times New Roman"/>
          <w:i/>
          <w:iCs/>
          <w:sz w:val="22"/>
          <w:szCs w:val="22"/>
        </w:rPr>
        <w:t xml:space="preserve">R = 100</w:t>
      </w:r>
      <w:r>
        <w:rPr>
          <w:rFonts w:ascii="Times New Roman" w:cs="Times New Roman" w:eastAsia="Times New Roman" w:hAnsi="Times New Roman"/>
          <w:sz w:val="22"/>
          <w:szCs w:val="22"/>
        </w:rPr>
        <w:t xml:space="preserve"> stochastic replicates. The simulation sequence at each season </w:t>
      </w:r>
      <w:r>
        <w:rPr>
          <w:rFonts w:ascii="Times New Roman" w:cs="Times New Roman" w:eastAsia="Times New Roman" w:hAnsi="Times New Roman"/>
          <w:i/>
          <w:iCs/>
          <w:sz w:val="22"/>
          <w:szCs w:val="22"/>
        </w:rPr>
        <w:t xml:space="preserve">t = 1, …, T</w:t>
      </w:r>
      <w:r>
        <w:rPr>
          <w:rFonts w:ascii="Times New Roman" w:cs="Times New Roman" w:eastAsia="Times New Roman" w:hAnsi="Times New Roman"/>
          <w:sz w:val="22"/>
          <w:szCs w:val="22"/>
        </w:rPr>
        <w:t xml:space="preserve"> proceeded as follows:</w:t>
      </w:r>
    </w:p>
    <w:p>
      <w:pPr>
        <w:pStyle w:val="ListParagraph"/>
        <w:numPr>
          <w:ilvl w:val="0"/>
          <w:numId w:val="2"/>
        </w:numPr>
        <w:spacing w:after="80" w:line="280"/>
        <w:jc w:val="both"/>
      </w:pPr>
      <w:r>
        <w:rPr>
          <w:rFonts w:ascii="Times New Roman" w:cs="Times New Roman" w:eastAsia="Times New Roman" w:hAnsi="Times New Roman"/>
          <w:sz w:val="22"/>
          <w:szCs w:val="22"/>
        </w:rPr>
        <w:t xml:space="preserve">Step 1. Strategy invocation: the rule generates T(t) ⊆ V, |T(t)| ≤ k.</w:t>
      </w:r>
    </w:p>
    <w:p>
      <w:pPr>
        <w:pStyle w:val="ListParagraph"/>
        <w:numPr>
          <w:ilvl w:val="0"/>
          <w:numId w:val="2"/>
        </w:numPr>
        <w:spacing w:after="80" w:line="280"/>
        <w:jc w:val="both"/>
      </w:pPr>
      <w:r>
        <w:rPr>
          <w:rFonts w:ascii="Times New Roman" w:cs="Times New Roman" w:eastAsia="Times New Roman" w:hAnsi="Times New Roman"/>
          <w:sz w:val="22"/>
          <w:szCs w:val="22"/>
        </w:rPr>
        <w:t xml:space="preserve">Step 2. Risk filter: each i ∈ T(t) is included in S(t) by an independent Bernoulli(ρ·ω) trial.</w:t>
      </w:r>
    </w:p>
    <w:p>
      <w:pPr>
        <w:pStyle w:val="ListParagraph"/>
        <w:numPr>
          <w:ilvl w:val="0"/>
          <w:numId w:val="2"/>
        </w:numPr>
        <w:spacing w:after="80" w:line="280"/>
        <w:jc w:val="both"/>
      </w:pPr>
      <w:r>
        <w:rPr>
          <w:rFonts w:ascii="Times New Roman" w:cs="Times New Roman" w:eastAsia="Times New Roman" w:hAnsi="Times New Roman"/>
          <w:sz w:val="22"/>
          <w:szCs w:val="22"/>
        </w:rPr>
        <w:t xml:space="preserve">Step 3. Seed mixing: p_mix(t) = Mᵀ p(t−1) is computed via a single matrix–vector multiplication.</w:t>
      </w:r>
    </w:p>
    <w:p>
      <w:pPr>
        <w:pStyle w:val="ListParagraph"/>
        <w:numPr>
          <w:ilvl w:val="0"/>
          <w:numId w:val="2"/>
        </w:numPr>
        <w:spacing w:after="80" w:line="280"/>
        <w:jc w:val="both"/>
      </w:pPr>
      <w:r>
        <w:rPr>
          <w:rFonts w:ascii="Times New Roman" w:cs="Times New Roman" w:eastAsia="Times New Roman" w:hAnsi="Times New Roman"/>
          <w:sz w:val="22"/>
          <w:szCs w:val="22"/>
        </w:rPr>
        <w:t xml:space="preserve">Step 4. Intervention override: for each i ∈ S(t), p_mixᵢ(t) is replaced by the delivered seed-system baseline pHS_a.</w:t>
      </w:r>
    </w:p>
    <w:p>
      <w:pPr>
        <w:pStyle w:val="ListParagraph"/>
        <w:numPr>
          <w:ilvl w:val="0"/>
          <w:numId w:val="2"/>
        </w:numPr>
        <w:spacing w:after="80" w:line="280"/>
        <w:jc w:val="both"/>
      </w:pPr>
      <w:r>
        <w:rPr>
          <w:rFonts w:ascii="Times New Roman" w:cs="Times New Roman" w:eastAsia="Times New Roman" w:hAnsi="Times New Roman"/>
          <w:sz w:val="22"/>
          <w:szCs w:val="22"/>
        </w:rPr>
        <w:t xml:space="preserve">Step 5. Within-node dynamics: Eqs. (1)–(6) are evaluated independently at every i ∈ V using one season of the stochastic onesim() routine, producing pᵢ(t+1) and YLᵢ(t).</w:t>
      </w:r>
    </w:p>
    <w:p>
      <w:pPr>
        <w:pStyle w:val="ListParagraph"/>
        <w:numPr>
          <w:ilvl w:val="0"/>
          <w:numId w:val="2"/>
        </w:numPr>
        <w:spacing w:after="80" w:line="280"/>
        <w:jc w:val="both"/>
      </w:pPr>
      <w:r>
        <w:rPr>
          <w:rFonts w:ascii="Times New Roman" w:cs="Times New Roman" w:eastAsia="Times New Roman" w:hAnsi="Times New Roman"/>
          <w:sz w:val="22"/>
          <w:szCs w:val="22"/>
        </w:rPr>
        <w:t xml:space="preserve">Step 6. State update: the node-indexed vectors p(t+1) and YL(t) are stored and carried forward.</w:t>
      </w:r>
    </w:p>
    <w:p>
      <w:pPr>
        <w:spacing w:after="140" w:line="280"/>
        <w:jc w:val="both"/>
      </w:pPr>
      <w:r>
        <w:rPr>
          <w:rFonts w:ascii="Times New Roman" w:cs="Times New Roman" w:eastAsia="Times New Roman" w:hAnsi="Times New Roman"/>
          <w:sz w:val="22"/>
          <w:szCs w:val="22"/>
        </w:rPr>
        <w:t xml:space="preserve">All four stochastic scalars (w, m, α, z) were drawn independently for each node and each season, capturing field-to-field heterogeneity within a shared regional climate.</w:t>
      </w:r>
    </w:p>
    <w:p>
      <w:pPr>
        <w:pStyle w:val="Heading1"/>
        <w:spacing w:after="160" w:before="320"/>
      </w:pPr>
      <w:r>
        <w:rPr>
          <w:rFonts w:ascii="Times New Roman" w:cs="Times New Roman" w:eastAsia="Times New Roman" w:hAnsi="Times New Roman"/>
          <w:b/>
          <w:bCs/>
          <w:color w:val="1F2937"/>
          <w:sz w:val="26"/>
          <w:szCs w:val="26"/>
        </w:rPr>
        <w:t xml:space="preserve">Outcome Variables and Statistical Analysis</w:t>
      </w:r>
    </w:p>
    <w:p>
      <w:pPr>
        <w:spacing w:after="140" w:line="280"/>
        <w:jc w:val="both"/>
      </w:pPr>
      <w:r>
        <w:rPr>
          <w:rFonts w:ascii="Times New Roman" w:cs="Times New Roman" w:eastAsia="Times New Roman" w:hAnsi="Times New Roman"/>
          <w:sz w:val="22"/>
          <w:szCs w:val="22"/>
        </w:rPr>
        <w:t xml:space="preserve">Three primary outcomes were computed at the network and per-replicate level. The </w:t>
      </w:r>
      <w:r>
        <w:rPr>
          <w:rFonts w:ascii="Times New Roman" w:cs="Times New Roman" w:eastAsia="Times New Roman" w:hAnsi="Times New Roman"/>
          <w:b/>
          <w:bCs/>
          <w:sz w:val="22"/>
          <w:szCs w:val="22"/>
        </w:rPr>
        <w:t xml:space="preserve">Area Under the Disease Progress Curve (AUDPC)</w:t>
      </w:r>
      <w:r>
        <w:rPr>
          <w:rFonts w:ascii="Times New Roman" w:cs="Times New Roman" w:eastAsia="Times New Roman" w:hAnsi="Times New Roman"/>
          <w:sz w:val="22"/>
          <w:szCs w:val="22"/>
        </w:rPr>
        <w:t xml:space="preserve"> served as the principal summary metric of cumulative disease burden:</w:t>
      </w:r>
    </w:p>
    <w:p>
      <w:pPr>
        <w:spacing w:after="140" w:before="140"/>
        <w:jc w:val="center"/>
      </w:pPr>
      <w:r>
        <w:rPr>
          <w:rFonts w:ascii="Cambria Math" w:cs="Cambria Math" w:eastAsia="Cambria Math" w:hAnsi="Cambria Math"/>
          <w:i/>
          <w:iCs/>
          <w:sz w:val="22"/>
          <w:szCs w:val="22"/>
        </w:rPr>
        <w:t xml:space="preserve">AUDPC = Σₜ₌₁ᵀ⁻¹ [ȲL(t) + ȲL(t+1)] / 2,    where ȲL(t) = (1/n) Σᵢ YLᵢ(t)</w:t>
      </w:r>
      <w:r>
        <w:rPr>
          <w:rFonts w:ascii="Times New Roman" w:cs="Times New Roman" w:eastAsia="Times New Roman" w:hAnsi="Times New Roman"/>
          <w:i w:val="false"/>
          <w:iCs w:val="false"/>
          <w:sz w:val="20"/>
          <w:szCs w:val="20"/>
        </w:rPr>
        <w:t xml:space="preserve">      (10)</w:t>
      </w:r>
    </w:p>
    <w:p>
      <w:pPr>
        <w:spacing w:after="140" w:line="280"/>
        <w:jc w:val="both"/>
      </w:pPr>
      <w:r>
        <w:rPr>
          <w:rFonts w:ascii="Times New Roman" w:cs="Times New Roman" w:eastAsia="Times New Roman" w:hAnsi="Times New Roman"/>
          <w:sz w:val="22"/>
          <w:szCs w:val="22"/>
        </w:rPr>
        <w:t xml:space="preserve">AUDPC integrates the network-mean yield-loss trajectory across the simulation horizon and is the standard plant-pathology summary of multi-season disease pressure. Final-season yield loss ȲL(T) and final-season network mean seed health p̄(T) were retained as secondary metrics. Each scenario produced 100 AUDPC values (one per replicate); we report the mean and the 5th–95th percentile envelope across replicates. Per-season uncertainty bands shown in the trajectory figures correspond to the same quantile pair.</w:t>
      </w:r>
    </w:p>
    <w:p>
      <w:pPr>
        <w:spacing w:after="140" w:line="280"/>
        <w:jc w:val="both"/>
      </w:pPr>
      <w:r>
        <w:rPr>
          <w:rFonts w:ascii="Times New Roman" w:cs="Times New Roman" w:eastAsia="Times New Roman" w:hAnsi="Times New Roman"/>
          <w:sz w:val="22"/>
          <w:szCs w:val="22"/>
        </w:rPr>
        <w:t xml:space="preserve">Scenarios were ranked by mean AUDPC for the corresponding ranking step of each objective. For Objective 2, the three highest-AUDPC scenarios under informal seed conditions across all six networks were identified as the realistic worst-case scenarios that fed into Objective 3. For Objective 3, the (network, seed type) combination yielding the lowest AUDPC was selected for each of the four strategies, producing the four best-case configurations evaluated under risk-modifier perturbation in Objective 4.</w:t>
      </w:r>
    </w:p>
    <w:p>
      <w:pPr>
        <w:pStyle w:val="Heading1"/>
        <w:spacing w:after="160" w:before="320"/>
      </w:pPr>
      <w:r>
        <w:rPr>
          <w:rFonts w:ascii="Times New Roman" w:cs="Times New Roman" w:eastAsia="Times New Roman" w:hAnsi="Times New Roman"/>
          <w:b/>
          <w:bCs/>
          <w:color w:val="1F2937"/>
          <w:sz w:val="26"/>
          <w:szCs w:val="26"/>
        </w:rPr>
        <w:t xml:space="preserve">Implementation Notes</w:t>
      </w:r>
    </w:p>
    <w:p>
      <w:pPr>
        <w:spacing w:after="140" w:line="280"/>
        <w:jc w:val="both"/>
      </w:pPr>
      <w:r>
        <w:rPr>
          <w:rFonts w:ascii="Times New Roman" w:cs="Times New Roman" w:eastAsia="Times New Roman" w:hAnsi="Times New Roman"/>
          <w:sz w:val="22"/>
          <w:szCs w:val="22"/>
        </w:rPr>
        <w:t xml:space="preserve">The simulation engine was implemented as a single function simulate_network() that consumes the precomputed mixing matrix and a strategy function (a closure over k, accessible regions, and other strategy-specific parameters) and returns a long-format data frame indexed by season × node. Higher-level drivers (run_objective2, run_objective3, run_objective4) iterate over scenario grids and dispatch replicates to simulate_network. Position-based indexing aligned to V(G).name was used throughout to avoid name-coercion artifacts in matrix operations. Random number generation was seeded once per replicate within each scenario to ensure reproducibility while preserving stochastic independence across replicates.</w:t>
      </w:r>
    </w:p>
    <w:p>
      <w:pPr>
        <w:spacing w:after="140" w:line="280"/>
        <w:jc w:val="both"/>
      </w:pPr>
      <w:r>
        <w:rPr>
          <w:rFonts w:ascii="Times New Roman" w:cs="Times New Roman" w:eastAsia="Times New Roman" w:hAnsi="Times New Roman"/>
          <w:sz w:val="22"/>
          <w:szCs w:val="22"/>
        </w:rPr>
        <w:t xml:space="preserve">The pipeline is designed to scale from single-machine execution to high-performance computing via SLURM array deployment, with each scenario corresponding to one array task and replicates parallelized within each task using shared-memory forking. Code, toy-network test scripts, and reproducibility seeds are deposited in a public repository accompanying the manuscript.</w:t>
      </w:r>
    </w:p>
    <w:p>
      <w:pPr>
        <w:spacing w:after="60"/>
      </w:pPr>
      <w:r>
        <w:t xml:space="preserve"/>
      </w:r>
    </w:p>
    <w:p>
      <w:pPr>
        <w:spacing w:after="60"/>
      </w:pPr>
      <w:r>
        <w:t xml:space="preserve"/>
      </w:r>
    </w:p>
    <w:p>
      <w:pPr>
        <w:pStyle w:val="Heading1"/>
        <w:spacing w:after="160" w:before="320"/>
      </w:pPr>
      <w:r>
        <w:rPr>
          <w:rFonts w:ascii="Times New Roman" w:cs="Times New Roman" w:eastAsia="Times New Roman" w:hAnsi="Times New Roman"/>
          <w:b/>
          <w:bCs/>
          <w:color w:val="1F2937"/>
          <w:sz w:val="26"/>
          <w:szCs w:val="26"/>
        </w:rPr>
        <w:t xml:space="preserve">References for Methods</w:t>
      </w:r>
    </w:p>
    <w:p>
      <w:pPr>
        <w:spacing w:after="140" w:line="280"/>
        <w:jc w:val="both"/>
      </w:pPr>
      <w:r>
        <w:rPr>
          <w:rFonts w:ascii="Times New Roman" w:cs="Times New Roman" w:eastAsia="Times New Roman" w:hAnsi="Times New Roman"/>
          <w:sz w:val="22"/>
          <w:szCs w:val="22"/>
        </w:rPr>
        <w:t xml:space="preserve">Thomas-Sharma, S., Andrade-Piedra, J., Carvajal Yepes, M., Hernandez Nopsa, J. F., Jeger, M. J., Jones, R. A. C., Kromann, P., Legg, J. P., Yuen, J., Forbes, G. A., and Garrett, K. A. 2017. A risk assessment framework for seed degeneration: informing an integrated seed health strategy for vegetatively-propagated crops. Phytopathology 107:1123–1135.</w:t>
      </w:r>
    </w:p>
    <w:p>
      <w:pPr>
        <w:spacing w:after="140" w:line="280"/>
        <w:jc w:val="both"/>
      </w:pPr>
      <w:r>
        <w:rPr>
          <w:rFonts w:ascii="Times New Roman" w:cs="Times New Roman" w:eastAsia="Times New Roman" w:hAnsi="Times New Roman"/>
          <w:sz w:val="22"/>
          <w:szCs w:val="22"/>
        </w:rPr>
        <w:t xml:space="preserve">R Core Team. 2024. R: A language and environment for statistical computing. R Foundation for Statistical Computing, Vienna, Austria.</w:t>
      </w:r>
    </w:p>
    <w:p>
      <w:pPr>
        <w:spacing w:after="140" w:line="280"/>
        <w:jc w:val="both"/>
      </w:pPr>
      <w:r>
        <w:rPr>
          <w:rFonts w:ascii="Times New Roman" w:cs="Times New Roman" w:eastAsia="Times New Roman" w:hAnsi="Times New Roman"/>
          <w:sz w:val="22"/>
          <w:szCs w:val="22"/>
        </w:rPr>
        <w:t xml:space="preserve">Csardi, G., and Nepusz, T. 2006. The igraph software package for complex network research. InterJournal Complex Systems 1695.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2026-05-10T20:53:35.739Z</dcterms:created>
  <dcterms:modified xsi:type="dcterms:W3CDTF">2026-05-10T20:53:35.739Z</dcterms:modified>
</cp:coreProperties>
</file>

<file path=docProps/custom.xml><?xml version="1.0" encoding="utf-8"?>
<Properties xmlns="http://schemas.openxmlformats.org/officeDocument/2006/custom-properties" xmlns:vt="http://schemas.openxmlformats.org/officeDocument/2006/docPropsVTypes"/>
</file>