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Tema 2. </w:t>
        <w:tab/>
        <w:tab/>
        <w:tab/>
        <w:tab/>
        <w:tab/>
        <w:tab/>
        <w:tab/>
        <w:tab/>
        <w:t xml:space="preserve">1º DAW 24/25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Ejercicio 1</w:t>
        <w:tab/>
        <w:tab/>
        <w:tab/>
        <w:tab/>
        <w:tab/>
        <w:tab/>
        <w:tab/>
        <w:t xml:space="preserve">Jhonal Roca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Definición formal de la relación clientes.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Cabecera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CLIENTES{((id:id_d), (nombre, nombre_d), (email:emal_d), (nif: nif_d), </w:t>
        <w:tab/>
        <w:t xml:space="preserve">(poblacion:poblacion_d), (sector:sector_d))}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Cuerpo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(id:1), (nombre:”Romero SL”), (email:”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romerosl@gmail.com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B456789694</w:t>
      </w:r>
      <w:r w:rsidDel="00000000" w:rsidR="00000000" w:rsidRPr="00000000">
        <w:rPr>
          <w:rtl w:val="0"/>
        </w:rPr>
        <w:t xml:space="preserve"> ”), </w:t>
        <w:tab/>
        <w:t xml:space="preserve">(poblacion:”Valladolid”), (sector:”mueble”)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(id:2), (nombre:”Ubrisur”), (email:”ubrisur</w:t>
      </w:r>
      <w:hyperlink r:id="rId7">
        <w:r w:rsidDel="00000000" w:rsidR="00000000" w:rsidRPr="00000000">
          <w:rPr>
            <w:color w:val="00008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C123456123 </w:t>
      </w:r>
      <w:r w:rsidDel="00000000" w:rsidR="00000000" w:rsidRPr="00000000">
        <w:rPr>
          <w:rtl w:val="0"/>
        </w:rPr>
        <w:t xml:space="preserve"> ”), </w:t>
        <w:tab/>
        <w:t xml:space="preserve">(poblacion:”Ubrique”), (sector:”marroquinería”)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(id:3), (nombre:”Valladería SL”), (email:”valladeria</w:t>
      </w:r>
      <w:hyperlink r:id="rId8">
        <w:r w:rsidDel="00000000" w:rsidR="00000000" w:rsidRPr="00000000">
          <w:rPr>
            <w:color w:val="00008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R123456987  </w:t>
      </w:r>
      <w:r w:rsidDel="00000000" w:rsidR="00000000" w:rsidRPr="00000000">
        <w:rPr>
          <w:rtl w:val="0"/>
        </w:rPr>
        <w:t xml:space="preserve"> ”), </w:t>
        <w:tab/>
        <w:t xml:space="preserve">(poblacion:”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Villamartín</w:t>
      </w:r>
      <w:r w:rsidDel="00000000" w:rsidR="00000000" w:rsidRPr="00000000">
        <w:rPr>
          <w:rtl w:val="0"/>
        </w:rPr>
        <w:t xml:space="preserve"> ”), (sector:”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Agrícola</w:t>
      </w:r>
      <w:r w:rsidDel="00000000" w:rsidR="00000000" w:rsidRPr="00000000">
        <w:rPr>
          <w:rtl w:val="0"/>
        </w:rPr>
        <w:t xml:space="preserve"> ”)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(id:4), (nombre:”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Romancero</w:t>
      </w:r>
      <w:r w:rsidDel="00000000" w:rsidR="00000000" w:rsidRPr="00000000">
        <w:rPr>
          <w:rtl w:val="0"/>
        </w:rPr>
        <w:t xml:space="preserve">”), (email:”romancero</w:t>
      </w:r>
      <w:hyperlink r:id="rId9">
        <w:r w:rsidDel="00000000" w:rsidR="00000000" w:rsidRPr="00000000">
          <w:rPr>
            <w:color w:val="00008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E123456123   </w:t>
      </w:r>
      <w:r w:rsidDel="00000000" w:rsidR="00000000" w:rsidRPr="00000000">
        <w:rPr>
          <w:rtl w:val="0"/>
        </w:rPr>
        <w:t xml:space="preserve"> ”), </w:t>
        <w:tab/>
        <w:t xml:space="preserve">(poblacion:”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Prado del Rey</w:t>
      </w:r>
      <w:r w:rsidDel="00000000" w:rsidR="00000000" w:rsidRPr="00000000">
        <w:rPr>
          <w:rtl w:val="0"/>
        </w:rPr>
        <w:t xml:space="preserve"> ”), (sector:”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Mueble</w:t>
      </w:r>
      <w:r w:rsidDel="00000000" w:rsidR="00000000" w:rsidRPr="00000000">
        <w:rPr>
          <w:rtl w:val="0"/>
        </w:rPr>
        <w:t xml:space="preserve"> 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Claves Candidatas de la Relación Cliente.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Claves Candidatas: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- id: valor id identifica unívocamente a cada tupla de la relación, el valor no se repite.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 nif: el nif es un valor único para cada cliente.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- email: es un valor único para cada Cliente, no puede haber dos clientes con el mismo email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Claves Primarias de la Relación Cliente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- id: valor numérico y además es el valor de menor tamaño.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Claves Secundarias o Alternativas.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- nif: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- email: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 seleccionado “id” como clave primaria, por lo tanto nif y email pasan a ser claves secundarias.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 Añade la relación Cliente a una tupla válida y asignar valores.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(id:5), (nombre:”Pérgolas Antonio SL”), (email:”pergolasa”gmail.com”), </w:t>
        <w:tab/>
        <w:t xml:space="preserve">(nif:”T123456789”), (poblacion:”Prado del Rey”), (sector:”Comercial”)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6. Añade a la relación Cliente una tupla no válida por el modelo relacional. Razona la respuesta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1-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(id:3), (nombre:”Inodoros SL”), (email:”indoros@gmail.com”), </w:t>
        <w:tab/>
        <w:t xml:space="preserve">(nif:”Z14567890”), </w:t>
        <w:tab/>
        <w:t xml:space="preserve">(poblacion:”Puerto Serrano”), (sector:”Comercial”)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Tupla no válida. El id ya existe, incumple la regla de la clave primaria donde todos los valores han de ser únicos.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2-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(id:6), (nombre:”Toldos Gómez”), (email:”valladeria@gmail.com”), </w:t>
        <w:tab/>
        <w:t xml:space="preserve">(nif:”Z14567890”), </w:t>
        <w:tab/>
        <w:t xml:space="preserve">(poblacion:”Puerto Serrano”), (sector:”Comercial”)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Tupla no válida. Email es clave secundaria y el valor ya existe en la tabla.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3-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(id:7), (nombre:”Carpintería Gómez SL”), (email:”carpinteriagomez@gmail.com”), </w:t>
        <w:tab/>
        <w:t xml:space="preserve">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C123456123</w:t>
      </w:r>
      <w:r w:rsidDel="00000000" w:rsidR="00000000" w:rsidRPr="00000000">
        <w:rPr>
          <w:rtl w:val="0"/>
        </w:rPr>
        <w:t xml:space="preserve"> ”), </w:t>
        <w:tab/>
        <w:t xml:space="preserve">(poblacion:”El Bosque”), (sector:”Comercial”)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Tupla no válida. EL nif es la clave secundaria y el valor ya existe en la tabla.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 Añade a la relación anterior un Atributo válido y asignar valores.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- Teléfono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(id:1), (nombre:”Romero SL”), (email:”</w:t>
      </w:r>
      <w:hyperlink r:id="rId10">
        <w:r w:rsidDel="00000000" w:rsidR="00000000" w:rsidRPr="00000000">
          <w:rPr>
            <w:color w:val="000080"/>
            <w:u w:val="single"/>
            <w:rtl w:val="0"/>
          </w:rPr>
          <w:t xml:space="preserve">romerosl@gmail.com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B456789694</w:t>
      </w:r>
      <w:r w:rsidDel="00000000" w:rsidR="00000000" w:rsidRPr="00000000">
        <w:rPr>
          <w:rtl w:val="0"/>
        </w:rPr>
        <w:t xml:space="preserve"> ”), </w:t>
        <w:tab/>
        <w:t xml:space="preserve">(poblacion:”Valladolid”), (sector:”mueble”), (teléfono:”956123456”)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(id:2), (nombre:”Ubrisur”), (email:”ubrisur</w:t>
      </w:r>
      <w:hyperlink r:id="rId11">
        <w:r w:rsidDel="00000000" w:rsidR="00000000" w:rsidRPr="00000000">
          <w:rPr>
            <w:color w:val="00008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C123456123 </w:t>
      </w:r>
      <w:r w:rsidDel="00000000" w:rsidR="00000000" w:rsidRPr="00000000">
        <w:rPr>
          <w:rtl w:val="0"/>
        </w:rPr>
        <w:t xml:space="preserve"> ”), </w:t>
        <w:tab/>
        <w:t xml:space="preserve">(poblacion:”Ubrique”), (sector:”marroquinería”), … (teléfono:”956123476”)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(id:3), (nombre:”Valladería SL”), (email:”valladeria</w:t>
      </w:r>
      <w:hyperlink r:id="rId12">
        <w:r w:rsidDel="00000000" w:rsidR="00000000" w:rsidRPr="00000000">
          <w:rPr>
            <w:color w:val="00008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R123456987  </w:t>
      </w:r>
      <w:r w:rsidDel="00000000" w:rsidR="00000000" w:rsidRPr="00000000">
        <w:rPr>
          <w:rtl w:val="0"/>
        </w:rPr>
        <w:t xml:space="preserve"> ”), </w:t>
        <w:tab/>
        <w:t xml:space="preserve">(poblacion:”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Villamartín</w:t>
      </w:r>
      <w:r w:rsidDel="00000000" w:rsidR="00000000" w:rsidRPr="00000000">
        <w:rPr>
          <w:rtl w:val="0"/>
        </w:rPr>
        <w:t xml:space="preserve"> ”), (sector:”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Agrícola</w:t>
      </w:r>
      <w:r w:rsidDel="00000000" w:rsidR="00000000" w:rsidRPr="00000000">
        <w:rPr>
          <w:rtl w:val="0"/>
        </w:rPr>
        <w:t xml:space="preserve"> ”), (teléfono:”956123483”)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(id:4), (nombre:”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Romancero</w:t>
      </w:r>
      <w:r w:rsidDel="00000000" w:rsidR="00000000" w:rsidRPr="00000000">
        <w:rPr>
          <w:rtl w:val="0"/>
        </w:rPr>
        <w:t xml:space="preserve">”), (email:”romancero</w:t>
      </w:r>
      <w:hyperlink r:id="rId13">
        <w:r w:rsidDel="00000000" w:rsidR="00000000" w:rsidRPr="00000000">
          <w:rPr>
            <w:color w:val="00008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  <w:t xml:space="preserve">”), (nif:”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E123456123   </w:t>
      </w:r>
      <w:r w:rsidDel="00000000" w:rsidR="00000000" w:rsidRPr="00000000">
        <w:rPr>
          <w:rtl w:val="0"/>
        </w:rPr>
        <w:t xml:space="preserve"> ”), </w:t>
        <w:tab/>
        <w:t xml:space="preserve">(poblacion:”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Prado del Rey</w:t>
      </w:r>
      <w:r w:rsidDel="00000000" w:rsidR="00000000" w:rsidRPr="00000000">
        <w:rPr>
          <w:rtl w:val="0"/>
        </w:rPr>
        <w:t xml:space="preserve"> ”), (sector:”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color w:val="1d2125"/>
          <w:sz w:val="21"/>
          <w:szCs w:val="21"/>
          <w:rtl w:val="0"/>
        </w:rPr>
        <w:t xml:space="preserve">Mueble</w:t>
      </w:r>
      <w:r w:rsidDel="00000000" w:rsidR="00000000" w:rsidRPr="00000000">
        <w:rPr>
          <w:rtl w:val="0"/>
        </w:rPr>
        <w:t xml:space="preserve"> ”), (teléfono:”956123499”)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8. ¿Tiene la relación anterior una clave ajena o foránea?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 tiene ninguna clave foránea o ajena, todas las claves pertenecen a la misma tabla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9. Muestra el esquema relacional.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CLIENTES(id, nombre, email, nif, población, sector, teléfono)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romerosl@gmail.com" TargetMode="External"/><Relationship Id="rId10" Type="http://schemas.openxmlformats.org/officeDocument/2006/relationships/hyperlink" Target="mailto:romerosl@gmail.com" TargetMode="External"/><Relationship Id="rId13" Type="http://schemas.openxmlformats.org/officeDocument/2006/relationships/hyperlink" Target="mailto:romerosl@gmail.com" TargetMode="External"/><Relationship Id="rId12" Type="http://schemas.openxmlformats.org/officeDocument/2006/relationships/hyperlink" Target="mailto:romerosl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omeros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romerosl@gmail.com" TargetMode="External"/><Relationship Id="rId7" Type="http://schemas.openxmlformats.org/officeDocument/2006/relationships/hyperlink" Target="mailto:romerosl@gmail.com" TargetMode="External"/><Relationship Id="rId8" Type="http://schemas.openxmlformats.org/officeDocument/2006/relationships/hyperlink" Target="mailto:romerosl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