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72EB" w14:textId="77777777" w:rsidR="00DC72AD" w:rsidRPr="00AE2813" w:rsidRDefault="00000000" w:rsidP="00AE2813">
      <w:pPr>
        <w:jc w:val="right"/>
        <w:rPr>
          <w:lang w:val="es-ES"/>
        </w:rPr>
      </w:pPr>
      <w:proofErr w:type="gramStart"/>
      <w:r w:rsidRPr="00AE2813">
        <w:rPr>
          <w:rFonts w:eastAsia="Times New Roman"/>
          <w:lang w:val="es-ES"/>
        </w:rPr>
        <w:t>Categoría prototipado</w:t>
      </w:r>
      <w:proofErr w:type="gramEnd"/>
      <w:r w:rsidRPr="00AE2813">
        <w:rPr>
          <w:rFonts w:eastAsia="Times New Roman"/>
          <w:lang w:val="es-ES"/>
        </w:rPr>
        <w:t>: seguridad alimentaria y agricultura sostenible con observación de la Tierra.</w:t>
      </w:r>
    </w:p>
    <w:p w14:paraId="05EC9F08" w14:textId="77777777" w:rsidR="00DC72AD" w:rsidRPr="00AE2813" w:rsidRDefault="00000000">
      <w:pPr>
        <w:spacing w:before="80" w:after="240"/>
        <w:jc w:val="center"/>
        <w:rPr>
          <w:lang w:val="es-ES"/>
        </w:rPr>
      </w:pPr>
      <w:proofErr w:type="spellStart"/>
      <w:r w:rsidRPr="00AE2813">
        <w:rPr>
          <w:rFonts w:eastAsia="Times New Roman"/>
          <w:sz w:val="36"/>
          <w:lang w:val="es-ES"/>
        </w:rPr>
        <w:t>AgroShield</w:t>
      </w:r>
      <w:proofErr w:type="spellEnd"/>
      <w:r w:rsidRPr="00AE2813">
        <w:rPr>
          <w:rFonts w:eastAsia="Times New Roman"/>
          <w:sz w:val="36"/>
          <w:lang w:val="es-ES"/>
        </w:rPr>
        <w:t>: sistema satelital de evidencia temprana para riesgo hídrico agrícola en la cuenca del río La Villa</w:t>
      </w:r>
    </w:p>
    <w:p w14:paraId="619D9A8B" w14:textId="77777777" w:rsidR="00DC72AD" w:rsidRDefault="00000000">
      <w:pPr>
        <w:spacing w:after="240"/>
        <w:jc w:val="center"/>
      </w:pPr>
      <w:proofErr w:type="spellStart"/>
      <w:r>
        <w:rPr>
          <w:rFonts w:eastAsia="Times New Roman"/>
          <w:sz w:val="36"/>
        </w:rPr>
        <w:t>AgroShield</w:t>
      </w:r>
      <w:proofErr w:type="spellEnd"/>
      <w:r>
        <w:rPr>
          <w:rFonts w:eastAsia="Times New Roman"/>
          <w:sz w:val="36"/>
        </w:rPr>
        <w:t>: satellite evidence system for early agricultural water-risk assessment in the La Villa river basin</w:t>
      </w:r>
    </w:p>
    <w:p w14:paraId="763EBFE0" w14:textId="50E007A1" w:rsidR="00DC72AD" w:rsidRPr="00AE2813" w:rsidRDefault="00000000">
      <w:pPr>
        <w:jc w:val="center"/>
        <w:rPr>
          <w:lang w:val="es-ES"/>
        </w:rPr>
      </w:pPr>
      <w:r w:rsidRPr="00AE2813">
        <w:rPr>
          <w:rFonts w:eastAsia="Times New Roman"/>
          <w:lang w:val="es-ES"/>
        </w:rPr>
        <w:t>José Rodríguez, Yanesis Valdés</w:t>
      </w:r>
    </w:p>
    <w:p w14:paraId="6053FE77" w14:textId="2FCE002B" w:rsidR="00DC72AD" w:rsidRPr="00AE2813" w:rsidRDefault="00000000">
      <w:pPr>
        <w:jc w:val="center"/>
        <w:rPr>
          <w:lang w:val="es-ES"/>
        </w:rPr>
      </w:pPr>
      <w:r w:rsidRPr="00AE2813">
        <w:rPr>
          <w:rFonts w:eastAsia="Times New Roman"/>
          <w:i/>
          <w:lang w:val="es-ES"/>
        </w:rPr>
        <w:t>Afiliación pendiente, grupo o unidad académica pendiente; Afiliación pendiente, grupo o unidad académica pendiente</w:t>
      </w:r>
    </w:p>
    <w:p w14:paraId="11561272" w14:textId="77777777" w:rsidR="00DC72AD" w:rsidRPr="00AE2813" w:rsidRDefault="00000000">
      <w:pPr>
        <w:spacing w:after="0" w:line="240" w:lineRule="auto"/>
        <w:jc w:val="both"/>
        <w:rPr>
          <w:lang w:val="es-ES"/>
        </w:rPr>
      </w:pPr>
      <w:r w:rsidRPr="00AE2813">
        <w:rPr>
          <w:rFonts w:eastAsia="Times New Roman"/>
          <w:b/>
          <w:lang w:val="es-ES"/>
        </w:rPr>
        <w:t xml:space="preserve">Resumen </w:t>
      </w:r>
      <w:proofErr w:type="spellStart"/>
      <w:r w:rsidRPr="00AE2813">
        <w:rPr>
          <w:rFonts w:eastAsia="Times New Roman"/>
          <w:lang w:val="es-ES"/>
        </w:rPr>
        <w:t>AgroShield</w:t>
      </w:r>
      <w:proofErr w:type="spellEnd"/>
      <w:r w:rsidRPr="00AE2813">
        <w:rPr>
          <w:rFonts w:eastAsia="Times New Roman"/>
          <w:lang w:val="es-ES"/>
        </w:rPr>
        <w:t xml:space="preserve"> propone un prototipo de apoyo a decisiones para técnicos de cuenca que necesitan anticipar riesgo hídrico agrícola en la cuenca del río La Villa, Azuero, Panamá. La solución integra datos </w:t>
      </w:r>
      <w:proofErr w:type="spellStart"/>
      <w:r w:rsidRPr="00AE2813">
        <w:rPr>
          <w:rFonts w:eastAsia="Times New Roman"/>
          <w:lang w:val="es-ES"/>
        </w:rPr>
        <w:t>Copernicus</w:t>
      </w:r>
      <w:proofErr w:type="spellEnd"/>
      <w:r w:rsidRPr="00AE2813">
        <w:rPr>
          <w:rFonts w:eastAsia="Times New Roman"/>
          <w:lang w:val="es-ES"/>
        </w:rPr>
        <w:t xml:space="preserve"> Sentinel-2 y Sentinel-1 con lluvia CHIRPS y variables agroclimáticas ERA5-Land para generar un semáforo técnico, un reporte PDF automático y una interpretación asistida por IA. El sistema no pretende detectar pesticidas disueltos ni reemplazar análisis de laboratorio; su aporte es organizar evidencia satelital e hidrometeorológica asociada con sedimento, clorofila, saturación antecedente y condiciones de manejo agrícola. El prototipo se encuentra en fase inicial y será verificado internamente mediante fechas históricas de 2025 antes de construir el entregable formal del hackathon.</w:t>
      </w:r>
    </w:p>
    <w:p w14:paraId="2E0E5284" w14:textId="77777777" w:rsidR="00DC72AD" w:rsidRPr="00AE2813" w:rsidRDefault="00000000">
      <w:pPr>
        <w:spacing w:after="0" w:line="240" w:lineRule="auto"/>
        <w:jc w:val="both"/>
        <w:rPr>
          <w:lang w:val="es-ES"/>
        </w:rPr>
      </w:pPr>
      <w:r w:rsidRPr="00AE2813">
        <w:rPr>
          <w:rFonts w:eastAsia="Times New Roman"/>
          <w:b/>
          <w:lang w:val="es-ES"/>
        </w:rPr>
        <w:t xml:space="preserve">Palabras clave </w:t>
      </w:r>
      <w:proofErr w:type="spellStart"/>
      <w:r w:rsidRPr="00AE2813">
        <w:rPr>
          <w:rFonts w:eastAsia="Times New Roman"/>
          <w:lang w:val="es-ES"/>
        </w:rPr>
        <w:t>AgroShield</w:t>
      </w:r>
      <w:proofErr w:type="spellEnd"/>
      <w:r w:rsidRPr="00AE2813">
        <w:rPr>
          <w:rFonts w:eastAsia="Times New Roman"/>
          <w:lang w:val="es-ES"/>
        </w:rPr>
        <w:t xml:space="preserve">, </w:t>
      </w:r>
      <w:proofErr w:type="spellStart"/>
      <w:r w:rsidRPr="00AE2813">
        <w:rPr>
          <w:rFonts w:eastAsia="Times New Roman"/>
          <w:lang w:val="es-ES"/>
        </w:rPr>
        <w:t>Copernicus</w:t>
      </w:r>
      <w:proofErr w:type="spellEnd"/>
      <w:r w:rsidRPr="00AE2813">
        <w:rPr>
          <w:rFonts w:eastAsia="Times New Roman"/>
          <w:lang w:val="es-ES"/>
        </w:rPr>
        <w:t xml:space="preserve">, riesgo hídrico, seguridad alimentaria, </w:t>
      </w:r>
      <w:proofErr w:type="spellStart"/>
      <w:r w:rsidRPr="00AE2813">
        <w:rPr>
          <w:rFonts w:eastAsia="Times New Roman"/>
          <w:lang w:val="es-ES"/>
        </w:rPr>
        <w:t>Sentinel</w:t>
      </w:r>
      <w:proofErr w:type="spellEnd"/>
      <w:r w:rsidRPr="00AE2813">
        <w:rPr>
          <w:rFonts w:eastAsia="Times New Roman"/>
          <w:lang w:val="es-ES"/>
        </w:rPr>
        <w:t>.</w:t>
      </w:r>
    </w:p>
    <w:p w14:paraId="76806725" w14:textId="77777777" w:rsidR="00DC72AD" w:rsidRDefault="00000000">
      <w:pPr>
        <w:spacing w:after="0" w:line="240" w:lineRule="auto"/>
        <w:jc w:val="both"/>
      </w:pPr>
      <w:r>
        <w:rPr>
          <w:rFonts w:eastAsia="Times New Roman"/>
          <w:b/>
        </w:rPr>
        <w:t xml:space="preserve">Abstract </w:t>
      </w:r>
      <w:proofErr w:type="spellStart"/>
      <w:r>
        <w:rPr>
          <w:rFonts w:eastAsia="Times New Roman"/>
        </w:rPr>
        <w:t>AgroShield</w:t>
      </w:r>
      <w:proofErr w:type="spellEnd"/>
      <w:r>
        <w:rPr>
          <w:rFonts w:eastAsia="Times New Roman"/>
        </w:rPr>
        <w:t xml:space="preserve"> is an early-stage decision-support prototype for watershed technicians assessing agricultural water risk in the La Villa river basin, Panama. It combines Copernicus Sentinel-2 and Sentinel-1 observations with CHIRPS rainfall and ERA5-Land agroclimatic variables to produce a technical traffic-light status, an automated PDF evidence report, and AI-assisted interpretation. The prototype does not claim direct detection of dissolved pesticides; it structures satellite and hydrometeorological evidence related to sediment transport, chlorophyll, antecedent saturation and agricultural decision windows.</w:t>
      </w:r>
    </w:p>
    <w:p w14:paraId="3701E470" w14:textId="77777777" w:rsidR="00DC72AD" w:rsidRDefault="00000000">
      <w:pPr>
        <w:spacing w:after="0" w:line="240" w:lineRule="auto"/>
        <w:jc w:val="both"/>
      </w:pPr>
      <w:r>
        <w:rPr>
          <w:rFonts w:eastAsia="Times New Roman"/>
          <w:b/>
        </w:rPr>
        <w:t xml:space="preserve">Keywords </w:t>
      </w:r>
      <w:r>
        <w:rPr>
          <w:rFonts w:eastAsia="Times New Roman"/>
        </w:rPr>
        <w:t>AgroShield, Copernicus, food security, Sentinel, water risk.</w:t>
      </w:r>
    </w:p>
    <w:p w14:paraId="5EA5690A" w14:textId="77777777" w:rsidR="00DC72AD" w:rsidRDefault="00000000">
      <w:r>
        <w:rPr>
          <w:rFonts w:eastAsia="Times New Roman"/>
          <w:sz w:val="16"/>
        </w:rPr>
        <w:t>* Corresponding author: jose.rodriguez104@utp.ac.pa</w:t>
      </w:r>
    </w:p>
    <w:p w14:paraId="0ABB81FF" w14:textId="77777777" w:rsidR="00DC72AD" w:rsidRDefault="00DC72AD">
      <w:pPr>
        <w:sectPr w:rsidR="00DC72AD">
          <w:pgSz w:w="12240" w:h="15840"/>
          <w:pgMar w:top="1701" w:right="850" w:bottom="1417" w:left="850" w:header="709" w:footer="709" w:gutter="0"/>
          <w:cols w:space="720"/>
          <w:docGrid w:linePitch="360"/>
        </w:sectPr>
      </w:pPr>
    </w:p>
    <w:p w14:paraId="5676D38D" w14:textId="77777777" w:rsidR="00DC72AD" w:rsidRPr="00AE2813" w:rsidRDefault="00000000">
      <w:pPr>
        <w:keepNext/>
        <w:spacing w:before="120" w:after="40"/>
        <w:rPr>
          <w:lang w:val="es-ES"/>
        </w:rPr>
      </w:pPr>
      <w:r w:rsidRPr="00AE2813">
        <w:rPr>
          <w:rFonts w:eastAsia="Times New Roman"/>
          <w:b/>
          <w:sz w:val="28"/>
          <w:lang w:val="es-ES"/>
        </w:rPr>
        <w:t>1. Introducción</w:t>
      </w:r>
    </w:p>
    <w:p w14:paraId="279E9FBE" w14:textId="77777777" w:rsidR="00DC72AD" w:rsidRPr="00AE2813" w:rsidRDefault="00000000">
      <w:pPr>
        <w:spacing w:after="0" w:line="240" w:lineRule="auto"/>
        <w:ind w:firstLine="283"/>
        <w:jc w:val="both"/>
        <w:rPr>
          <w:lang w:val="es-ES"/>
        </w:rPr>
      </w:pPr>
      <w:r w:rsidRPr="00AE2813">
        <w:rPr>
          <w:rFonts w:eastAsia="Times New Roman"/>
          <w:lang w:val="es-ES"/>
        </w:rPr>
        <w:t>La seguridad alimentaria depende de la calidad y disponibilidad del agua usada para consumo humano, riego, lavado y continuidad de cadenas agroexportadoras. En Azuero, la cuenca del río La Villa concentra valor productivo y vulnerabilidad ambiental: eventos de lluvia intensa pueden movilizar sedimento y contaminantes desde fuentes difusas hacia tomas y zonas agrícolas. La observación de la Tierra permite observar la cuenca completa con una continuidad imposible de lograr solo con visitas de campo o sensores puntuales [1]-[4].</w:t>
      </w:r>
    </w:p>
    <w:p w14:paraId="0B62F57F" w14:textId="77777777" w:rsidR="00DC72AD" w:rsidRPr="00AE2813" w:rsidRDefault="00000000">
      <w:pPr>
        <w:spacing w:after="0" w:line="240" w:lineRule="auto"/>
        <w:ind w:firstLine="283"/>
        <w:jc w:val="both"/>
        <w:rPr>
          <w:lang w:val="es-ES"/>
        </w:rPr>
      </w:pPr>
      <w:r w:rsidRPr="00AE2813">
        <w:rPr>
          <w:rFonts w:eastAsia="Times New Roman"/>
          <w:lang w:val="es-ES"/>
        </w:rPr>
        <w:t xml:space="preserve">El problema de prototipado consiste en convertir datos satelitales abiertos en evidencia accionable para un técnico de cuenca. Las restricciones principales son costo bajo, trazabilidad, lenguaje comprensible, límites científicos explícitos y capacidad de validar el flujo con datos históricos antes de operar. A diferencia de un tablero genérico, </w:t>
      </w:r>
      <w:proofErr w:type="spellStart"/>
      <w:r w:rsidRPr="00AE2813">
        <w:rPr>
          <w:rFonts w:eastAsia="Times New Roman"/>
          <w:lang w:val="es-ES"/>
        </w:rPr>
        <w:t>AgroShield</w:t>
      </w:r>
      <w:proofErr w:type="spellEnd"/>
      <w:r w:rsidRPr="00AE2813">
        <w:rPr>
          <w:rFonts w:eastAsia="Times New Roman"/>
          <w:lang w:val="es-ES"/>
        </w:rPr>
        <w:t xml:space="preserve"> prioriza un reporte técnico que explique qué se observó, qué tan confiable es la observación y qué decisión preventiva podría considerarse.</w:t>
      </w:r>
    </w:p>
    <w:p w14:paraId="6E70C8D3" w14:textId="77777777" w:rsidR="00DC72AD" w:rsidRPr="00AE2813" w:rsidRDefault="00000000">
      <w:pPr>
        <w:keepNext/>
        <w:spacing w:before="120" w:after="40"/>
        <w:rPr>
          <w:lang w:val="es-ES"/>
        </w:rPr>
      </w:pPr>
      <w:r w:rsidRPr="00AE2813">
        <w:rPr>
          <w:rFonts w:eastAsia="Times New Roman"/>
          <w:b/>
          <w:sz w:val="28"/>
          <w:lang w:val="es-ES"/>
        </w:rPr>
        <w:t>2. Diseño y metodología</w:t>
      </w:r>
    </w:p>
    <w:p w14:paraId="77D52FA0" w14:textId="77777777" w:rsidR="00DC72AD" w:rsidRPr="00AE2813" w:rsidRDefault="00000000">
      <w:pPr>
        <w:spacing w:after="0" w:line="240" w:lineRule="auto"/>
        <w:ind w:firstLine="283"/>
        <w:jc w:val="both"/>
        <w:rPr>
          <w:lang w:val="es-ES"/>
        </w:rPr>
      </w:pPr>
      <w:r w:rsidRPr="00AE2813">
        <w:rPr>
          <w:rFonts w:eastAsia="Times New Roman"/>
          <w:lang w:val="es-ES"/>
        </w:rPr>
        <w:t>El diseño se organiza como un motor de evidencia. Primero se define un área de interés en el corredor Chitré-La Arena del río La Villa. Luego se consultan productos Sentinel-2 Level-2A para señales ópticas, Sentinel-1 para continuidad bajo nubosidad, CHIRPS para lluvia antecedente y ERA5-Land para condiciones agroclimáticas complementarias [2]-[6]. La salida se resume en componentes separados antes de calcular un índice compuesto preliminar.</w:t>
      </w:r>
    </w:p>
    <w:p w14:paraId="4890F965" w14:textId="77777777" w:rsidR="00DC72AD" w:rsidRDefault="00000000">
      <w:pPr>
        <w:keepNext/>
        <w:spacing w:before="60" w:after="20"/>
        <w:jc w:val="center"/>
      </w:pPr>
      <w:proofErr w:type="spellStart"/>
      <w:r>
        <w:rPr>
          <w:rFonts w:eastAsia="Times New Roman"/>
          <w:b/>
          <w:sz w:val="16"/>
        </w:rPr>
        <w:t>Tabla</w:t>
      </w:r>
      <w:proofErr w:type="spellEnd"/>
      <w:r>
        <w:rPr>
          <w:rFonts w:eastAsia="Times New Roman"/>
          <w:b/>
          <w:sz w:val="16"/>
        </w:rPr>
        <w:t xml:space="preserve"> </w:t>
      </w:r>
      <w:r>
        <w:rPr>
          <w:rFonts w:eastAsia="Times New Roman"/>
          <w:sz w:val="16"/>
        </w:rPr>
        <w:t>1. Ficha técnica del prototipo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2"/>
        <w:gridCol w:w="2542"/>
      </w:tblGrid>
      <w:tr w:rsidR="00DC72AD" w14:paraId="00A33233" w14:textId="77777777" w:rsidTr="00AE2813">
        <w:trPr>
          <w:trHeight w:val="178"/>
        </w:trPr>
        <w:tc>
          <w:tcPr>
            <w:tcW w:w="2542" w:type="dxa"/>
            <w:shd w:val="clear" w:color="auto" w:fill="D9EAD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C83A9" w14:textId="77777777" w:rsidR="00DC72AD" w:rsidRDefault="00000000">
            <w:pPr>
              <w:jc w:val="center"/>
            </w:pPr>
            <w:r>
              <w:rPr>
                <w:rFonts w:eastAsia="Times New Roman"/>
                <w:b/>
                <w:sz w:val="16"/>
              </w:rPr>
              <w:t>Elemento</w:t>
            </w:r>
          </w:p>
        </w:tc>
        <w:tc>
          <w:tcPr>
            <w:tcW w:w="2542" w:type="dxa"/>
            <w:shd w:val="clear" w:color="auto" w:fill="D9EAD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3E0C7" w14:textId="77777777" w:rsidR="00DC72AD" w:rsidRDefault="00000000">
            <w:pPr>
              <w:jc w:val="center"/>
            </w:pPr>
            <w:r>
              <w:rPr>
                <w:rFonts w:eastAsia="Times New Roman"/>
                <w:b/>
                <w:sz w:val="16"/>
              </w:rPr>
              <w:t>Definición operativa</w:t>
            </w:r>
          </w:p>
        </w:tc>
      </w:tr>
      <w:tr w:rsidR="00DC72AD" w:rsidRPr="00AE2813" w14:paraId="5E4C3AC5" w14:textId="77777777" w:rsidTr="00AE2813">
        <w:trPr>
          <w:trHeight w:val="166"/>
        </w:trPr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98454" w14:textId="77777777" w:rsidR="00DC72AD" w:rsidRDefault="00000000">
            <w:r>
              <w:rPr>
                <w:rFonts w:eastAsia="Times New Roman"/>
                <w:sz w:val="15"/>
              </w:rPr>
              <w:t>Usuario</w:t>
            </w:r>
          </w:p>
        </w:tc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64E07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Técnico de cuenca que interpreta evidencia y coordina validación local.</w:t>
            </w:r>
          </w:p>
        </w:tc>
      </w:tr>
      <w:tr w:rsidR="00DC72AD" w:rsidRPr="00AE2813" w14:paraId="5B910835" w14:textId="77777777" w:rsidTr="00AE2813">
        <w:trPr>
          <w:trHeight w:val="178"/>
        </w:trPr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78005" w14:textId="77777777" w:rsidR="00DC72AD" w:rsidRDefault="00000000">
            <w:r>
              <w:rPr>
                <w:rFonts w:eastAsia="Times New Roman"/>
                <w:sz w:val="15"/>
              </w:rPr>
              <w:t xml:space="preserve">Zona </w:t>
            </w:r>
            <w:proofErr w:type="spellStart"/>
            <w:r>
              <w:rPr>
                <w:rFonts w:eastAsia="Times New Roman"/>
                <w:sz w:val="15"/>
              </w:rPr>
              <w:t>piloto</w:t>
            </w:r>
            <w:proofErr w:type="spellEnd"/>
          </w:p>
        </w:tc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6FB3C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Río La Villa, Azuero, Panamá; nodo Chitré-La Arena.</w:t>
            </w:r>
          </w:p>
        </w:tc>
      </w:tr>
      <w:tr w:rsidR="00DC72AD" w:rsidRPr="00AE2813" w14:paraId="4ECD490B" w14:textId="77777777" w:rsidTr="00AE2813">
        <w:trPr>
          <w:trHeight w:val="166"/>
        </w:trPr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4CA2B" w14:textId="77777777" w:rsidR="00DC72AD" w:rsidRDefault="00000000">
            <w:r>
              <w:rPr>
                <w:rFonts w:eastAsia="Times New Roman"/>
                <w:sz w:val="15"/>
              </w:rPr>
              <w:t>Datos base</w:t>
            </w:r>
          </w:p>
        </w:tc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CC98E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Sentinel-2, Sentinel-1, CDSE, CHIRPS y ERA5-Land.</w:t>
            </w:r>
          </w:p>
        </w:tc>
      </w:tr>
      <w:tr w:rsidR="00DC72AD" w:rsidRPr="00AE2813" w14:paraId="500A4B4C" w14:textId="77777777" w:rsidTr="00AE2813">
        <w:trPr>
          <w:trHeight w:val="166"/>
        </w:trPr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7F999" w14:textId="77777777" w:rsidR="00DC72AD" w:rsidRDefault="00000000">
            <w:r>
              <w:rPr>
                <w:rFonts w:eastAsia="Times New Roman"/>
                <w:sz w:val="15"/>
              </w:rPr>
              <w:t>Salida</w:t>
            </w:r>
          </w:p>
        </w:tc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F2ACF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Semáforo técnico, PDF automático, resumen IA y canal comunitario.</w:t>
            </w:r>
          </w:p>
        </w:tc>
      </w:tr>
      <w:tr w:rsidR="00DC72AD" w:rsidRPr="00AE2813" w14:paraId="35D4CD0C" w14:textId="77777777" w:rsidTr="00AE2813">
        <w:trPr>
          <w:trHeight w:val="166"/>
        </w:trPr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78571" w14:textId="77777777" w:rsidR="00DC72AD" w:rsidRDefault="00000000">
            <w:r>
              <w:rPr>
                <w:rFonts w:eastAsia="Times New Roman"/>
                <w:sz w:val="15"/>
              </w:rPr>
              <w:t>Estado</w:t>
            </w:r>
          </w:p>
        </w:tc>
        <w:tc>
          <w:tcPr>
            <w:tcW w:w="254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709ED" w14:textId="6B021AD9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Fase inicial;</w:t>
            </w:r>
            <w:r w:rsidR="00AE2813">
              <w:rPr>
                <w:rFonts w:eastAsia="Times New Roman"/>
                <w:sz w:val="15"/>
                <w:lang w:val="es-ES"/>
              </w:rPr>
              <w:t xml:space="preserve"> propuesta.</w:t>
            </w:r>
          </w:p>
        </w:tc>
      </w:tr>
    </w:tbl>
    <w:p w14:paraId="3FCB1A41" w14:textId="77777777" w:rsidR="00DC72AD" w:rsidRPr="00AE2813" w:rsidRDefault="00000000">
      <w:pPr>
        <w:spacing w:after="60" w:line="240" w:lineRule="auto"/>
        <w:jc w:val="both"/>
        <w:rPr>
          <w:lang w:val="es-ES"/>
        </w:rPr>
      </w:pPr>
      <w:r w:rsidRPr="00AE2813">
        <w:rPr>
          <w:rFonts w:eastAsia="Times New Roman"/>
          <w:b/>
          <w:sz w:val="16"/>
          <w:lang w:val="es-ES"/>
        </w:rPr>
        <w:lastRenderedPageBreak/>
        <w:t xml:space="preserve">Fuente: </w:t>
      </w:r>
      <w:r w:rsidRPr="00AE2813">
        <w:rPr>
          <w:rFonts w:eastAsia="Times New Roman"/>
          <w:sz w:val="16"/>
          <w:lang w:val="es-ES"/>
        </w:rPr>
        <w:t>Elaboración propia con base en el alcance del prototipo.</w:t>
      </w:r>
    </w:p>
    <w:p w14:paraId="6DBB01BB" w14:textId="77777777" w:rsidR="00DC72AD" w:rsidRPr="00AE2813" w:rsidRDefault="00000000">
      <w:pPr>
        <w:spacing w:after="0" w:line="240" w:lineRule="auto"/>
        <w:ind w:firstLine="283"/>
        <w:jc w:val="both"/>
        <w:rPr>
          <w:lang w:val="es-ES"/>
        </w:rPr>
      </w:pPr>
      <w:r w:rsidRPr="00AE2813">
        <w:rPr>
          <w:rFonts w:eastAsia="Times New Roman"/>
          <w:lang w:val="es-ES"/>
        </w:rPr>
        <w:t>El puntaje no se presenta como una caja negra. Se separan cuatro señales: riesgo óptico, riesgo biológico, riesgo hidrometeorológico y confianza de observación. La confianza evita clasificar como verde cuando existen nubes, pocos píxeles válidos o ausencia de datos. El índice compuesto preliminar se expresa como CRI = 0.45RO + 0.20RB + 0.25RH + 0.10C, donde RO es riesgo óptico, RB riesgo biológico, RH riesgo hidrometeorológico y C confianza invertida o penalización de incertidumbre. Los pesos son iniciales y deben calibrarse con datos locales.</w:t>
      </w:r>
    </w:p>
    <w:p w14:paraId="3A3E6622" w14:textId="77777777" w:rsidR="00DC72AD" w:rsidRPr="00AE2813" w:rsidRDefault="00000000">
      <w:pPr>
        <w:keepNext/>
        <w:spacing w:before="60" w:after="20"/>
        <w:jc w:val="center"/>
        <w:rPr>
          <w:lang w:val="es-ES"/>
        </w:rPr>
      </w:pPr>
      <w:r w:rsidRPr="00AE2813">
        <w:rPr>
          <w:rFonts w:eastAsia="Times New Roman"/>
          <w:b/>
          <w:sz w:val="16"/>
          <w:lang w:val="es-ES"/>
        </w:rPr>
        <w:t xml:space="preserve">Tabla </w:t>
      </w:r>
      <w:r w:rsidRPr="00AE2813">
        <w:rPr>
          <w:rFonts w:eastAsia="Times New Roman"/>
          <w:sz w:val="16"/>
          <w:lang w:val="es-ES"/>
        </w:rPr>
        <w:t>2. Componentes auditables del semáforo técnico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54"/>
        <w:gridCol w:w="2554"/>
      </w:tblGrid>
      <w:tr w:rsidR="00DC72AD" w14:paraId="02E4754A" w14:textId="77777777" w:rsidTr="00AE2813">
        <w:trPr>
          <w:trHeight w:val="195"/>
        </w:trPr>
        <w:tc>
          <w:tcPr>
            <w:tcW w:w="2554" w:type="dxa"/>
            <w:shd w:val="clear" w:color="auto" w:fill="D9EAD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1024B" w14:textId="77777777" w:rsidR="00DC72AD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sz w:val="16"/>
              </w:rPr>
              <w:t>Componente</w:t>
            </w:r>
            <w:proofErr w:type="spellEnd"/>
          </w:p>
        </w:tc>
        <w:tc>
          <w:tcPr>
            <w:tcW w:w="2554" w:type="dxa"/>
            <w:shd w:val="clear" w:color="auto" w:fill="D9EAD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21A5DB" w14:textId="77777777" w:rsidR="00DC72AD" w:rsidRDefault="00000000">
            <w:pPr>
              <w:jc w:val="center"/>
            </w:pPr>
            <w:r>
              <w:rPr>
                <w:rFonts w:eastAsia="Times New Roman"/>
                <w:b/>
                <w:sz w:val="16"/>
              </w:rPr>
              <w:t>Evidencia usada</w:t>
            </w:r>
          </w:p>
        </w:tc>
      </w:tr>
      <w:tr w:rsidR="00DC72AD" w:rsidRPr="00AE2813" w14:paraId="770394E4" w14:textId="77777777" w:rsidTr="00AE2813">
        <w:trPr>
          <w:trHeight w:val="182"/>
        </w:trPr>
        <w:tc>
          <w:tcPr>
            <w:tcW w:w="25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44A3D" w14:textId="77777777" w:rsidR="00DC72AD" w:rsidRDefault="00000000">
            <w:r>
              <w:rPr>
                <w:rFonts w:eastAsia="Times New Roman"/>
                <w:sz w:val="15"/>
              </w:rPr>
              <w:t>RO</w:t>
            </w:r>
          </w:p>
        </w:tc>
        <w:tc>
          <w:tcPr>
            <w:tcW w:w="25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0C789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MNDWI/NDTI o reflectancia visible para agua y sedimento.</w:t>
            </w:r>
          </w:p>
        </w:tc>
      </w:tr>
      <w:tr w:rsidR="00DC72AD" w:rsidRPr="00AE2813" w14:paraId="48D5C268" w14:textId="77777777" w:rsidTr="00AE2813">
        <w:trPr>
          <w:trHeight w:val="195"/>
        </w:trPr>
        <w:tc>
          <w:tcPr>
            <w:tcW w:w="25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3E746" w14:textId="77777777" w:rsidR="00DC72AD" w:rsidRDefault="00000000">
            <w:r>
              <w:rPr>
                <w:rFonts w:eastAsia="Times New Roman"/>
                <w:sz w:val="15"/>
              </w:rPr>
              <w:t>RB</w:t>
            </w:r>
          </w:p>
        </w:tc>
        <w:tc>
          <w:tcPr>
            <w:tcW w:w="25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C54FF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NDCI como señal exploratoria de clorofila y eutrofización.</w:t>
            </w:r>
          </w:p>
        </w:tc>
      </w:tr>
      <w:tr w:rsidR="00DC72AD" w:rsidRPr="00AE2813" w14:paraId="1CA27E48" w14:textId="77777777" w:rsidTr="00AE2813">
        <w:trPr>
          <w:trHeight w:val="182"/>
        </w:trPr>
        <w:tc>
          <w:tcPr>
            <w:tcW w:w="25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FEEB7" w14:textId="77777777" w:rsidR="00DC72AD" w:rsidRDefault="00000000">
            <w:r>
              <w:rPr>
                <w:rFonts w:eastAsia="Times New Roman"/>
                <w:sz w:val="15"/>
              </w:rPr>
              <w:t>RH</w:t>
            </w:r>
          </w:p>
        </w:tc>
        <w:tc>
          <w:tcPr>
            <w:tcW w:w="25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5C1A3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CHIRPS y Sentinel-1 para lluvia, saturación y continuidad.</w:t>
            </w:r>
          </w:p>
        </w:tc>
      </w:tr>
      <w:tr w:rsidR="00DC72AD" w:rsidRPr="00AE2813" w14:paraId="53AA30BB" w14:textId="77777777" w:rsidTr="00AE2813">
        <w:trPr>
          <w:trHeight w:val="182"/>
        </w:trPr>
        <w:tc>
          <w:tcPr>
            <w:tcW w:w="25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35192" w14:textId="77777777" w:rsidR="00DC72AD" w:rsidRDefault="00000000">
            <w:r>
              <w:rPr>
                <w:rFonts w:eastAsia="Times New Roman"/>
                <w:sz w:val="15"/>
              </w:rPr>
              <w:t>C</w:t>
            </w:r>
          </w:p>
        </w:tc>
        <w:tc>
          <w:tcPr>
            <w:tcW w:w="25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D1778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Nubosidad, píxeles válidos, fecha y resolución espacial.</w:t>
            </w:r>
          </w:p>
        </w:tc>
      </w:tr>
      <w:tr w:rsidR="00DC72AD" w:rsidRPr="00AE2813" w14:paraId="1B052695" w14:textId="77777777" w:rsidTr="00AE2813">
        <w:trPr>
          <w:trHeight w:val="182"/>
        </w:trPr>
        <w:tc>
          <w:tcPr>
            <w:tcW w:w="25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C637B" w14:textId="77777777" w:rsidR="00DC72AD" w:rsidRDefault="00000000">
            <w:r>
              <w:rPr>
                <w:rFonts w:eastAsia="Times New Roman"/>
                <w:sz w:val="15"/>
              </w:rPr>
              <w:t>CRI</w:t>
            </w:r>
          </w:p>
        </w:tc>
        <w:tc>
          <w:tcPr>
            <w:tcW w:w="25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12E97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Score preliminar; no sustituye análisis de laboratorio.</w:t>
            </w:r>
          </w:p>
        </w:tc>
      </w:tr>
    </w:tbl>
    <w:p w14:paraId="2FA5DFCC" w14:textId="77777777" w:rsidR="00DC72AD" w:rsidRPr="00AE2813" w:rsidRDefault="00000000">
      <w:pPr>
        <w:spacing w:after="60" w:line="240" w:lineRule="auto"/>
        <w:jc w:val="both"/>
        <w:rPr>
          <w:lang w:val="es-ES"/>
        </w:rPr>
      </w:pPr>
      <w:r w:rsidRPr="00AE2813">
        <w:rPr>
          <w:rFonts w:eastAsia="Times New Roman"/>
          <w:b/>
          <w:sz w:val="16"/>
          <w:lang w:val="es-ES"/>
        </w:rPr>
        <w:t xml:space="preserve">Fuente: </w:t>
      </w:r>
      <w:r w:rsidRPr="00AE2813">
        <w:rPr>
          <w:rFonts w:eastAsia="Times New Roman"/>
          <w:sz w:val="16"/>
          <w:lang w:val="es-ES"/>
        </w:rPr>
        <w:t>Elaboración propia a partir de índices de literatura y fuentes abiertas.</w:t>
      </w:r>
    </w:p>
    <w:p w14:paraId="09875B65" w14:textId="77777777" w:rsidR="00DC72AD" w:rsidRPr="00AE2813" w:rsidRDefault="00000000">
      <w:pPr>
        <w:keepNext/>
        <w:spacing w:before="60" w:after="40"/>
        <w:rPr>
          <w:lang w:val="es-ES"/>
        </w:rPr>
      </w:pPr>
      <w:r w:rsidRPr="00AE2813">
        <w:rPr>
          <w:rFonts w:eastAsia="Times New Roman"/>
          <w:b/>
          <w:lang w:val="es-ES"/>
        </w:rPr>
        <w:t>2.1 Módulos del prototipo</w:t>
      </w:r>
    </w:p>
    <w:p w14:paraId="28C9F3B4" w14:textId="77777777" w:rsidR="00DC72AD" w:rsidRPr="00AE2813" w:rsidRDefault="00000000">
      <w:pPr>
        <w:spacing w:after="0" w:line="240" w:lineRule="auto"/>
        <w:ind w:firstLine="283"/>
        <w:jc w:val="both"/>
        <w:rPr>
          <w:lang w:val="es-ES"/>
        </w:rPr>
      </w:pPr>
      <w:r w:rsidRPr="00AE2813">
        <w:rPr>
          <w:rFonts w:eastAsia="Times New Roman"/>
          <w:lang w:val="es-ES"/>
        </w:rPr>
        <w:t xml:space="preserve">El módulo </w:t>
      </w:r>
      <w:proofErr w:type="spellStart"/>
      <w:r w:rsidRPr="00AE2813">
        <w:rPr>
          <w:rFonts w:eastAsia="Times New Roman"/>
          <w:lang w:val="es-ES"/>
        </w:rPr>
        <w:t>Evidence</w:t>
      </w:r>
      <w:proofErr w:type="spellEnd"/>
      <w:r w:rsidRPr="00AE2813">
        <w:rPr>
          <w:rFonts w:eastAsia="Times New Roman"/>
          <w:lang w:val="es-ES"/>
        </w:rPr>
        <w:t xml:space="preserve"> </w:t>
      </w:r>
      <w:proofErr w:type="spellStart"/>
      <w:r w:rsidRPr="00AE2813">
        <w:rPr>
          <w:rFonts w:eastAsia="Times New Roman"/>
          <w:lang w:val="es-ES"/>
        </w:rPr>
        <w:t>Engine</w:t>
      </w:r>
      <w:proofErr w:type="spellEnd"/>
      <w:r w:rsidRPr="00AE2813">
        <w:rPr>
          <w:rFonts w:eastAsia="Times New Roman"/>
          <w:lang w:val="es-ES"/>
        </w:rPr>
        <w:t xml:space="preserve"> consulta o cachea observaciones satelitales y produce registros simples. El generador PDF compila fecha, área, fuentes, valores y limitaciones como evidencia técnica, no como certificación oficial. La capa de IA redacta una interpretación breve basada únicamente en datos calculados: estado, confianza, razón y recomendación. El </w:t>
      </w:r>
      <w:proofErr w:type="spellStart"/>
      <w:r w:rsidRPr="00AE2813">
        <w:rPr>
          <w:rFonts w:eastAsia="Times New Roman"/>
          <w:lang w:val="es-ES"/>
        </w:rPr>
        <w:t>bot</w:t>
      </w:r>
      <w:proofErr w:type="spellEnd"/>
      <w:r w:rsidRPr="00AE2813">
        <w:rPr>
          <w:rFonts w:eastAsia="Times New Roman"/>
          <w:lang w:val="es-ES"/>
        </w:rPr>
        <w:t xml:space="preserve"> comunitario de WhatsApp queda como canal secundario para consultar estado o recibir reportes, sin convertirse en el producto principal.</w:t>
      </w:r>
    </w:p>
    <w:p w14:paraId="66971B34" w14:textId="77777777" w:rsidR="00DC72AD" w:rsidRPr="00AE2813" w:rsidRDefault="00000000">
      <w:pPr>
        <w:spacing w:after="0" w:line="240" w:lineRule="auto"/>
        <w:ind w:firstLine="283"/>
        <w:jc w:val="both"/>
        <w:rPr>
          <w:lang w:val="es-ES"/>
        </w:rPr>
      </w:pPr>
      <w:proofErr w:type="spellStart"/>
      <w:r w:rsidRPr="00AE2813">
        <w:rPr>
          <w:rFonts w:eastAsia="Times New Roman"/>
          <w:lang w:val="es-ES"/>
        </w:rPr>
        <w:t>NitroSync</w:t>
      </w:r>
      <w:proofErr w:type="spellEnd"/>
      <w:r w:rsidRPr="00AE2813">
        <w:rPr>
          <w:rFonts w:eastAsia="Times New Roman"/>
          <w:lang w:val="es-ES"/>
        </w:rPr>
        <w:t xml:space="preserve"> se mantiene como módulo de seguridad alimentaria porque vincula el riesgo hídrico con decisiones de fertilización. Cuando el estado hídrico es favorable y ERA5-Land sugiere condiciones de radiación adecuadas, el sistema puede recomendar una ventana de manejo agronómico. En esta fase se documenta como módulo complementario sujeto a calibración con especialistas agrícolas.</w:t>
      </w:r>
    </w:p>
    <w:p w14:paraId="4DFB796C" w14:textId="77777777" w:rsidR="00DC72AD" w:rsidRPr="00AE2813" w:rsidRDefault="00000000">
      <w:pPr>
        <w:keepNext/>
        <w:spacing w:before="120" w:after="40"/>
        <w:rPr>
          <w:lang w:val="es-ES"/>
        </w:rPr>
      </w:pPr>
      <w:r w:rsidRPr="00AE2813">
        <w:rPr>
          <w:rFonts w:eastAsia="Times New Roman"/>
          <w:b/>
          <w:sz w:val="28"/>
          <w:lang w:val="es-ES"/>
        </w:rPr>
        <w:t>3. Resultados esperados</w:t>
      </w:r>
    </w:p>
    <w:p w14:paraId="436E14C7" w14:textId="77777777" w:rsidR="00DC72AD" w:rsidRDefault="00000000">
      <w:pPr>
        <w:spacing w:after="0" w:line="240" w:lineRule="auto"/>
        <w:ind w:firstLine="283"/>
        <w:jc w:val="both"/>
        <w:rPr>
          <w:rFonts w:eastAsia="Times New Roman"/>
          <w:lang w:val="es-ES"/>
        </w:rPr>
      </w:pPr>
      <w:r w:rsidRPr="00AE2813">
        <w:rPr>
          <w:rFonts w:eastAsia="Times New Roman"/>
          <w:lang w:val="es-ES"/>
        </w:rPr>
        <w:t xml:space="preserve">El resultado esperado de la primera etapa es una propuesta técnicamente verificable y un prototipo interno descartable que demuestre si existe señal suficiente en fechas históricas. Se espera obtener una tabla comparativa entre días de crisis, línea base cercana y control estacional, junto con capturas o valores que permitan defender el uso de </w:t>
      </w:r>
      <w:proofErr w:type="spellStart"/>
      <w:r w:rsidRPr="00AE2813">
        <w:rPr>
          <w:rFonts w:eastAsia="Times New Roman"/>
          <w:lang w:val="es-ES"/>
        </w:rPr>
        <w:t>Copernicus</w:t>
      </w:r>
      <w:proofErr w:type="spellEnd"/>
      <w:r w:rsidRPr="00AE2813">
        <w:rPr>
          <w:rFonts w:eastAsia="Times New Roman"/>
          <w:lang w:val="es-ES"/>
        </w:rPr>
        <w:t xml:space="preserve"> en el caso del río La Villa.</w:t>
      </w:r>
    </w:p>
    <w:p w14:paraId="2F9EDA86" w14:textId="77777777" w:rsidR="00AE2813" w:rsidRPr="00AE2813" w:rsidRDefault="00AE2813">
      <w:pPr>
        <w:spacing w:after="0" w:line="240" w:lineRule="auto"/>
        <w:ind w:firstLine="283"/>
        <w:jc w:val="both"/>
        <w:rPr>
          <w:lang w:val="es-ES"/>
        </w:rPr>
      </w:pPr>
    </w:p>
    <w:p w14:paraId="711FE963" w14:textId="77777777" w:rsidR="00DC72AD" w:rsidRPr="00AE2813" w:rsidRDefault="00000000">
      <w:pPr>
        <w:keepNext/>
        <w:spacing w:before="60" w:after="20"/>
        <w:jc w:val="center"/>
        <w:rPr>
          <w:lang w:val="es-ES"/>
        </w:rPr>
      </w:pPr>
      <w:r w:rsidRPr="00AE2813">
        <w:rPr>
          <w:rFonts w:eastAsia="Times New Roman"/>
          <w:b/>
          <w:sz w:val="16"/>
          <w:lang w:val="es-ES"/>
        </w:rPr>
        <w:t xml:space="preserve">Tabla </w:t>
      </w:r>
      <w:r w:rsidRPr="00AE2813">
        <w:rPr>
          <w:rFonts w:eastAsia="Times New Roman"/>
          <w:sz w:val="16"/>
          <w:lang w:val="es-ES"/>
        </w:rPr>
        <w:t>3. Resultado mínimo de la verificación interna</w:t>
      </w:r>
    </w:p>
    <w:tbl>
      <w:tblPr>
        <w:tblStyle w:val="TableGrid"/>
        <w:tblW w:w="5226" w:type="dxa"/>
        <w:tblLayout w:type="fixed"/>
        <w:tblLook w:val="04A0" w:firstRow="1" w:lastRow="0" w:firstColumn="1" w:lastColumn="0" w:noHBand="0" w:noVBand="1"/>
      </w:tblPr>
      <w:tblGrid>
        <w:gridCol w:w="2613"/>
        <w:gridCol w:w="2613"/>
      </w:tblGrid>
      <w:tr w:rsidR="00DC72AD" w14:paraId="5A994A17" w14:textId="77777777" w:rsidTr="00AE2813">
        <w:trPr>
          <w:trHeight w:val="188"/>
        </w:trPr>
        <w:tc>
          <w:tcPr>
            <w:tcW w:w="2613" w:type="dxa"/>
            <w:shd w:val="clear" w:color="auto" w:fill="D9EAD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965A9" w14:textId="77777777" w:rsidR="00DC72AD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sz w:val="16"/>
              </w:rPr>
              <w:t>Prueba</w:t>
            </w:r>
            <w:proofErr w:type="spellEnd"/>
          </w:p>
        </w:tc>
        <w:tc>
          <w:tcPr>
            <w:tcW w:w="2613" w:type="dxa"/>
            <w:shd w:val="clear" w:color="auto" w:fill="D9EAD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CDF769" w14:textId="77777777" w:rsidR="00DC72AD" w:rsidRDefault="00000000">
            <w:pPr>
              <w:jc w:val="center"/>
            </w:pPr>
            <w:r>
              <w:rPr>
                <w:rFonts w:eastAsia="Times New Roman"/>
                <w:b/>
                <w:sz w:val="16"/>
              </w:rPr>
              <w:t>Criterio de aceptación</w:t>
            </w:r>
          </w:p>
        </w:tc>
      </w:tr>
      <w:tr w:rsidR="00DC72AD" w:rsidRPr="00AE2813" w14:paraId="42B7DDDE" w14:textId="77777777" w:rsidTr="00AE2813">
        <w:trPr>
          <w:trHeight w:val="176"/>
        </w:trPr>
        <w:tc>
          <w:tcPr>
            <w:tcW w:w="26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C311E" w14:textId="77777777" w:rsidR="00DC72AD" w:rsidRDefault="00000000">
            <w:r>
              <w:rPr>
                <w:rFonts w:eastAsia="Times New Roman"/>
                <w:sz w:val="15"/>
              </w:rPr>
              <w:t>Área</w:t>
            </w:r>
          </w:p>
        </w:tc>
        <w:tc>
          <w:tcPr>
            <w:tcW w:w="26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520CA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El AOI contiene píxeles de agua suficientes o se redefine.</w:t>
            </w:r>
          </w:p>
        </w:tc>
      </w:tr>
      <w:tr w:rsidR="00DC72AD" w:rsidRPr="00AE2813" w14:paraId="3E0FA2A5" w14:textId="77777777" w:rsidTr="00AE2813">
        <w:trPr>
          <w:trHeight w:val="188"/>
        </w:trPr>
        <w:tc>
          <w:tcPr>
            <w:tcW w:w="26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76A7D" w14:textId="77777777" w:rsidR="00DC72AD" w:rsidRDefault="00000000">
            <w:proofErr w:type="spellStart"/>
            <w:r>
              <w:rPr>
                <w:rFonts w:eastAsia="Times New Roman"/>
                <w:sz w:val="15"/>
              </w:rPr>
              <w:t>Óptico</w:t>
            </w:r>
            <w:proofErr w:type="spellEnd"/>
          </w:p>
        </w:tc>
        <w:tc>
          <w:tcPr>
            <w:tcW w:w="26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CF2E8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La señal Sentinel-2 no queda anulada por nubosidad.</w:t>
            </w:r>
          </w:p>
        </w:tc>
      </w:tr>
      <w:tr w:rsidR="00DC72AD" w:rsidRPr="00AE2813" w14:paraId="63E7040F" w14:textId="77777777" w:rsidTr="00AE2813">
        <w:trPr>
          <w:trHeight w:val="176"/>
        </w:trPr>
        <w:tc>
          <w:tcPr>
            <w:tcW w:w="26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F7126" w14:textId="77777777" w:rsidR="00DC72AD" w:rsidRDefault="00000000">
            <w:r>
              <w:rPr>
                <w:rFonts w:eastAsia="Times New Roman"/>
                <w:sz w:val="15"/>
              </w:rPr>
              <w:t>Histórico</w:t>
            </w:r>
          </w:p>
        </w:tc>
        <w:tc>
          <w:tcPr>
            <w:tcW w:w="26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4BD83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La fecha de 2025 difiere de una línea base comparable.</w:t>
            </w:r>
          </w:p>
        </w:tc>
      </w:tr>
      <w:tr w:rsidR="00DC72AD" w:rsidRPr="00AE2813" w14:paraId="7C098A26" w14:textId="77777777" w:rsidTr="00AE2813">
        <w:trPr>
          <w:trHeight w:val="176"/>
        </w:trPr>
        <w:tc>
          <w:tcPr>
            <w:tcW w:w="26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39981" w14:textId="77777777" w:rsidR="00DC72AD" w:rsidRDefault="00000000">
            <w:proofErr w:type="spellStart"/>
            <w:r>
              <w:rPr>
                <w:rFonts w:eastAsia="Times New Roman"/>
                <w:sz w:val="15"/>
              </w:rPr>
              <w:t>Reporte</w:t>
            </w:r>
            <w:proofErr w:type="spellEnd"/>
          </w:p>
        </w:tc>
        <w:tc>
          <w:tcPr>
            <w:tcW w:w="26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4AC7A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El PDF explica estado, confianza, límites y fuentes.</w:t>
            </w:r>
          </w:p>
        </w:tc>
      </w:tr>
      <w:tr w:rsidR="00DC72AD" w:rsidRPr="00AE2813" w14:paraId="1D239423" w14:textId="77777777" w:rsidTr="00AE2813">
        <w:trPr>
          <w:trHeight w:val="176"/>
        </w:trPr>
        <w:tc>
          <w:tcPr>
            <w:tcW w:w="26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5DF19" w14:textId="77777777" w:rsidR="00DC72AD" w:rsidRDefault="00000000">
            <w:r>
              <w:rPr>
                <w:rFonts w:eastAsia="Times New Roman"/>
                <w:sz w:val="15"/>
              </w:rPr>
              <w:t>IA</w:t>
            </w:r>
          </w:p>
        </w:tc>
        <w:tc>
          <w:tcPr>
            <w:tcW w:w="26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C8F56" w14:textId="77777777" w:rsidR="00DC72AD" w:rsidRPr="00AE2813" w:rsidRDefault="00000000">
            <w:pPr>
              <w:rPr>
                <w:lang w:val="es-ES"/>
              </w:rPr>
            </w:pPr>
            <w:r w:rsidRPr="00AE2813">
              <w:rPr>
                <w:rFonts w:eastAsia="Times New Roman"/>
                <w:sz w:val="15"/>
                <w:lang w:val="es-ES"/>
              </w:rPr>
              <w:t>El resumen no inventa datos y cita incertidumbre.</w:t>
            </w:r>
          </w:p>
        </w:tc>
      </w:tr>
    </w:tbl>
    <w:p w14:paraId="78F6B789" w14:textId="77777777" w:rsidR="00DC72AD" w:rsidRPr="00AE2813" w:rsidRDefault="00000000">
      <w:pPr>
        <w:spacing w:after="60" w:line="240" w:lineRule="auto"/>
        <w:jc w:val="both"/>
        <w:rPr>
          <w:lang w:val="es-ES"/>
        </w:rPr>
      </w:pPr>
      <w:r w:rsidRPr="00AE2813">
        <w:rPr>
          <w:rFonts w:eastAsia="Times New Roman"/>
          <w:b/>
          <w:sz w:val="16"/>
          <w:lang w:val="es-ES"/>
        </w:rPr>
        <w:t xml:space="preserve">Fuente: </w:t>
      </w:r>
      <w:r w:rsidRPr="00AE2813">
        <w:rPr>
          <w:rFonts w:eastAsia="Times New Roman"/>
          <w:sz w:val="16"/>
          <w:lang w:val="es-ES"/>
        </w:rPr>
        <w:t>Criterios internos propuestos para la semana previa al hackathon.</w:t>
      </w:r>
    </w:p>
    <w:p w14:paraId="2BEC0525" w14:textId="77777777" w:rsidR="00DC72AD" w:rsidRPr="00AE2813" w:rsidRDefault="00000000">
      <w:pPr>
        <w:keepNext/>
        <w:spacing w:before="120" w:after="40"/>
        <w:rPr>
          <w:lang w:val="es-ES"/>
        </w:rPr>
      </w:pPr>
      <w:r w:rsidRPr="00AE2813">
        <w:rPr>
          <w:rFonts w:eastAsia="Times New Roman"/>
          <w:b/>
          <w:sz w:val="28"/>
          <w:lang w:val="es-ES"/>
        </w:rPr>
        <w:t>4. Construcción y validación del prototipo</w:t>
      </w:r>
    </w:p>
    <w:p w14:paraId="188E3862" w14:textId="77777777" w:rsidR="00DC72AD" w:rsidRPr="00AE2813" w:rsidRDefault="00000000">
      <w:pPr>
        <w:spacing w:after="0" w:line="240" w:lineRule="auto"/>
        <w:ind w:firstLine="283"/>
        <w:jc w:val="both"/>
        <w:rPr>
          <w:lang w:val="es-ES"/>
        </w:rPr>
      </w:pPr>
      <w:r w:rsidRPr="00AE2813">
        <w:rPr>
          <w:rFonts w:eastAsia="Times New Roman"/>
          <w:lang w:val="es-ES"/>
        </w:rPr>
        <w:t>La construcción se realizará por etapas. En la etapa cero se usa código local temporal para consultar CDSE o datos cacheados y validar el área de interés. En la etapa uno se genera el semáforo técnico y el reporte PDF. En la etapa dos se agrega la interpretación asistida por IA y el canal comunitario. El código de prueba previo al hackathon puede eliminarse para evitar dependencia de implementaciones apresuradas; lo que debe permanecer es el aprendizaje técnico, las capturas y las decisiones de diseño.</w:t>
      </w:r>
    </w:p>
    <w:p w14:paraId="2315B636" w14:textId="77777777" w:rsidR="00DC72AD" w:rsidRPr="00AE2813" w:rsidRDefault="00000000">
      <w:pPr>
        <w:spacing w:after="0" w:line="240" w:lineRule="auto"/>
        <w:ind w:firstLine="283"/>
        <w:jc w:val="both"/>
        <w:rPr>
          <w:lang w:val="es-ES"/>
        </w:rPr>
      </w:pPr>
      <w:r w:rsidRPr="00AE2813">
        <w:rPr>
          <w:rFonts w:eastAsia="Times New Roman"/>
          <w:lang w:val="es-ES"/>
        </w:rPr>
        <w:t xml:space="preserve">La validación no debe prometer operación institucional. Para evitar </w:t>
      </w:r>
      <w:proofErr w:type="spellStart"/>
      <w:r w:rsidRPr="00AE2813">
        <w:rPr>
          <w:rFonts w:eastAsia="Times New Roman"/>
          <w:lang w:val="es-ES"/>
        </w:rPr>
        <w:t>sobreingeniería</w:t>
      </w:r>
      <w:proofErr w:type="spellEnd"/>
      <w:r w:rsidRPr="00AE2813">
        <w:rPr>
          <w:rFonts w:eastAsia="Times New Roman"/>
          <w:lang w:val="es-ES"/>
        </w:rPr>
        <w:t>, el prototipo inicia con un nodo y un usuario principal. Si el río resulta demasiado estrecho para una señal óptica robusta, el plan alterno es ampliar el tramo de análisis, usar un atlas de riesgo de cuenca o priorizar monitoreo ribereño con Sentinel-1/Sentinel-2.</w:t>
      </w:r>
    </w:p>
    <w:p w14:paraId="12FBE859" w14:textId="77777777" w:rsidR="00DC72AD" w:rsidRPr="00AE2813" w:rsidRDefault="00000000">
      <w:pPr>
        <w:keepNext/>
        <w:spacing w:before="120" w:after="40"/>
        <w:rPr>
          <w:lang w:val="es-ES"/>
        </w:rPr>
      </w:pPr>
      <w:r w:rsidRPr="00AE2813">
        <w:rPr>
          <w:rFonts w:eastAsia="Times New Roman"/>
          <w:b/>
          <w:sz w:val="28"/>
          <w:lang w:val="es-ES"/>
        </w:rPr>
        <w:t>5. Oportunidades de desarrollo del prototipo</w:t>
      </w:r>
    </w:p>
    <w:p w14:paraId="650D50AF" w14:textId="77777777" w:rsidR="00DC72AD" w:rsidRPr="00AE2813" w:rsidRDefault="00000000">
      <w:pPr>
        <w:spacing w:after="0" w:line="240" w:lineRule="auto"/>
        <w:ind w:firstLine="283"/>
        <w:jc w:val="both"/>
        <w:rPr>
          <w:lang w:val="es-ES"/>
        </w:rPr>
      </w:pPr>
      <w:r w:rsidRPr="00AE2813">
        <w:rPr>
          <w:rFonts w:eastAsia="Times New Roman"/>
          <w:lang w:val="es-ES"/>
        </w:rPr>
        <w:t xml:space="preserve">El mercado inicial no es un consumidor masivo, sino equipos técnicos que requieren trazabilidad para decidir, comunicar y priorizar inspecciones. El valor frente a soluciones convencionales es que </w:t>
      </w:r>
      <w:proofErr w:type="spellStart"/>
      <w:r w:rsidRPr="00AE2813">
        <w:rPr>
          <w:rFonts w:eastAsia="Times New Roman"/>
          <w:lang w:val="es-ES"/>
        </w:rPr>
        <w:t>Copernicus</w:t>
      </w:r>
      <w:proofErr w:type="spellEnd"/>
      <w:r w:rsidRPr="00AE2813">
        <w:rPr>
          <w:rFonts w:eastAsia="Times New Roman"/>
          <w:lang w:val="es-ES"/>
        </w:rPr>
        <w:t xml:space="preserve"> aporta visión sinóptica, archivo histórico y bajo costo marginal [1], [4]. Las oportunidades incluyen asistencia a productores exportadores, soporte a programas de recuperación de cuencas, evidencia para inspección ambiental y módulos agronómicos como </w:t>
      </w:r>
      <w:proofErr w:type="spellStart"/>
      <w:r w:rsidRPr="00AE2813">
        <w:rPr>
          <w:rFonts w:eastAsia="Times New Roman"/>
          <w:lang w:val="es-ES"/>
        </w:rPr>
        <w:t>NitroSync</w:t>
      </w:r>
      <w:proofErr w:type="spellEnd"/>
      <w:r w:rsidRPr="00AE2813">
        <w:rPr>
          <w:rFonts w:eastAsia="Times New Roman"/>
          <w:lang w:val="es-ES"/>
        </w:rPr>
        <w:t>.</w:t>
      </w:r>
    </w:p>
    <w:p w14:paraId="4ADD25D0" w14:textId="77777777" w:rsidR="00DC72AD" w:rsidRPr="00AE2813" w:rsidRDefault="00000000">
      <w:pPr>
        <w:spacing w:after="0" w:line="240" w:lineRule="auto"/>
        <w:ind w:firstLine="283"/>
        <w:jc w:val="both"/>
        <w:rPr>
          <w:lang w:val="es-ES"/>
        </w:rPr>
      </w:pPr>
      <w:r w:rsidRPr="00AE2813">
        <w:rPr>
          <w:rFonts w:eastAsia="Times New Roman"/>
          <w:lang w:val="es-ES"/>
        </w:rPr>
        <w:t xml:space="preserve">Los costos reales dependen de cuotas, despliegue y frecuencia. Para 2026 debe evitarse prometer doce meses gratuitos universales en AWS, pues las cuentas nuevas operan con un modelo de créditos y plan gratuito limitado [12]. Una arquitectura futura puede usar funciones </w:t>
      </w:r>
      <w:proofErr w:type="spellStart"/>
      <w:r w:rsidRPr="00AE2813">
        <w:rPr>
          <w:rFonts w:eastAsia="Times New Roman"/>
          <w:lang w:val="es-ES"/>
        </w:rPr>
        <w:t>serverless</w:t>
      </w:r>
      <w:proofErr w:type="spellEnd"/>
      <w:r w:rsidRPr="00AE2813">
        <w:rPr>
          <w:rFonts w:eastAsia="Times New Roman"/>
          <w:lang w:val="es-ES"/>
        </w:rPr>
        <w:t>, almacenamiento de reportes y base de datos liviana; sin embargo, el prototipo puede validarse localmente sin costo de nube.</w:t>
      </w:r>
    </w:p>
    <w:p w14:paraId="2100670B" w14:textId="77777777" w:rsidR="00DC72AD" w:rsidRPr="00AE2813" w:rsidRDefault="00000000">
      <w:pPr>
        <w:keepNext/>
        <w:spacing w:before="120" w:after="40"/>
        <w:rPr>
          <w:lang w:val="es-ES"/>
        </w:rPr>
      </w:pPr>
      <w:r w:rsidRPr="00AE2813">
        <w:rPr>
          <w:rFonts w:eastAsia="Times New Roman"/>
          <w:b/>
          <w:sz w:val="28"/>
          <w:lang w:val="es-ES"/>
        </w:rPr>
        <w:lastRenderedPageBreak/>
        <w:t>6. Conclusiones</w:t>
      </w:r>
    </w:p>
    <w:p w14:paraId="277DD99A" w14:textId="77777777" w:rsidR="00DC72AD" w:rsidRPr="00AE2813" w:rsidRDefault="00000000">
      <w:pPr>
        <w:spacing w:after="0" w:line="240" w:lineRule="auto"/>
        <w:ind w:firstLine="283"/>
        <w:jc w:val="both"/>
        <w:rPr>
          <w:lang w:val="es-ES"/>
        </w:rPr>
      </w:pPr>
      <w:proofErr w:type="spellStart"/>
      <w:r w:rsidRPr="00AE2813">
        <w:rPr>
          <w:rFonts w:eastAsia="Times New Roman"/>
          <w:lang w:val="es-ES"/>
        </w:rPr>
        <w:t>AgroShield</w:t>
      </w:r>
      <w:proofErr w:type="spellEnd"/>
      <w:r w:rsidRPr="00AE2813">
        <w:rPr>
          <w:rFonts w:eastAsia="Times New Roman"/>
          <w:lang w:val="es-ES"/>
        </w:rPr>
        <w:t xml:space="preserve"> aporta una propuesta de investigación aplicada donde la innovación no es el envío de alertas, sino la conversión de evidencia satelital en una explicación técnica usable. Sus contribuciones son: separar ciencia de comunicación, reconocer límites de detección química, usar </w:t>
      </w:r>
      <w:proofErr w:type="spellStart"/>
      <w:r w:rsidRPr="00AE2813">
        <w:rPr>
          <w:rFonts w:eastAsia="Times New Roman"/>
          <w:lang w:val="es-ES"/>
        </w:rPr>
        <w:t>Copernicus</w:t>
      </w:r>
      <w:proofErr w:type="spellEnd"/>
      <w:r w:rsidRPr="00AE2813">
        <w:rPr>
          <w:rFonts w:eastAsia="Times New Roman"/>
          <w:lang w:val="es-ES"/>
        </w:rPr>
        <w:t xml:space="preserve"> para observar cuencas completas y producir reportes trazables para decisiones preventivas.</w:t>
      </w:r>
    </w:p>
    <w:p w14:paraId="2211C329" w14:textId="77777777" w:rsidR="00DC72AD" w:rsidRPr="00AE2813" w:rsidRDefault="00000000">
      <w:pPr>
        <w:spacing w:after="0" w:line="240" w:lineRule="auto"/>
        <w:ind w:firstLine="283"/>
        <w:jc w:val="both"/>
        <w:rPr>
          <w:lang w:val="es-ES"/>
        </w:rPr>
      </w:pPr>
      <w:r w:rsidRPr="00AE2813">
        <w:rPr>
          <w:rFonts w:eastAsia="Times New Roman"/>
          <w:lang w:val="es-ES"/>
        </w:rPr>
        <w:t>La principal limitación es la necesidad de validar resolución espacial, nubosidad y umbrales con datos reales de la cuenca. Aun así, el enfoque es pertinente para seguridad alimentaria porque conecta agua, inocuidad, manejo agronómico y resiliencia de productores. El trabajo futuro debe calibrar pesos del índice, incorporar muestreos locales y evaluar escalamiento a otros nodos críticos de Panamá.</w:t>
      </w:r>
    </w:p>
    <w:p w14:paraId="1E78CA0C" w14:textId="77777777" w:rsidR="00DC72AD" w:rsidRPr="00AE2813" w:rsidRDefault="00000000">
      <w:pPr>
        <w:keepNext/>
        <w:spacing w:before="120" w:after="40"/>
        <w:rPr>
          <w:lang w:val="es-ES"/>
        </w:rPr>
      </w:pPr>
      <w:r w:rsidRPr="00AE2813">
        <w:rPr>
          <w:rFonts w:eastAsia="Times New Roman"/>
          <w:b/>
          <w:sz w:val="28"/>
          <w:lang w:val="es-ES"/>
        </w:rPr>
        <w:t>AGRADECIMIENTOS</w:t>
      </w:r>
    </w:p>
    <w:p w14:paraId="1AEBF325" w14:textId="77777777" w:rsidR="00DC72AD" w:rsidRPr="00AE2813" w:rsidRDefault="00000000">
      <w:pPr>
        <w:spacing w:after="0" w:line="240" w:lineRule="auto"/>
        <w:jc w:val="both"/>
        <w:rPr>
          <w:lang w:val="es-ES"/>
        </w:rPr>
      </w:pPr>
      <w:r w:rsidRPr="00AE2813">
        <w:rPr>
          <w:rFonts w:eastAsia="Times New Roman"/>
          <w:lang w:val="es-ES"/>
        </w:rPr>
        <w:t xml:space="preserve">Se reconoce el marco de innovación abierta del </w:t>
      </w:r>
      <w:proofErr w:type="spellStart"/>
      <w:r w:rsidRPr="00AE2813">
        <w:rPr>
          <w:rFonts w:eastAsia="Times New Roman"/>
          <w:lang w:val="es-ES"/>
        </w:rPr>
        <w:t>CopernicusLAC</w:t>
      </w:r>
      <w:proofErr w:type="spellEnd"/>
      <w:r w:rsidRPr="00AE2813">
        <w:rPr>
          <w:rFonts w:eastAsia="Times New Roman"/>
          <w:lang w:val="es-ES"/>
        </w:rPr>
        <w:t xml:space="preserve"> Hackathon 2026 y la orientación metodológica del instructivo de prototipado de la Jornada de Iniciación Científica de la Universidad Tecnológica de Panamá.</w:t>
      </w:r>
    </w:p>
    <w:p w14:paraId="68DBA28A" w14:textId="77777777" w:rsidR="00DC72AD" w:rsidRDefault="00000000">
      <w:pPr>
        <w:keepNext/>
        <w:spacing w:before="120" w:after="40"/>
      </w:pPr>
      <w:r>
        <w:rPr>
          <w:rFonts w:eastAsia="Times New Roman"/>
          <w:b/>
          <w:sz w:val="28"/>
        </w:rPr>
        <w:t>REFERENCIAS</w:t>
      </w:r>
    </w:p>
    <w:p w14:paraId="4CF768A4" w14:textId="77777777" w:rsidR="00DC72AD" w:rsidRDefault="00000000">
      <w:pPr>
        <w:spacing w:after="20" w:line="240" w:lineRule="auto"/>
        <w:ind w:left="198" w:hanging="198"/>
        <w:jc w:val="both"/>
      </w:pPr>
      <w:r>
        <w:rPr>
          <w:rFonts w:eastAsia="Times New Roman"/>
          <w:sz w:val="15"/>
        </w:rPr>
        <w:t>[1] CopernicusLAC Panama Centre, "CopernicusLAC Hackathon 2026: Innovation in sustainable agriculture using Earth observation data," 2026. Available: https://www.copernicuslac-panama.eu/events-and-trainings/events-en/copernicus-lac-hackathon-2026-innovation-in-sustainable-agriculture-using-earth-observation-data/</w:t>
      </w:r>
    </w:p>
    <w:p w14:paraId="4A76339E" w14:textId="77777777" w:rsidR="00DC72AD" w:rsidRDefault="00000000">
      <w:pPr>
        <w:spacing w:after="20" w:line="240" w:lineRule="auto"/>
        <w:ind w:left="198" w:hanging="198"/>
        <w:jc w:val="both"/>
      </w:pPr>
      <w:r>
        <w:rPr>
          <w:rFonts w:eastAsia="Times New Roman"/>
          <w:sz w:val="15"/>
        </w:rPr>
        <w:t>[2] European Space Agency, "Sentinel-2 mission," 2026. Available: https://www.esa.int/Applications/Observing_the_Earth/Copernicus/Sentinel-2</w:t>
      </w:r>
    </w:p>
    <w:p w14:paraId="33A71EA6" w14:textId="77777777" w:rsidR="00DC72AD" w:rsidRDefault="00000000">
      <w:pPr>
        <w:spacing w:after="20" w:line="240" w:lineRule="auto"/>
        <w:ind w:left="198" w:hanging="198"/>
        <w:jc w:val="both"/>
      </w:pPr>
      <w:r>
        <w:rPr>
          <w:rFonts w:eastAsia="Times New Roman"/>
          <w:sz w:val="15"/>
        </w:rPr>
        <w:t>[3] European Space Agency, "Sentinel-1 mission," 2026. Available: https://www.esa.int/Applications/Observing_the_Earth/Copernicus/Sentinel-1</w:t>
      </w:r>
    </w:p>
    <w:p w14:paraId="2D4F8F83" w14:textId="77777777" w:rsidR="00DC72AD" w:rsidRDefault="00000000">
      <w:pPr>
        <w:spacing w:after="20" w:line="240" w:lineRule="auto"/>
        <w:ind w:left="198" w:hanging="198"/>
        <w:jc w:val="both"/>
      </w:pPr>
      <w:r>
        <w:rPr>
          <w:rFonts w:eastAsia="Times New Roman"/>
          <w:sz w:val="15"/>
        </w:rPr>
        <w:t>[4] Copernicus Data Space Ecosystem, "Quotas and limitations," 2026. Available: https://documentation.dataspace.copernicus.eu/Quotas.html</w:t>
      </w:r>
    </w:p>
    <w:p w14:paraId="604159D2" w14:textId="77777777" w:rsidR="00DC72AD" w:rsidRDefault="00000000">
      <w:pPr>
        <w:spacing w:after="20" w:line="240" w:lineRule="auto"/>
        <w:ind w:left="198" w:hanging="198"/>
        <w:jc w:val="both"/>
      </w:pPr>
      <w:r>
        <w:rPr>
          <w:rFonts w:eastAsia="Times New Roman"/>
          <w:sz w:val="15"/>
        </w:rPr>
        <w:t>[5] Climate Hazards Center, University of California Santa Barbara, "CHIRPS: Climate Hazards Group InfraRed Precipitation with Station data," 2026. Available: https://www.chc.ucsb.edu/data/chirps</w:t>
      </w:r>
    </w:p>
    <w:p w14:paraId="461FC733" w14:textId="77777777" w:rsidR="00DC72AD" w:rsidRDefault="00000000">
      <w:pPr>
        <w:spacing w:after="20" w:line="240" w:lineRule="auto"/>
        <w:ind w:left="198" w:hanging="198"/>
        <w:jc w:val="both"/>
      </w:pPr>
      <w:r>
        <w:rPr>
          <w:rFonts w:eastAsia="Times New Roman"/>
          <w:sz w:val="15"/>
        </w:rPr>
        <w:t>[6] ECMWF, "ERA5-Land hourly data from 1950 to present," Copernicus Climate Data Store, 2026. Available: https://cds.climate.copernicus.eu/</w:t>
      </w:r>
    </w:p>
    <w:p w14:paraId="4C29B74F" w14:textId="77777777" w:rsidR="00DC72AD" w:rsidRDefault="00000000">
      <w:pPr>
        <w:spacing w:after="20" w:line="240" w:lineRule="auto"/>
        <w:ind w:left="198" w:hanging="198"/>
        <w:jc w:val="both"/>
      </w:pPr>
      <w:r>
        <w:rPr>
          <w:rFonts w:eastAsia="Times New Roman"/>
          <w:sz w:val="15"/>
        </w:rPr>
        <w:t>[7] H. Xu, "Modification of normalised difference water index (NDWI) to enhance open water features in remotely sensed imagery," International Journal of Remote Sensing, vol. 27, no. 14, pp. 3025-3033, 2006.</w:t>
      </w:r>
    </w:p>
    <w:p w14:paraId="776A2BFC" w14:textId="77777777" w:rsidR="00DC72AD" w:rsidRDefault="00000000">
      <w:pPr>
        <w:spacing w:after="20" w:line="240" w:lineRule="auto"/>
        <w:ind w:left="198" w:hanging="198"/>
        <w:jc w:val="both"/>
      </w:pPr>
      <w:r>
        <w:rPr>
          <w:rFonts w:eastAsia="Times New Roman"/>
          <w:sz w:val="15"/>
        </w:rPr>
        <w:t>[8] S. Mishra and D. R. Mishra, "Normalized difference chlorophyll index: A novel model for remote estimation of chlorophyll-a concentration in turbid productive waters," Remote Sensing of Environment, vol. 117, pp. 394-406, 2012.</w:t>
      </w:r>
    </w:p>
    <w:p w14:paraId="3F265E07" w14:textId="77777777" w:rsidR="00DC72AD" w:rsidRDefault="00000000">
      <w:pPr>
        <w:spacing w:after="20" w:line="240" w:lineRule="auto"/>
        <w:ind w:left="198" w:hanging="198"/>
        <w:jc w:val="both"/>
      </w:pPr>
      <w:r w:rsidRPr="00AE2813">
        <w:rPr>
          <w:rFonts w:eastAsia="Times New Roman"/>
          <w:sz w:val="15"/>
          <w:lang w:val="es-ES"/>
        </w:rPr>
        <w:t>[9] Ministerio de Ambiente de Panamá, "</w:t>
      </w:r>
      <w:proofErr w:type="spellStart"/>
      <w:r w:rsidRPr="00AE2813">
        <w:rPr>
          <w:rFonts w:eastAsia="Times New Roman"/>
          <w:sz w:val="15"/>
          <w:lang w:val="es-ES"/>
        </w:rPr>
        <w:t>MiAmbiente</w:t>
      </w:r>
      <w:proofErr w:type="spellEnd"/>
      <w:r w:rsidRPr="00AE2813">
        <w:rPr>
          <w:rFonts w:eastAsia="Times New Roman"/>
          <w:sz w:val="15"/>
          <w:lang w:val="es-ES"/>
        </w:rPr>
        <w:t xml:space="preserve"> anuncia estabilización de la situación del río La Villa y mejora en la calidad del agua," 2025. </w:t>
      </w:r>
      <w:r>
        <w:rPr>
          <w:rFonts w:eastAsia="Times New Roman"/>
          <w:sz w:val="15"/>
        </w:rPr>
        <w:t>Available: https://miambiente.gob.pa/miambiente-anuncia-estabilizacion-de-la-situacion-del-rio-la-villa-y-mejora-en-la-calidad-del-agua/</w:t>
      </w:r>
    </w:p>
    <w:p w14:paraId="3DF21992" w14:textId="77777777" w:rsidR="00DC72AD" w:rsidRDefault="00000000">
      <w:pPr>
        <w:spacing w:after="20" w:line="240" w:lineRule="auto"/>
        <w:ind w:left="198" w:hanging="198"/>
        <w:jc w:val="both"/>
      </w:pPr>
      <w:r w:rsidRPr="00AE2813">
        <w:rPr>
          <w:rFonts w:eastAsia="Times New Roman"/>
          <w:sz w:val="15"/>
          <w:lang w:val="es-ES"/>
        </w:rPr>
        <w:t xml:space="preserve">[10] Ministerio de Desarrollo Agropecuario de Panamá, "Avanzan acciones interinstitucionales para la recuperación de la cuenca del río La Villa," 2026. </w:t>
      </w:r>
      <w:r>
        <w:rPr>
          <w:rFonts w:eastAsia="Times New Roman"/>
          <w:sz w:val="15"/>
        </w:rPr>
        <w:t>Available: https://mida.gob.pa/2026/01/19/avanzan-acciones-interinstitucionales-para-la-recuperacion-de-la-cuenca-del-rio-la-villa/</w:t>
      </w:r>
    </w:p>
    <w:p w14:paraId="0BCBC684" w14:textId="77777777" w:rsidR="00DC72AD" w:rsidRDefault="00000000">
      <w:pPr>
        <w:spacing w:after="20" w:line="240" w:lineRule="auto"/>
        <w:ind w:left="198" w:hanging="198"/>
        <w:jc w:val="both"/>
      </w:pPr>
      <w:r>
        <w:rPr>
          <w:rFonts w:eastAsia="Times New Roman"/>
          <w:sz w:val="15"/>
        </w:rPr>
        <w:t>[11] GLOBALG.A.P., "Integrated Farm Assurance Version 6 for fruit and vegetables," 2026. Available: https://www.globalgap.org/uk_en/for-producers/globalg.a.p./integrated-farm-assurance-ifa/IFA-V6/</w:t>
      </w:r>
    </w:p>
    <w:p w14:paraId="238B6C94" w14:textId="77777777" w:rsidR="00DC72AD" w:rsidRDefault="00000000">
      <w:pPr>
        <w:spacing w:after="20" w:line="240" w:lineRule="auto"/>
        <w:ind w:left="198" w:hanging="198"/>
        <w:jc w:val="both"/>
      </w:pPr>
      <w:r>
        <w:rPr>
          <w:rFonts w:eastAsia="Times New Roman"/>
          <w:sz w:val="15"/>
        </w:rPr>
        <w:t>[12] Amazon Web Services, "AWS Free Tier," 2026. Available: https://docs.aws.amazon.com/awsaccountbilling/latest/aboutv2/free-tier.html</w:t>
      </w:r>
    </w:p>
    <w:sectPr w:rsidR="00DC72AD" w:rsidSect="00034616">
      <w:type w:val="continuous"/>
      <w:pgSz w:w="12240" w:h="15840"/>
      <w:pgMar w:top="1701" w:right="850" w:bottom="1417" w:left="850" w:header="709" w:footer="709" w:gutter="0"/>
      <w:cols w:num="2" w:space="56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600749">
    <w:abstractNumId w:val="8"/>
  </w:num>
  <w:num w:numId="2" w16cid:durableId="1737312404">
    <w:abstractNumId w:val="6"/>
  </w:num>
  <w:num w:numId="3" w16cid:durableId="306712551">
    <w:abstractNumId w:val="5"/>
  </w:num>
  <w:num w:numId="4" w16cid:durableId="2003388251">
    <w:abstractNumId w:val="4"/>
  </w:num>
  <w:num w:numId="5" w16cid:durableId="390690734">
    <w:abstractNumId w:val="7"/>
  </w:num>
  <w:num w:numId="6" w16cid:durableId="1694040690">
    <w:abstractNumId w:val="3"/>
  </w:num>
  <w:num w:numId="7" w16cid:durableId="616062720">
    <w:abstractNumId w:val="2"/>
  </w:num>
  <w:num w:numId="8" w16cid:durableId="495196961">
    <w:abstractNumId w:val="1"/>
  </w:num>
  <w:num w:numId="9" w16cid:durableId="484011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716"/>
    <w:rsid w:val="00AA1D8D"/>
    <w:rsid w:val="00AE2813"/>
    <w:rsid w:val="00B47730"/>
    <w:rsid w:val="00CB0664"/>
    <w:rsid w:val="00DC7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3F901"/>
  <w14:defaultImageDpi w14:val="300"/>
  <w15:docId w15:val="{37DCCB02-0DBD-45A9-AE59-EB5F9DBC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1814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RODRIGUEZ</cp:lastModifiedBy>
  <cp:revision>2</cp:revision>
  <dcterms:created xsi:type="dcterms:W3CDTF">2013-12-23T23:15:00Z</dcterms:created>
  <dcterms:modified xsi:type="dcterms:W3CDTF">2026-05-13T20:14:00Z</dcterms:modified>
  <cp:category/>
</cp:coreProperties>
</file>