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29BC4" w14:textId="77777777" w:rsidR="004853E1" w:rsidRPr="00353D76" w:rsidRDefault="00000000">
      <w:pPr>
        <w:rPr>
          <w:lang w:val="es-ES"/>
        </w:rPr>
      </w:pPr>
      <w:r w:rsidRPr="00353D76">
        <w:rPr>
          <w:rFonts w:eastAsia="Times New Roman"/>
          <w:lang w:val="es-ES"/>
        </w:rPr>
        <w:t>Categoría prototipado: seguridad alimentaria y agricultura sostenible con observación de la Tierra.</w:t>
      </w:r>
    </w:p>
    <w:p w14:paraId="07BE9BAD" w14:textId="77777777" w:rsidR="004853E1" w:rsidRPr="00353D76" w:rsidRDefault="00000000">
      <w:pPr>
        <w:spacing w:before="80" w:after="240"/>
        <w:jc w:val="center"/>
        <w:rPr>
          <w:lang w:val="es-ES"/>
        </w:rPr>
      </w:pPr>
      <w:r w:rsidRPr="00353D76">
        <w:rPr>
          <w:rFonts w:eastAsia="Times New Roman"/>
          <w:sz w:val="36"/>
          <w:lang w:val="es-ES"/>
        </w:rPr>
        <w:t>AgroShield: semáforo Copernicus de riesgo hídrico para inocuidad agrícola en Azuero</w:t>
      </w:r>
    </w:p>
    <w:p w14:paraId="3666FDC9" w14:textId="77777777" w:rsidR="004853E1" w:rsidRDefault="00000000">
      <w:pPr>
        <w:spacing w:after="240"/>
        <w:jc w:val="center"/>
      </w:pPr>
      <w:r>
        <w:rPr>
          <w:rFonts w:eastAsia="Times New Roman"/>
          <w:sz w:val="36"/>
        </w:rPr>
        <w:t>AgroShield: Copernicus water-risk traffic light for agricultural food safety in Azuero</w:t>
      </w:r>
    </w:p>
    <w:p w14:paraId="2822DBDE" w14:textId="77777777" w:rsidR="004853E1" w:rsidRPr="00353D76" w:rsidRDefault="00000000">
      <w:pPr>
        <w:jc w:val="center"/>
        <w:rPr>
          <w:lang w:val="es-ES"/>
        </w:rPr>
      </w:pPr>
      <w:r w:rsidRPr="00353D76">
        <w:rPr>
          <w:rFonts w:eastAsia="Times New Roman"/>
          <w:lang w:val="es-ES"/>
        </w:rPr>
        <w:t>José Rodríguez1*, Yanesis Valdés2</w:t>
      </w:r>
    </w:p>
    <w:p w14:paraId="5C5990F0" w14:textId="77777777" w:rsidR="004853E1" w:rsidRPr="00353D76" w:rsidRDefault="00000000">
      <w:pPr>
        <w:jc w:val="center"/>
        <w:rPr>
          <w:lang w:val="es-ES"/>
        </w:rPr>
      </w:pPr>
      <w:r w:rsidRPr="00353D76">
        <w:rPr>
          <w:rFonts w:eastAsia="Times New Roman"/>
          <w:i/>
          <w:lang w:val="es-ES"/>
        </w:rPr>
        <w:t>1Afiliación pendiente; 2Afiliación pendiente</w:t>
      </w:r>
    </w:p>
    <w:p w14:paraId="731A375A" w14:textId="77777777" w:rsidR="004853E1" w:rsidRPr="00353D76" w:rsidRDefault="00000000">
      <w:pPr>
        <w:spacing w:after="0" w:line="240" w:lineRule="auto"/>
        <w:jc w:val="both"/>
        <w:rPr>
          <w:lang w:val="es-ES"/>
        </w:rPr>
      </w:pPr>
      <w:r w:rsidRPr="00353D76">
        <w:rPr>
          <w:rFonts w:eastAsia="Times New Roman"/>
          <w:b/>
          <w:lang w:val="es-ES"/>
        </w:rPr>
        <w:t xml:space="preserve">Resumen </w:t>
      </w:r>
      <w:r w:rsidRPr="00353D76">
        <w:rPr>
          <w:rFonts w:eastAsia="Times New Roman"/>
          <w:lang w:val="es-ES"/>
        </w:rPr>
        <w:t>En Azuero, el agua del río La Villa sostiene riego, lavado, producción agroexportadora y continuidad alimentaria. Cuando eventos de lluvia movilizan sedimento y contaminantes desde fuentes difusas, productores y técnicos carecen de una señal temprana, reproducible y trazable para decidir bajo incertidumbre. AgroShield propone un semáforo de inocuidad hídrica agrícola basado en Copernicus: Sentinel-2 vía CDSE para comparar señales ópticas sobre el área Chitré-La Arena, Sentinel-1 y CHIRPS como soporte ante lluvia y nubosidad, y un reporte técnico simple que explique estado, evidencia, confianza y límites. El prototipo no detecta pesticidas disueltos ni sustituye laboratorio; transforma observación satelital en evidencia preventiva para una cuenca real, una crisis real y una decisión agrícola concreta.</w:t>
      </w:r>
    </w:p>
    <w:p w14:paraId="4FCA74AD" w14:textId="77777777" w:rsidR="004853E1" w:rsidRPr="00353D76" w:rsidRDefault="00000000">
      <w:pPr>
        <w:spacing w:after="0" w:line="240" w:lineRule="auto"/>
        <w:jc w:val="both"/>
        <w:rPr>
          <w:lang w:val="es-ES"/>
        </w:rPr>
      </w:pPr>
      <w:r w:rsidRPr="00353D76">
        <w:rPr>
          <w:rFonts w:eastAsia="Times New Roman"/>
          <w:b/>
          <w:lang w:val="es-ES"/>
        </w:rPr>
        <w:t xml:space="preserve">Palabras clave </w:t>
      </w:r>
      <w:r w:rsidRPr="00353D76">
        <w:rPr>
          <w:rFonts w:eastAsia="Times New Roman"/>
          <w:lang w:val="es-ES"/>
        </w:rPr>
        <w:t>AgroShield, Copernicus, inocuidad agrícola, Río La Villa, Sentinel.</w:t>
      </w:r>
    </w:p>
    <w:p w14:paraId="24EAE9CA" w14:textId="77777777" w:rsidR="004853E1" w:rsidRDefault="00000000">
      <w:pPr>
        <w:spacing w:after="0" w:line="240" w:lineRule="auto"/>
        <w:jc w:val="both"/>
      </w:pPr>
      <w:r>
        <w:rPr>
          <w:rFonts w:eastAsia="Times New Roman"/>
          <w:b/>
        </w:rPr>
        <w:t xml:space="preserve">Abstract </w:t>
      </w:r>
      <w:r>
        <w:rPr>
          <w:rFonts w:eastAsia="Times New Roman"/>
        </w:rPr>
        <w:t>In Azuero, the La Villa river sustains irrigation, washing, agro-export activity and food continuity. When rainfall events mobilize sediment and diffuse contaminants, producers and watershed technicians lack an early, reproducible and traceable signal for decision-making under uncertainty. AgroShield proposes a Copernicus-based agricultural water-safety traffic light: Sentinel-2 through CDSE to compare optical evidence over the Chitré-La Arena area, Sentinel-1 and CHIRPS as support under rainfall and cloud conditions, and a simple technical report explaining status, evidence, confidence and limitations.</w:t>
      </w:r>
    </w:p>
    <w:p w14:paraId="6317B529" w14:textId="77777777" w:rsidR="004853E1" w:rsidRDefault="00000000">
      <w:pPr>
        <w:spacing w:after="0" w:line="240" w:lineRule="auto"/>
        <w:jc w:val="both"/>
      </w:pPr>
      <w:r>
        <w:rPr>
          <w:rFonts w:eastAsia="Times New Roman"/>
          <w:b/>
        </w:rPr>
        <w:t xml:space="preserve">Keywords </w:t>
      </w:r>
      <w:r>
        <w:rPr>
          <w:rFonts w:eastAsia="Times New Roman"/>
        </w:rPr>
        <w:t>AgroShield, Copernicus, food safety, La Villa river, Sentinel.</w:t>
      </w:r>
    </w:p>
    <w:p w14:paraId="1F8DCA60" w14:textId="77777777" w:rsidR="004853E1" w:rsidRDefault="00000000">
      <w:r>
        <w:rPr>
          <w:rFonts w:eastAsia="Times New Roman"/>
          <w:sz w:val="16"/>
        </w:rPr>
        <w:t>* Corresponding author: jose.rodriguez104@utp.ac.pa</w:t>
      </w:r>
    </w:p>
    <w:p w14:paraId="1D998E9B" w14:textId="77777777" w:rsidR="004853E1" w:rsidRDefault="004853E1">
      <w:pPr>
        <w:sectPr w:rsidR="004853E1">
          <w:pgSz w:w="12240" w:h="15840"/>
          <w:pgMar w:top="1701" w:right="850" w:bottom="1417" w:left="850" w:header="709" w:footer="709" w:gutter="0"/>
          <w:cols w:space="720"/>
          <w:docGrid w:linePitch="360"/>
        </w:sectPr>
      </w:pPr>
    </w:p>
    <w:p w14:paraId="27009FF6" w14:textId="77777777" w:rsidR="004853E1" w:rsidRPr="00353D76" w:rsidRDefault="00000000">
      <w:pPr>
        <w:keepNext/>
        <w:spacing w:before="120" w:after="40"/>
        <w:rPr>
          <w:lang w:val="es-ES"/>
        </w:rPr>
      </w:pPr>
      <w:r w:rsidRPr="00353D76">
        <w:rPr>
          <w:rFonts w:eastAsia="Times New Roman"/>
          <w:b/>
          <w:color w:val="1F4E79"/>
          <w:sz w:val="28"/>
          <w:lang w:val="es-ES"/>
        </w:rPr>
        <w:t>1. Introducción</w:t>
      </w:r>
    </w:p>
    <w:p w14:paraId="5E055710" w14:textId="77777777" w:rsidR="004853E1" w:rsidRPr="00353D76" w:rsidRDefault="00000000">
      <w:pPr>
        <w:spacing w:after="0" w:line="240" w:lineRule="auto"/>
        <w:ind w:firstLine="283"/>
        <w:jc w:val="both"/>
        <w:rPr>
          <w:lang w:val="es-ES"/>
        </w:rPr>
      </w:pPr>
      <w:r w:rsidRPr="00353D76">
        <w:rPr>
          <w:rFonts w:eastAsia="Times New Roman"/>
          <w:lang w:val="es-ES"/>
        </w:rPr>
        <w:t>La propuesta parte de una premisa operacional: si el río falla, falla la agricultura que depende de él. En la península de Azuero, la cuenca del río La Villa vincula abastecimiento, riego, inocuidad poscosecha y confianza en cadenas de exportación. Un técnico de cuenca necesita saber cuándo una señal hidrosedimentaria merece atención antes de que el problema se convierta en pérdida de cultivo, suspensión de riego o crisis pública [1], [9], [10].</w:t>
      </w:r>
    </w:p>
    <w:p w14:paraId="0DE9F195" w14:textId="77777777" w:rsidR="004853E1" w:rsidRPr="00353D76" w:rsidRDefault="00000000">
      <w:pPr>
        <w:spacing w:after="0" w:line="240" w:lineRule="auto"/>
        <w:ind w:firstLine="283"/>
        <w:jc w:val="both"/>
        <w:rPr>
          <w:lang w:val="es-ES"/>
        </w:rPr>
      </w:pPr>
      <w:r w:rsidRPr="00353D76">
        <w:rPr>
          <w:rFonts w:eastAsia="Times New Roman"/>
          <w:lang w:val="es-ES"/>
        </w:rPr>
        <w:t>Las soluciones tradicionales aportan mediciones puntuales o inspecciones posteriores. Copernicus agrega algo distinto: visión sinóptica, archivo histórico y bajo costo marginal para mirar la cuenca completa [1]-[4]. AgroShield no promete una verdad química desde el espacio; propone una herramienta de priorización que responde una pregunta de hackathon: ¿puede una señal Sentinel reproducible ayudar a decidir riesgo hídrico agrícola en Azuero?</w:t>
      </w:r>
    </w:p>
    <w:p w14:paraId="62E5A2C4" w14:textId="77777777" w:rsidR="004853E1" w:rsidRPr="00353D76" w:rsidRDefault="00000000">
      <w:pPr>
        <w:keepNext/>
        <w:spacing w:before="120" w:after="40"/>
        <w:rPr>
          <w:lang w:val="es-ES"/>
        </w:rPr>
      </w:pPr>
      <w:r w:rsidRPr="00353D76">
        <w:rPr>
          <w:rFonts w:eastAsia="Times New Roman"/>
          <w:b/>
          <w:color w:val="1F4E79"/>
          <w:sz w:val="28"/>
          <w:lang w:val="es-ES"/>
        </w:rPr>
        <w:t>2. Diseño y metodología</w:t>
      </w:r>
    </w:p>
    <w:p w14:paraId="1EA2178A" w14:textId="77777777" w:rsidR="004853E1" w:rsidRPr="00353D76" w:rsidRDefault="00000000">
      <w:pPr>
        <w:spacing w:after="0" w:line="240" w:lineRule="auto"/>
        <w:ind w:firstLine="283"/>
        <w:jc w:val="both"/>
        <w:rPr>
          <w:lang w:val="es-ES"/>
        </w:rPr>
      </w:pPr>
      <w:r w:rsidRPr="00353D76">
        <w:rPr>
          <w:rFonts w:eastAsia="Times New Roman"/>
          <w:lang w:val="es-ES"/>
        </w:rPr>
        <w:t xml:space="preserve">El MVP se reduce a cuatro piezas: un área de interés real en Chitré-La Arena, una serie histórica Sentinel-2 consultada por CDSE, reglas transparentes de semáforo y un reporte </w:t>
      </w:r>
      <w:r w:rsidRPr="00353D76">
        <w:rPr>
          <w:rFonts w:eastAsia="Times New Roman"/>
          <w:lang w:val="es-ES"/>
        </w:rPr>
        <w:t>técnico. Sentinel-1 y CHIRPS se conservan como soporte cuando la lluvia o nubosidad explican la incertidumbre; no se incluyen módulos agronómicos adicionales en el cuerpo principal.</w:t>
      </w:r>
    </w:p>
    <w:p w14:paraId="4B6DD6E8" w14:textId="77777777" w:rsidR="004853E1" w:rsidRPr="00353D76" w:rsidRDefault="00000000">
      <w:pPr>
        <w:keepNext/>
        <w:spacing w:before="60" w:after="20"/>
        <w:jc w:val="both"/>
        <w:rPr>
          <w:lang w:val="es-ES"/>
        </w:rPr>
      </w:pPr>
      <w:r w:rsidRPr="00353D76">
        <w:rPr>
          <w:rFonts w:eastAsia="Times New Roman"/>
          <w:b/>
          <w:sz w:val="16"/>
          <w:lang w:val="es-ES"/>
        </w:rPr>
        <w:t xml:space="preserve">Figura </w:t>
      </w:r>
      <w:r w:rsidRPr="00353D76">
        <w:rPr>
          <w:rFonts w:eastAsia="Times New Roman"/>
          <w:sz w:val="16"/>
          <w:lang w:val="es-ES"/>
        </w:rPr>
        <w:t>1. Flujo mínimo del MVP AgroShield</w:t>
      </w:r>
    </w:p>
    <w:tbl>
      <w:tblPr>
        <w:tblStyle w:val="TableGrid"/>
        <w:tblW w:w="5180" w:type="dxa"/>
        <w:tblLayout w:type="fixed"/>
        <w:tblLook w:val="04A0" w:firstRow="1" w:lastRow="0" w:firstColumn="1" w:lastColumn="0" w:noHBand="0" w:noVBand="1"/>
      </w:tblPr>
      <w:tblGrid>
        <w:gridCol w:w="1295"/>
        <w:gridCol w:w="1295"/>
        <w:gridCol w:w="1295"/>
        <w:gridCol w:w="1295"/>
      </w:tblGrid>
      <w:tr w:rsidR="004853E1" w14:paraId="5AB3DD96" w14:textId="77777777" w:rsidTr="00353D76">
        <w:trPr>
          <w:trHeight w:val="172"/>
        </w:trPr>
        <w:tc>
          <w:tcPr>
            <w:tcW w:w="1295" w:type="dxa"/>
            <w:shd w:val="clear" w:color="auto" w:fill="D9EAD3"/>
            <w:tcMar>
              <w:top w:w="65" w:type="dxa"/>
              <w:left w:w="90" w:type="dxa"/>
              <w:bottom w:w="65" w:type="dxa"/>
              <w:right w:w="90" w:type="dxa"/>
            </w:tcMar>
            <w:vAlign w:val="center"/>
          </w:tcPr>
          <w:p w14:paraId="4FDA70F3" w14:textId="77777777" w:rsidR="004853E1" w:rsidRDefault="00000000">
            <w:pPr>
              <w:jc w:val="center"/>
            </w:pPr>
            <w:r>
              <w:rPr>
                <w:rFonts w:eastAsia="Times New Roman"/>
                <w:b/>
                <w:sz w:val="14"/>
              </w:rPr>
              <w:t>AOI</w:t>
            </w:r>
          </w:p>
        </w:tc>
        <w:tc>
          <w:tcPr>
            <w:tcW w:w="1295" w:type="dxa"/>
            <w:shd w:val="clear" w:color="auto" w:fill="D9EAD3"/>
            <w:tcMar>
              <w:top w:w="65" w:type="dxa"/>
              <w:left w:w="90" w:type="dxa"/>
              <w:bottom w:w="65" w:type="dxa"/>
              <w:right w:w="90" w:type="dxa"/>
            </w:tcMar>
            <w:vAlign w:val="center"/>
          </w:tcPr>
          <w:p w14:paraId="0A2BFEFC" w14:textId="77777777" w:rsidR="004853E1" w:rsidRDefault="00000000">
            <w:pPr>
              <w:jc w:val="center"/>
            </w:pPr>
            <w:r>
              <w:rPr>
                <w:rFonts w:eastAsia="Times New Roman"/>
                <w:b/>
                <w:sz w:val="14"/>
              </w:rPr>
              <w:t>CDSE</w:t>
            </w:r>
          </w:p>
        </w:tc>
        <w:tc>
          <w:tcPr>
            <w:tcW w:w="1295" w:type="dxa"/>
            <w:shd w:val="clear" w:color="auto" w:fill="D9EAD3"/>
            <w:tcMar>
              <w:top w:w="65" w:type="dxa"/>
              <w:left w:w="90" w:type="dxa"/>
              <w:bottom w:w="65" w:type="dxa"/>
              <w:right w:w="90" w:type="dxa"/>
            </w:tcMar>
            <w:vAlign w:val="center"/>
          </w:tcPr>
          <w:p w14:paraId="54E1C1D1" w14:textId="77777777" w:rsidR="004853E1" w:rsidRDefault="00000000">
            <w:pPr>
              <w:jc w:val="center"/>
            </w:pPr>
            <w:r>
              <w:rPr>
                <w:rFonts w:eastAsia="Times New Roman"/>
                <w:b/>
                <w:sz w:val="14"/>
              </w:rPr>
              <w:t>Señal</w:t>
            </w:r>
          </w:p>
        </w:tc>
        <w:tc>
          <w:tcPr>
            <w:tcW w:w="1295" w:type="dxa"/>
            <w:shd w:val="clear" w:color="auto" w:fill="D9EAD3"/>
            <w:tcMar>
              <w:top w:w="65" w:type="dxa"/>
              <w:left w:w="90" w:type="dxa"/>
              <w:bottom w:w="65" w:type="dxa"/>
              <w:right w:w="90" w:type="dxa"/>
            </w:tcMar>
            <w:vAlign w:val="center"/>
          </w:tcPr>
          <w:p w14:paraId="73D55892" w14:textId="77777777" w:rsidR="004853E1" w:rsidRDefault="00000000">
            <w:pPr>
              <w:jc w:val="center"/>
            </w:pPr>
            <w:r>
              <w:rPr>
                <w:rFonts w:eastAsia="Times New Roman"/>
                <w:b/>
                <w:sz w:val="14"/>
              </w:rPr>
              <w:t>Decisión</w:t>
            </w:r>
          </w:p>
        </w:tc>
      </w:tr>
      <w:tr w:rsidR="004853E1" w14:paraId="3D559B59" w14:textId="77777777" w:rsidTr="00353D76">
        <w:trPr>
          <w:trHeight w:val="172"/>
        </w:trPr>
        <w:tc>
          <w:tcPr>
            <w:tcW w:w="1295" w:type="dxa"/>
            <w:tcMar>
              <w:top w:w="65" w:type="dxa"/>
              <w:left w:w="90" w:type="dxa"/>
              <w:bottom w:w="65" w:type="dxa"/>
              <w:right w:w="90" w:type="dxa"/>
            </w:tcMar>
            <w:vAlign w:val="center"/>
          </w:tcPr>
          <w:p w14:paraId="4148A9C5" w14:textId="77777777" w:rsidR="004853E1" w:rsidRDefault="00000000">
            <w:r>
              <w:rPr>
                <w:rFonts w:eastAsia="Times New Roman"/>
                <w:sz w:val="14"/>
              </w:rPr>
              <w:t>Chitré-La Arena</w:t>
            </w:r>
          </w:p>
        </w:tc>
        <w:tc>
          <w:tcPr>
            <w:tcW w:w="1295" w:type="dxa"/>
            <w:tcMar>
              <w:top w:w="65" w:type="dxa"/>
              <w:left w:w="90" w:type="dxa"/>
              <w:bottom w:w="65" w:type="dxa"/>
              <w:right w:w="90" w:type="dxa"/>
            </w:tcMar>
            <w:vAlign w:val="center"/>
          </w:tcPr>
          <w:p w14:paraId="1BA5C216" w14:textId="77777777" w:rsidR="004853E1" w:rsidRDefault="00000000">
            <w:r>
              <w:rPr>
                <w:rFonts w:eastAsia="Times New Roman"/>
                <w:sz w:val="14"/>
              </w:rPr>
              <w:t>Sentinel-2 L2A</w:t>
            </w:r>
          </w:p>
        </w:tc>
        <w:tc>
          <w:tcPr>
            <w:tcW w:w="1295" w:type="dxa"/>
            <w:tcMar>
              <w:top w:w="65" w:type="dxa"/>
              <w:left w:w="90" w:type="dxa"/>
              <w:bottom w:w="65" w:type="dxa"/>
              <w:right w:w="90" w:type="dxa"/>
            </w:tcMar>
            <w:vAlign w:val="center"/>
          </w:tcPr>
          <w:p w14:paraId="41137F76" w14:textId="77777777" w:rsidR="004853E1" w:rsidRDefault="00000000">
            <w:r>
              <w:rPr>
                <w:rFonts w:eastAsia="Times New Roman"/>
                <w:sz w:val="14"/>
              </w:rPr>
              <w:t>Agua + sedimento</w:t>
            </w:r>
          </w:p>
        </w:tc>
        <w:tc>
          <w:tcPr>
            <w:tcW w:w="1295" w:type="dxa"/>
            <w:tcMar>
              <w:top w:w="65" w:type="dxa"/>
              <w:left w:w="90" w:type="dxa"/>
              <w:bottom w:w="65" w:type="dxa"/>
              <w:right w:w="90" w:type="dxa"/>
            </w:tcMar>
            <w:vAlign w:val="center"/>
          </w:tcPr>
          <w:p w14:paraId="240DB7EC" w14:textId="77777777" w:rsidR="004853E1" w:rsidRDefault="00000000">
            <w:r>
              <w:rPr>
                <w:rFonts w:eastAsia="Times New Roman"/>
                <w:sz w:val="14"/>
              </w:rPr>
              <w:t>Semáforo</w:t>
            </w:r>
          </w:p>
        </w:tc>
      </w:tr>
      <w:tr w:rsidR="004853E1" w14:paraId="1BEB361A" w14:textId="77777777" w:rsidTr="00353D76">
        <w:trPr>
          <w:trHeight w:val="172"/>
        </w:trPr>
        <w:tc>
          <w:tcPr>
            <w:tcW w:w="1295" w:type="dxa"/>
            <w:tcMar>
              <w:top w:w="65" w:type="dxa"/>
              <w:left w:w="90" w:type="dxa"/>
              <w:bottom w:w="65" w:type="dxa"/>
              <w:right w:w="90" w:type="dxa"/>
            </w:tcMar>
            <w:vAlign w:val="center"/>
          </w:tcPr>
          <w:p w14:paraId="18356B2B" w14:textId="77777777" w:rsidR="004853E1" w:rsidRDefault="00000000">
            <w:r>
              <w:rPr>
                <w:rFonts w:eastAsia="Times New Roman"/>
                <w:sz w:val="14"/>
              </w:rPr>
              <w:t>Misma geometría</w:t>
            </w:r>
          </w:p>
        </w:tc>
        <w:tc>
          <w:tcPr>
            <w:tcW w:w="1295" w:type="dxa"/>
            <w:tcMar>
              <w:top w:w="65" w:type="dxa"/>
              <w:left w:w="90" w:type="dxa"/>
              <w:bottom w:w="65" w:type="dxa"/>
              <w:right w:w="90" w:type="dxa"/>
            </w:tcMar>
            <w:vAlign w:val="center"/>
          </w:tcPr>
          <w:p w14:paraId="545D0F2F" w14:textId="77777777" w:rsidR="004853E1" w:rsidRDefault="00000000">
            <w:r>
              <w:rPr>
                <w:rFonts w:eastAsia="Times New Roman"/>
                <w:sz w:val="14"/>
              </w:rPr>
              <w:t>Serie histórica</w:t>
            </w:r>
          </w:p>
        </w:tc>
        <w:tc>
          <w:tcPr>
            <w:tcW w:w="1295" w:type="dxa"/>
            <w:tcMar>
              <w:top w:w="65" w:type="dxa"/>
              <w:left w:w="90" w:type="dxa"/>
              <w:bottom w:w="65" w:type="dxa"/>
              <w:right w:w="90" w:type="dxa"/>
            </w:tcMar>
            <w:vAlign w:val="center"/>
          </w:tcPr>
          <w:p w14:paraId="111C719E" w14:textId="77777777" w:rsidR="004853E1" w:rsidRDefault="00000000">
            <w:r>
              <w:rPr>
                <w:rFonts w:eastAsia="Times New Roman"/>
                <w:sz w:val="14"/>
              </w:rPr>
              <w:t>Baseline vs. evento</w:t>
            </w:r>
          </w:p>
        </w:tc>
        <w:tc>
          <w:tcPr>
            <w:tcW w:w="1295" w:type="dxa"/>
            <w:tcMar>
              <w:top w:w="65" w:type="dxa"/>
              <w:left w:w="90" w:type="dxa"/>
              <w:bottom w:w="65" w:type="dxa"/>
              <w:right w:w="90" w:type="dxa"/>
            </w:tcMar>
            <w:vAlign w:val="center"/>
          </w:tcPr>
          <w:p w14:paraId="0B3F7153" w14:textId="77777777" w:rsidR="004853E1" w:rsidRDefault="00000000">
            <w:r>
              <w:rPr>
                <w:rFonts w:eastAsia="Times New Roman"/>
                <w:sz w:val="14"/>
              </w:rPr>
              <w:t>Reporte técnico</w:t>
            </w:r>
          </w:p>
        </w:tc>
      </w:tr>
    </w:tbl>
    <w:p w14:paraId="298738B9" w14:textId="77777777" w:rsidR="004853E1" w:rsidRPr="00353D76" w:rsidRDefault="00000000">
      <w:pPr>
        <w:spacing w:after="60" w:line="240" w:lineRule="auto"/>
        <w:jc w:val="both"/>
        <w:rPr>
          <w:lang w:val="es-ES"/>
        </w:rPr>
      </w:pPr>
      <w:r w:rsidRPr="00353D76">
        <w:rPr>
          <w:rFonts w:eastAsia="Times New Roman"/>
          <w:b/>
          <w:sz w:val="16"/>
          <w:lang w:val="es-ES"/>
        </w:rPr>
        <w:t xml:space="preserve">Fuente: </w:t>
      </w:r>
      <w:r w:rsidRPr="00353D76">
        <w:rPr>
          <w:rFonts w:eastAsia="Times New Roman"/>
          <w:sz w:val="16"/>
          <w:lang w:val="es-ES"/>
        </w:rPr>
        <w:t>Elaboración propia. El MVP se evalúa por reproducibilidad de la señal, no por cantidad de módulos.</w:t>
      </w:r>
    </w:p>
    <w:p w14:paraId="4397CA4D" w14:textId="77777777" w:rsidR="004853E1" w:rsidRPr="00353D76" w:rsidRDefault="00000000">
      <w:pPr>
        <w:keepNext/>
        <w:spacing w:before="60" w:after="40"/>
        <w:rPr>
          <w:lang w:val="es-ES"/>
        </w:rPr>
      </w:pPr>
      <w:r w:rsidRPr="00353D76">
        <w:rPr>
          <w:rFonts w:eastAsia="Times New Roman"/>
          <w:b/>
          <w:color w:val="202020"/>
          <w:lang w:val="es-ES"/>
        </w:rPr>
        <w:t>2.1 Reglas auditables del semáforo</w:t>
      </w:r>
    </w:p>
    <w:p w14:paraId="3138D58C" w14:textId="77777777" w:rsidR="004853E1" w:rsidRPr="00353D76" w:rsidRDefault="00000000">
      <w:pPr>
        <w:spacing w:after="0" w:line="240" w:lineRule="auto"/>
        <w:ind w:firstLine="283"/>
        <w:jc w:val="both"/>
        <w:rPr>
          <w:lang w:val="es-ES"/>
        </w:rPr>
      </w:pPr>
      <w:r w:rsidRPr="00353D76">
        <w:rPr>
          <w:rFonts w:eastAsia="Times New Roman"/>
          <w:lang w:val="es-ES"/>
        </w:rPr>
        <w:t>La primera versión evita pesos arbitrarios. El semáforo usa reglas explicables: si no hay suficientes píxeles válidos, el estado es incierto; si la máscara de agua confirma el río y una señal de turbidez aumenta frente a la línea base, el estado pasa a amarillo o rojo; si NDCI sube, se activa una bandera secundaria de posible carga biológica; si CHIRPS registra lluvia antecedente alta, aumenta la prioridad de revisión. Cada salida debe mostrar datos, fecha y confianza.</w:t>
      </w:r>
    </w:p>
    <w:p w14:paraId="6C653313" w14:textId="77777777" w:rsidR="004853E1" w:rsidRPr="00353D76" w:rsidRDefault="00000000">
      <w:pPr>
        <w:keepNext/>
        <w:spacing w:before="60" w:after="20"/>
        <w:jc w:val="center"/>
        <w:rPr>
          <w:lang w:val="es-ES"/>
        </w:rPr>
      </w:pPr>
      <w:r w:rsidRPr="00353D76">
        <w:rPr>
          <w:rFonts w:eastAsia="Times New Roman"/>
          <w:b/>
          <w:sz w:val="16"/>
          <w:lang w:val="es-ES"/>
        </w:rPr>
        <w:lastRenderedPageBreak/>
        <w:t xml:space="preserve">Tabla </w:t>
      </w:r>
      <w:r w:rsidRPr="00353D76">
        <w:rPr>
          <w:rFonts w:eastAsia="Times New Roman"/>
          <w:sz w:val="16"/>
          <w:lang w:val="es-ES"/>
        </w:rPr>
        <w:t>1. Reglas mínimas para clasificar evidencia</w:t>
      </w:r>
    </w:p>
    <w:tbl>
      <w:tblPr>
        <w:tblStyle w:val="TableGrid"/>
        <w:tblW w:w="0" w:type="auto"/>
        <w:tblLayout w:type="fixed"/>
        <w:tblLook w:val="04A0" w:firstRow="1" w:lastRow="0" w:firstColumn="1" w:lastColumn="0" w:noHBand="0" w:noVBand="1"/>
      </w:tblPr>
      <w:tblGrid>
        <w:gridCol w:w="2572"/>
        <w:gridCol w:w="2572"/>
      </w:tblGrid>
      <w:tr w:rsidR="004853E1" w14:paraId="393808DF" w14:textId="77777777" w:rsidTr="00353D76">
        <w:trPr>
          <w:trHeight w:val="175"/>
        </w:trPr>
        <w:tc>
          <w:tcPr>
            <w:tcW w:w="2572" w:type="dxa"/>
            <w:shd w:val="clear" w:color="auto" w:fill="FFF2CC"/>
            <w:tcMar>
              <w:top w:w="65" w:type="dxa"/>
              <w:left w:w="90" w:type="dxa"/>
              <w:bottom w:w="65" w:type="dxa"/>
              <w:right w:w="90" w:type="dxa"/>
            </w:tcMar>
            <w:vAlign w:val="center"/>
          </w:tcPr>
          <w:p w14:paraId="01654A3B" w14:textId="77777777" w:rsidR="004853E1" w:rsidRDefault="00000000">
            <w:pPr>
              <w:jc w:val="center"/>
            </w:pPr>
            <w:r>
              <w:rPr>
                <w:rFonts w:eastAsia="Times New Roman"/>
                <w:b/>
                <w:sz w:val="15"/>
              </w:rPr>
              <w:t>Condición</w:t>
            </w:r>
          </w:p>
        </w:tc>
        <w:tc>
          <w:tcPr>
            <w:tcW w:w="2572" w:type="dxa"/>
            <w:shd w:val="clear" w:color="auto" w:fill="FFF2CC"/>
            <w:tcMar>
              <w:top w:w="65" w:type="dxa"/>
              <w:left w:w="90" w:type="dxa"/>
              <w:bottom w:w="65" w:type="dxa"/>
              <w:right w:w="90" w:type="dxa"/>
            </w:tcMar>
            <w:vAlign w:val="center"/>
          </w:tcPr>
          <w:p w14:paraId="25DD6352" w14:textId="77777777" w:rsidR="004853E1" w:rsidRDefault="00000000">
            <w:pPr>
              <w:jc w:val="center"/>
            </w:pPr>
            <w:r>
              <w:rPr>
                <w:rFonts w:eastAsia="Times New Roman"/>
                <w:b/>
                <w:sz w:val="15"/>
              </w:rPr>
              <w:t>Salida</w:t>
            </w:r>
          </w:p>
        </w:tc>
      </w:tr>
      <w:tr w:rsidR="004853E1" w14:paraId="595A36D7" w14:textId="77777777" w:rsidTr="00353D76">
        <w:trPr>
          <w:trHeight w:val="175"/>
        </w:trPr>
        <w:tc>
          <w:tcPr>
            <w:tcW w:w="2572" w:type="dxa"/>
            <w:tcMar>
              <w:top w:w="65" w:type="dxa"/>
              <w:left w:w="90" w:type="dxa"/>
              <w:bottom w:w="65" w:type="dxa"/>
              <w:right w:w="90" w:type="dxa"/>
            </w:tcMar>
            <w:vAlign w:val="center"/>
          </w:tcPr>
          <w:p w14:paraId="35B92E50" w14:textId="77777777" w:rsidR="004853E1" w:rsidRPr="00353D76" w:rsidRDefault="00000000">
            <w:pPr>
              <w:rPr>
                <w:lang w:val="es-ES"/>
              </w:rPr>
            </w:pPr>
            <w:r w:rsidRPr="00353D76">
              <w:rPr>
                <w:rFonts w:eastAsia="Times New Roman"/>
                <w:sz w:val="15"/>
                <w:lang w:val="es-ES"/>
              </w:rPr>
              <w:t>Pocos píxeles válidos o nube dominante</w:t>
            </w:r>
          </w:p>
        </w:tc>
        <w:tc>
          <w:tcPr>
            <w:tcW w:w="2572" w:type="dxa"/>
            <w:tcMar>
              <w:top w:w="65" w:type="dxa"/>
              <w:left w:w="90" w:type="dxa"/>
              <w:bottom w:w="65" w:type="dxa"/>
              <w:right w:w="90" w:type="dxa"/>
            </w:tcMar>
            <w:vAlign w:val="center"/>
          </w:tcPr>
          <w:p w14:paraId="1C328663" w14:textId="77777777" w:rsidR="004853E1" w:rsidRDefault="00000000">
            <w:r>
              <w:rPr>
                <w:rFonts w:eastAsia="Times New Roman"/>
                <w:sz w:val="15"/>
              </w:rPr>
              <w:t>Incierto; no forzar verde.</w:t>
            </w:r>
          </w:p>
        </w:tc>
      </w:tr>
      <w:tr w:rsidR="004853E1" w14:paraId="74011742" w14:textId="77777777" w:rsidTr="00353D76">
        <w:trPr>
          <w:trHeight w:val="175"/>
        </w:trPr>
        <w:tc>
          <w:tcPr>
            <w:tcW w:w="2572" w:type="dxa"/>
            <w:tcMar>
              <w:top w:w="65" w:type="dxa"/>
              <w:left w:w="90" w:type="dxa"/>
              <w:bottom w:w="65" w:type="dxa"/>
              <w:right w:w="90" w:type="dxa"/>
            </w:tcMar>
            <w:vAlign w:val="center"/>
          </w:tcPr>
          <w:p w14:paraId="74F6BCC1" w14:textId="77777777" w:rsidR="004853E1" w:rsidRPr="00353D76" w:rsidRDefault="00000000">
            <w:pPr>
              <w:rPr>
                <w:lang w:val="es-ES"/>
              </w:rPr>
            </w:pPr>
            <w:r w:rsidRPr="00353D76">
              <w:rPr>
                <w:rFonts w:eastAsia="Times New Roman"/>
                <w:sz w:val="15"/>
                <w:lang w:val="es-ES"/>
              </w:rPr>
              <w:t>Agua confirmada y señal óptica cercana a baseline</w:t>
            </w:r>
          </w:p>
        </w:tc>
        <w:tc>
          <w:tcPr>
            <w:tcW w:w="2572" w:type="dxa"/>
            <w:tcMar>
              <w:top w:w="65" w:type="dxa"/>
              <w:left w:w="90" w:type="dxa"/>
              <w:bottom w:w="65" w:type="dxa"/>
              <w:right w:w="90" w:type="dxa"/>
            </w:tcMar>
            <w:vAlign w:val="center"/>
          </w:tcPr>
          <w:p w14:paraId="38B43279" w14:textId="77777777" w:rsidR="004853E1" w:rsidRDefault="00000000">
            <w:r>
              <w:rPr>
                <w:rFonts w:eastAsia="Times New Roman"/>
                <w:sz w:val="15"/>
              </w:rPr>
              <w:t>Verde técnico.</w:t>
            </w:r>
          </w:p>
        </w:tc>
      </w:tr>
      <w:tr w:rsidR="004853E1" w14:paraId="37099140" w14:textId="77777777" w:rsidTr="00353D76">
        <w:trPr>
          <w:trHeight w:val="175"/>
        </w:trPr>
        <w:tc>
          <w:tcPr>
            <w:tcW w:w="2572" w:type="dxa"/>
            <w:tcMar>
              <w:top w:w="65" w:type="dxa"/>
              <w:left w:w="90" w:type="dxa"/>
              <w:bottom w:w="65" w:type="dxa"/>
              <w:right w:w="90" w:type="dxa"/>
            </w:tcMar>
            <w:vAlign w:val="center"/>
          </w:tcPr>
          <w:p w14:paraId="68E62DDE" w14:textId="77777777" w:rsidR="004853E1" w:rsidRPr="00353D76" w:rsidRDefault="00000000">
            <w:pPr>
              <w:rPr>
                <w:lang w:val="es-ES"/>
              </w:rPr>
            </w:pPr>
            <w:r w:rsidRPr="00353D76">
              <w:rPr>
                <w:rFonts w:eastAsia="Times New Roman"/>
                <w:sz w:val="15"/>
                <w:lang w:val="es-ES"/>
              </w:rPr>
              <w:t>Anomalía óptica moderada frente a baseline</w:t>
            </w:r>
          </w:p>
        </w:tc>
        <w:tc>
          <w:tcPr>
            <w:tcW w:w="2572" w:type="dxa"/>
            <w:tcMar>
              <w:top w:w="65" w:type="dxa"/>
              <w:left w:w="90" w:type="dxa"/>
              <w:bottom w:w="65" w:type="dxa"/>
              <w:right w:w="90" w:type="dxa"/>
            </w:tcMar>
            <w:vAlign w:val="center"/>
          </w:tcPr>
          <w:p w14:paraId="617A9741" w14:textId="77777777" w:rsidR="004853E1" w:rsidRDefault="00000000">
            <w:r>
              <w:rPr>
                <w:rFonts w:eastAsia="Times New Roman"/>
                <w:sz w:val="15"/>
              </w:rPr>
              <w:t>Amarillo; revisar riego.</w:t>
            </w:r>
          </w:p>
        </w:tc>
      </w:tr>
      <w:tr w:rsidR="004853E1" w14:paraId="5BE7DB34" w14:textId="77777777" w:rsidTr="00353D76">
        <w:trPr>
          <w:trHeight w:val="175"/>
        </w:trPr>
        <w:tc>
          <w:tcPr>
            <w:tcW w:w="2572" w:type="dxa"/>
            <w:tcMar>
              <w:top w:w="65" w:type="dxa"/>
              <w:left w:w="90" w:type="dxa"/>
              <w:bottom w:w="65" w:type="dxa"/>
              <w:right w:w="90" w:type="dxa"/>
            </w:tcMar>
            <w:vAlign w:val="center"/>
          </w:tcPr>
          <w:p w14:paraId="051608AA" w14:textId="77777777" w:rsidR="004853E1" w:rsidRDefault="00000000">
            <w:r>
              <w:rPr>
                <w:rFonts w:eastAsia="Times New Roman"/>
                <w:sz w:val="15"/>
              </w:rPr>
              <w:t>Anomalía fuerte + lluvia antecedente</w:t>
            </w:r>
          </w:p>
        </w:tc>
        <w:tc>
          <w:tcPr>
            <w:tcW w:w="2572" w:type="dxa"/>
            <w:tcMar>
              <w:top w:w="65" w:type="dxa"/>
              <w:left w:w="90" w:type="dxa"/>
              <w:bottom w:w="65" w:type="dxa"/>
              <w:right w:w="90" w:type="dxa"/>
            </w:tcMar>
            <w:vAlign w:val="center"/>
          </w:tcPr>
          <w:p w14:paraId="39570F04" w14:textId="77777777" w:rsidR="004853E1" w:rsidRDefault="00000000">
            <w:r>
              <w:rPr>
                <w:rFonts w:eastAsia="Times New Roman"/>
                <w:sz w:val="15"/>
              </w:rPr>
              <w:t>Rojo; acción preventiva.</w:t>
            </w:r>
          </w:p>
        </w:tc>
      </w:tr>
      <w:tr w:rsidR="004853E1" w:rsidRPr="00353D76" w14:paraId="3951F50E" w14:textId="77777777" w:rsidTr="00353D76">
        <w:trPr>
          <w:trHeight w:val="175"/>
        </w:trPr>
        <w:tc>
          <w:tcPr>
            <w:tcW w:w="2572" w:type="dxa"/>
            <w:tcMar>
              <w:top w:w="65" w:type="dxa"/>
              <w:left w:w="90" w:type="dxa"/>
              <w:bottom w:w="65" w:type="dxa"/>
              <w:right w:w="90" w:type="dxa"/>
            </w:tcMar>
            <w:vAlign w:val="center"/>
          </w:tcPr>
          <w:p w14:paraId="68D1300E" w14:textId="77777777" w:rsidR="004853E1" w:rsidRDefault="00000000">
            <w:r>
              <w:rPr>
                <w:rFonts w:eastAsia="Times New Roman"/>
                <w:sz w:val="15"/>
              </w:rPr>
              <w:t>NDCI alto</w:t>
            </w:r>
          </w:p>
        </w:tc>
        <w:tc>
          <w:tcPr>
            <w:tcW w:w="2572" w:type="dxa"/>
            <w:tcMar>
              <w:top w:w="65" w:type="dxa"/>
              <w:left w:w="90" w:type="dxa"/>
              <w:bottom w:w="65" w:type="dxa"/>
              <w:right w:w="90" w:type="dxa"/>
            </w:tcMar>
            <w:vAlign w:val="center"/>
          </w:tcPr>
          <w:p w14:paraId="3C2D84F1" w14:textId="77777777" w:rsidR="004853E1" w:rsidRPr="00353D76" w:rsidRDefault="00000000">
            <w:pPr>
              <w:rPr>
                <w:lang w:val="es-ES"/>
              </w:rPr>
            </w:pPr>
            <w:r w:rsidRPr="00353D76">
              <w:rPr>
                <w:rFonts w:eastAsia="Times New Roman"/>
                <w:sz w:val="15"/>
                <w:lang w:val="es-ES"/>
              </w:rPr>
              <w:t>Bandera secundaria, no diagnóstico químico.</w:t>
            </w:r>
          </w:p>
        </w:tc>
      </w:tr>
    </w:tbl>
    <w:p w14:paraId="1832FC52" w14:textId="77777777" w:rsidR="004853E1" w:rsidRPr="00353D76" w:rsidRDefault="00000000">
      <w:pPr>
        <w:spacing w:after="60" w:line="240" w:lineRule="auto"/>
        <w:jc w:val="both"/>
        <w:rPr>
          <w:lang w:val="es-ES"/>
        </w:rPr>
      </w:pPr>
      <w:r w:rsidRPr="00353D76">
        <w:rPr>
          <w:rFonts w:eastAsia="Times New Roman"/>
          <w:b/>
          <w:sz w:val="16"/>
          <w:lang w:val="es-ES"/>
        </w:rPr>
        <w:t xml:space="preserve">Fuente: </w:t>
      </w:r>
      <w:r w:rsidRPr="00353D76">
        <w:rPr>
          <w:rFonts w:eastAsia="Times New Roman"/>
          <w:sz w:val="16"/>
          <w:lang w:val="es-ES"/>
        </w:rPr>
        <w:t>Reglas preliminares sujetas a calibración con datos históricos y observación local.</w:t>
      </w:r>
    </w:p>
    <w:p w14:paraId="77068E48" w14:textId="77777777" w:rsidR="004853E1" w:rsidRPr="00353D76" w:rsidRDefault="00000000">
      <w:pPr>
        <w:keepNext/>
        <w:spacing w:before="120" w:after="40"/>
        <w:rPr>
          <w:lang w:val="es-ES"/>
        </w:rPr>
      </w:pPr>
      <w:r w:rsidRPr="00353D76">
        <w:rPr>
          <w:rFonts w:eastAsia="Times New Roman"/>
          <w:b/>
          <w:color w:val="1F4E79"/>
          <w:sz w:val="28"/>
          <w:lang w:val="es-ES"/>
        </w:rPr>
        <w:t>3. Prueba central del MVP</w:t>
      </w:r>
    </w:p>
    <w:p w14:paraId="518D5EB6" w14:textId="77777777" w:rsidR="004853E1" w:rsidRPr="00353D76" w:rsidRDefault="00000000">
      <w:pPr>
        <w:spacing w:after="0" w:line="240" w:lineRule="auto"/>
        <w:ind w:firstLine="283"/>
        <w:jc w:val="both"/>
        <w:rPr>
          <w:lang w:val="es-ES"/>
        </w:rPr>
      </w:pPr>
      <w:r w:rsidRPr="00353D76">
        <w:rPr>
          <w:rFonts w:eastAsia="Times New Roman"/>
          <w:lang w:val="es-ES"/>
        </w:rPr>
        <w:t>El MVP será juzgado por una prueba reina: comparar la misma área de interés en tres contextos de 2025. Si CDSE devuelve una señal Sentinel reproducible sobre Chitré-La Arena y esa señal se puede explicar con incertidumbre explícita, AgroShield tiene base técnica para avanzar. Si la señal falla por geometría o nubosidad, el proyecto pivota a un tramo más amplio o a atlas de riesgo de cuenca.</w:t>
      </w:r>
    </w:p>
    <w:p w14:paraId="37773E04" w14:textId="77777777" w:rsidR="004853E1" w:rsidRDefault="00000000">
      <w:pPr>
        <w:keepNext/>
        <w:spacing w:before="60" w:after="20"/>
        <w:jc w:val="center"/>
      </w:pPr>
      <w:r>
        <w:rPr>
          <w:rFonts w:eastAsia="Times New Roman"/>
          <w:b/>
          <w:sz w:val="16"/>
        </w:rPr>
        <w:t xml:space="preserve">Tabla </w:t>
      </w:r>
      <w:r>
        <w:rPr>
          <w:rFonts w:eastAsia="Times New Roman"/>
          <w:sz w:val="16"/>
        </w:rPr>
        <w:t>2. Matriz de validación histórica</w:t>
      </w:r>
    </w:p>
    <w:tbl>
      <w:tblPr>
        <w:tblStyle w:val="TableGrid"/>
        <w:tblW w:w="0" w:type="auto"/>
        <w:tblLayout w:type="fixed"/>
        <w:tblLook w:val="04A0" w:firstRow="1" w:lastRow="0" w:firstColumn="1" w:lastColumn="0" w:noHBand="0" w:noVBand="1"/>
      </w:tblPr>
      <w:tblGrid>
        <w:gridCol w:w="1702"/>
        <w:gridCol w:w="1702"/>
        <w:gridCol w:w="1702"/>
      </w:tblGrid>
      <w:tr w:rsidR="004853E1" w14:paraId="5863B179" w14:textId="77777777" w:rsidTr="00353D76">
        <w:trPr>
          <w:trHeight w:val="181"/>
        </w:trPr>
        <w:tc>
          <w:tcPr>
            <w:tcW w:w="1702" w:type="dxa"/>
            <w:shd w:val="clear" w:color="auto" w:fill="D9EAF7"/>
            <w:tcMar>
              <w:top w:w="65" w:type="dxa"/>
              <w:left w:w="90" w:type="dxa"/>
              <w:bottom w:w="65" w:type="dxa"/>
              <w:right w:w="90" w:type="dxa"/>
            </w:tcMar>
            <w:vAlign w:val="center"/>
          </w:tcPr>
          <w:p w14:paraId="7492E762" w14:textId="77777777" w:rsidR="004853E1" w:rsidRDefault="00000000">
            <w:pPr>
              <w:jc w:val="center"/>
            </w:pPr>
            <w:r>
              <w:rPr>
                <w:rFonts w:eastAsia="Times New Roman"/>
                <w:b/>
                <w:sz w:val="15"/>
              </w:rPr>
              <w:t>Ventana</w:t>
            </w:r>
          </w:p>
        </w:tc>
        <w:tc>
          <w:tcPr>
            <w:tcW w:w="1702" w:type="dxa"/>
            <w:shd w:val="clear" w:color="auto" w:fill="D9EAF7"/>
            <w:tcMar>
              <w:top w:w="65" w:type="dxa"/>
              <w:left w:w="90" w:type="dxa"/>
              <w:bottom w:w="65" w:type="dxa"/>
              <w:right w:w="90" w:type="dxa"/>
            </w:tcMar>
            <w:vAlign w:val="center"/>
          </w:tcPr>
          <w:p w14:paraId="42C382D4" w14:textId="77777777" w:rsidR="004853E1" w:rsidRDefault="00000000">
            <w:pPr>
              <w:jc w:val="center"/>
            </w:pPr>
            <w:r>
              <w:rPr>
                <w:rFonts w:eastAsia="Times New Roman"/>
                <w:b/>
                <w:sz w:val="15"/>
              </w:rPr>
              <w:t>Propósito</w:t>
            </w:r>
          </w:p>
        </w:tc>
        <w:tc>
          <w:tcPr>
            <w:tcW w:w="1702" w:type="dxa"/>
            <w:shd w:val="clear" w:color="auto" w:fill="D9EAF7"/>
            <w:tcMar>
              <w:top w:w="65" w:type="dxa"/>
              <w:left w:w="90" w:type="dxa"/>
              <w:bottom w:w="65" w:type="dxa"/>
              <w:right w:w="90" w:type="dxa"/>
            </w:tcMar>
            <w:vAlign w:val="center"/>
          </w:tcPr>
          <w:p w14:paraId="617ECBF7" w14:textId="77777777" w:rsidR="004853E1" w:rsidRDefault="00000000">
            <w:pPr>
              <w:jc w:val="center"/>
            </w:pPr>
            <w:r>
              <w:rPr>
                <w:rFonts w:eastAsia="Times New Roman"/>
                <w:b/>
                <w:sz w:val="15"/>
              </w:rPr>
              <w:t>Evidencia esperada</w:t>
            </w:r>
          </w:p>
        </w:tc>
      </w:tr>
      <w:tr w:rsidR="004853E1" w:rsidRPr="00353D76" w14:paraId="223097D8" w14:textId="77777777" w:rsidTr="00353D76">
        <w:trPr>
          <w:trHeight w:val="181"/>
        </w:trPr>
        <w:tc>
          <w:tcPr>
            <w:tcW w:w="1702" w:type="dxa"/>
            <w:tcMar>
              <w:top w:w="65" w:type="dxa"/>
              <w:left w:w="90" w:type="dxa"/>
              <w:bottom w:w="65" w:type="dxa"/>
              <w:right w:w="90" w:type="dxa"/>
            </w:tcMar>
            <w:vAlign w:val="center"/>
          </w:tcPr>
          <w:p w14:paraId="039C5AA2" w14:textId="77777777" w:rsidR="004853E1" w:rsidRDefault="00000000">
            <w:r>
              <w:rPr>
                <w:rFonts w:eastAsia="Times New Roman"/>
                <w:sz w:val="15"/>
              </w:rPr>
              <w:t>Crisis 2025</w:t>
            </w:r>
          </w:p>
        </w:tc>
        <w:tc>
          <w:tcPr>
            <w:tcW w:w="1702" w:type="dxa"/>
            <w:tcMar>
              <w:top w:w="65" w:type="dxa"/>
              <w:left w:w="90" w:type="dxa"/>
              <w:bottom w:w="65" w:type="dxa"/>
              <w:right w:w="90" w:type="dxa"/>
            </w:tcMar>
            <w:vAlign w:val="center"/>
          </w:tcPr>
          <w:p w14:paraId="204DAD01" w14:textId="77777777" w:rsidR="004853E1" w:rsidRDefault="00000000">
            <w:r>
              <w:rPr>
                <w:rFonts w:eastAsia="Times New Roman"/>
                <w:sz w:val="15"/>
              </w:rPr>
              <w:t>Buscar firma hidrosedimentaria.</w:t>
            </w:r>
          </w:p>
        </w:tc>
        <w:tc>
          <w:tcPr>
            <w:tcW w:w="1702" w:type="dxa"/>
            <w:tcMar>
              <w:top w:w="65" w:type="dxa"/>
              <w:left w:w="90" w:type="dxa"/>
              <w:bottom w:w="65" w:type="dxa"/>
              <w:right w:w="90" w:type="dxa"/>
            </w:tcMar>
            <w:vAlign w:val="center"/>
          </w:tcPr>
          <w:p w14:paraId="5EF2C306" w14:textId="77777777" w:rsidR="004853E1" w:rsidRPr="00353D76" w:rsidRDefault="00000000">
            <w:pPr>
              <w:rPr>
                <w:lang w:val="es-ES"/>
              </w:rPr>
            </w:pPr>
            <w:r w:rsidRPr="00353D76">
              <w:rPr>
                <w:rFonts w:eastAsia="Times New Roman"/>
                <w:sz w:val="15"/>
                <w:lang w:val="es-ES"/>
              </w:rPr>
              <w:t>Cambio óptico o incertidumbre documentada.</w:t>
            </w:r>
          </w:p>
        </w:tc>
      </w:tr>
      <w:tr w:rsidR="004853E1" w:rsidRPr="00353D76" w14:paraId="3ACBDDD7" w14:textId="77777777" w:rsidTr="00353D76">
        <w:trPr>
          <w:trHeight w:val="181"/>
        </w:trPr>
        <w:tc>
          <w:tcPr>
            <w:tcW w:w="1702" w:type="dxa"/>
            <w:tcMar>
              <w:top w:w="65" w:type="dxa"/>
              <w:left w:w="90" w:type="dxa"/>
              <w:bottom w:w="65" w:type="dxa"/>
              <w:right w:w="90" w:type="dxa"/>
            </w:tcMar>
            <w:vAlign w:val="center"/>
          </w:tcPr>
          <w:p w14:paraId="3D3E0B11" w14:textId="77777777" w:rsidR="004853E1" w:rsidRDefault="00000000">
            <w:r>
              <w:rPr>
                <w:rFonts w:eastAsia="Times New Roman"/>
                <w:sz w:val="15"/>
              </w:rPr>
              <w:t>Baseline cercana</w:t>
            </w:r>
          </w:p>
        </w:tc>
        <w:tc>
          <w:tcPr>
            <w:tcW w:w="1702" w:type="dxa"/>
            <w:tcMar>
              <w:top w:w="65" w:type="dxa"/>
              <w:left w:w="90" w:type="dxa"/>
              <w:bottom w:w="65" w:type="dxa"/>
              <w:right w:w="90" w:type="dxa"/>
            </w:tcMar>
            <w:vAlign w:val="center"/>
          </w:tcPr>
          <w:p w14:paraId="103B5D9A" w14:textId="77777777" w:rsidR="004853E1" w:rsidRDefault="00000000">
            <w:r>
              <w:rPr>
                <w:rFonts w:eastAsia="Times New Roman"/>
                <w:sz w:val="15"/>
              </w:rPr>
              <w:t>Comparar la misma estación.</w:t>
            </w:r>
          </w:p>
        </w:tc>
        <w:tc>
          <w:tcPr>
            <w:tcW w:w="1702" w:type="dxa"/>
            <w:tcMar>
              <w:top w:w="65" w:type="dxa"/>
              <w:left w:w="90" w:type="dxa"/>
              <w:bottom w:w="65" w:type="dxa"/>
              <w:right w:w="90" w:type="dxa"/>
            </w:tcMar>
            <w:vAlign w:val="center"/>
          </w:tcPr>
          <w:p w14:paraId="508288ED" w14:textId="77777777" w:rsidR="004853E1" w:rsidRPr="00353D76" w:rsidRDefault="00000000">
            <w:pPr>
              <w:rPr>
                <w:lang w:val="es-ES"/>
              </w:rPr>
            </w:pPr>
            <w:r w:rsidRPr="00353D76">
              <w:rPr>
                <w:rFonts w:eastAsia="Times New Roman"/>
                <w:sz w:val="15"/>
                <w:lang w:val="es-ES"/>
              </w:rPr>
              <w:t>Valores normales sobre el mismo AOI.</w:t>
            </w:r>
          </w:p>
        </w:tc>
      </w:tr>
      <w:tr w:rsidR="004853E1" w14:paraId="15C0D659" w14:textId="77777777" w:rsidTr="00353D76">
        <w:trPr>
          <w:trHeight w:val="181"/>
        </w:trPr>
        <w:tc>
          <w:tcPr>
            <w:tcW w:w="1702" w:type="dxa"/>
            <w:tcMar>
              <w:top w:w="65" w:type="dxa"/>
              <w:left w:w="90" w:type="dxa"/>
              <w:bottom w:w="65" w:type="dxa"/>
              <w:right w:w="90" w:type="dxa"/>
            </w:tcMar>
            <w:vAlign w:val="center"/>
          </w:tcPr>
          <w:p w14:paraId="3A0A509B" w14:textId="77777777" w:rsidR="004853E1" w:rsidRDefault="00000000">
            <w:r>
              <w:rPr>
                <w:rFonts w:eastAsia="Times New Roman"/>
                <w:sz w:val="15"/>
              </w:rPr>
              <w:t>Control estacional</w:t>
            </w:r>
          </w:p>
        </w:tc>
        <w:tc>
          <w:tcPr>
            <w:tcW w:w="1702" w:type="dxa"/>
            <w:tcMar>
              <w:top w:w="65" w:type="dxa"/>
              <w:left w:w="90" w:type="dxa"/>
              <w:bottom w:w="65" w:type="dxa"/>
              <w:right w:w="90" w:type="dxa"/>
            </w:tcMar>
            <w:vAlign w:val="center"/>
          </w:tcPr>
          <w:p w14:paraId="38C3196F" w14:textId="77777777" w:rsidR="004853E1" w:rsidRDefault="00000000">
            <w:r>
              <w:rPr>
                <w:rFonts w:eastAsia="Times New Roman"/>
                <w:sz w:val="15"/>
              </w:rPr>
              <w:t>Evitar falsa narrativa.</w:t>
            </w:r>
          </w:p>
        </w:tc>
        <w:tc>
          <w:tcPr>
            <w:tcW w:w="1702" w:type="dxa"/>
            <w:tcMar>
              <w:top w:w="65" w:type="dxa"/>
              <w:left w:w="90" w:type="dxa"/>
              <w:bottom w:w="65" w:type="dxa"/>
              <w:right w:w="90" w:type="dxa"/>
            </w:tcMar>
            <w:vAlign w:val="center"/>
          </w:tcPr>
          <w:p w14:paraId="2FB389F9" w14:textId="77777777" w:rsidR="004853E1" w:rsidRDefault="00000000">
            <w:r>
              <w:rPr>
                <w:rFonts w:eastAsia="Times New Roman"/>
                <w:sz w:val="15"/>
              </w:rPr>
              <w:t>Separar temporada de evento.</w:t>
            </w:r>
          </w:p>
        </w:tc>
      </w:tr>
    </w:tbl>
    <w:p w14:paraId="21EBD359" w14:textId="77777777" w:rsidR="004853E1" w:rsidRPr="00353D76" w:rsidRDefault="00000000">
      <w:pPr>
        <w:spacing w:after="60" w:line="240" w:lineRule="auto"/>
        <w:jc w:val="both"/>
        <w:rPr>
          <w:lang w:val="es-ES"/>
        </w:rPr>
      </w:pPr>
      <w:r w:rsidRPr="00353D76">
        <w:rPr>
          <w:rFonts w:eastAsia="Times New Roman"/>
          <w:b/>
          <w:sz w:val="16"/>
          <w:lang w:val="es-ES"/>
        </w:rPr>
        <w:t xml:space="preserve">Fuente: </w:t>
      </w:r>
      <w:r w:rsidRPr="00353D76">
        <w:rPr>
          <w:rFonts w:eastAsia="Times New Roman"/>
          <w:sz w:val="16"/>
          <w:lang w:val="es-ES"/>
        </w:rPr>
        <w:t>Diseño de verificación interna previo a la implementación formal del hackathon.</w:t>
      </w:r>
    </w:p>
    <w:p w14:paraId="6F17CDF4" w14:textId="77777777" w:rsidR="004853E1" w:rsidRPr="00353D76" w:rsidRDefault="00000000">
      <w:pPr>
        <w:keepNext/>
        <w:spacing w:before="120" w:after="40"/>
        <w:rPr>
          <w:lang w:val="es-ES"/>
        </w:rPr>
      </w:pPr>
      <w:r w:rsidRPr="00353D76">
        <w:rPr>
          <w:rFonts w:eastAsia="Times New Roman"/>
          <w:b/>
          <w:color w:val="1F4E79"/>
          <w:sz w:val="28"/>
          <w:lang w:val="es-ES"/>
        </w:rPr>
        <w:t>4. Construcción y validación del prototipo</w:t>
      </w:r>
    </w:p>
    <w:p w14:paraId="7F44F48F" w14:textId="77777777" w:rsidR="004853E1" w:rsidRPr="00353D76" w:rsidRDefault="00000000">
      <w:pPr>
        <w:spacing w:after="0" w:line="240" w:lineRule="auto"/>
        <w:ind w:firstLine="283"/>
        <w:jc w:val="both"/>
        <w:rPr>
          <w:lang w:val="es-ES"/>
        </w:rPr>
      </w:pPr>
      <w:r w:rsidRPr="00353D76">
        <w:rPr>
          <w:rFonts w:eastAsia="Times New Roman"/>
          <w:lang w:val="es-ES"/>
        </w:rPr>
        <w:t>La construcción inicia con código local de verificación y datos cacheados. El resultado demostrable no es una suite completa, sino una pantalla o reporte con mapa del AOI, tabla de fechas, señal óptica, confianza y recomendación. El reporte puede exportarse como PDF o HTML; la interpretación asistida por IA se limita a una plantilla generada a partir de valores calculados, sin inferencias externas ni datos inventados.</w:t>
      </w:r>
    </w:p>
    <w:p w14:paraId="136719F2" w14:textId="77777777" w:rsidR="004853E1" w:rsidRPr="00353D76" w:rsidRDefault="00000000">
      <w:pPr>
        <w:spacing w:after="0" w:line="240" w:lineRule="auto"/>
        <w:ind w:firstLine="283"/>
        <w:jc w:val="both"/>
        <w:rPr>
          <w:lang w:val="es-ES"/>
        </w:rPr>
      </w:pPr>
      <w:r w:rsidRPr="00353D76">
        <w:rPr>
          <w:rFonts w:eastAsia="Times New Roman"/>
          <w:lang w:val="es-ES"/>
        </w:rPr>
        <w:t>El bot comunitario se mantiene como canal secundario: consulta de estado, recepción de reporte y posibilidad futura de registrar observaciones de campo. NitroSync y ERA5-Land quedan como trabajo futuro para ventanas de manejo agronómico, porque requieren cultivo, etapa fenológica y calibración local.</w:t>
      </w:r>
    </w:p>
    <w:p w14:paraId="755B2676" w14:textId="77777777" w:rsidR="004853E1" w:rsidRPr="00353D76" w:rsidRDefault="00000000">
      <w:pPr>
        <w:keepNext/>
        <w:spacing w:before="120" w:after="40"/>
        <w:rPr>
          <w:lang w:val="es-ES"/>
        </w:rPr>
      </w:pPr>
      <w:r w:rsidRPr="00353D76">
        <w:rPr>
          <w:rFonts w:eastAsia="Times New Roman"/>
          <w:b/>
          <w:color w:val="1F4E79"/>
          <w:sz w:val="28"/>
          <w:lang w:val="es-ES"/>
        </w:rPr>
        <w:t>5. Oportunidades de desarrollo del prototipo</w:t>
      </w:r>
    </w:p>
    <w:p w14:paraId="44DF7CFF" w14:textId="77777777" w:rsidR="004853E1" w:rsidRPr="00353D76" w:rsidRDefault="00000000">
      <w:pPr>
        <w:spacing w:after="0" w:line="240" w:lineRule="auto"/>
        <w:ind w:firstLine="283"/>
        <w:jc w:val="both"/>
        <w:rPr>
          <w:lang w:val="es-ES"/>
        </w:rPr>
      </w:pPr>
      <w:r w:rsidRPr="00353D76">
        <w:rPr>
          <w:rFonts w:eastAsia="Times New Roman"/>
          <w:lang w:val="es-ES"/>
        </w:rPr>
        <w:t>AgroShield se diferencia porque no vende mensajería ni un tablero genérico; vende una señal Copernicus explicable para decisiones agrícolas bajo incertidumbre hídrica. Sus usuarios iniciales son técnicos de cuenca y equipos que asesoran productores. El valor se concentra en reducir ceguera operativa, priorizar muestreo, justificar pausas preventivas de riego y documentar evidencia para conversación institucional.</w:t>
      </w:r>
    </w:p>
    <w:p w14:paraId="4CCB0D7D" w14:textId="77777777" w:rsidR="004853E1" w:rsidRPr="00353D76" w:rsidRDefault="00000000">
      <w:pPr>
        <w:spacing w:after="0" w:line="240" w:lineRule="auto"/>
        <w:ind w:firstLine="283"/>
        <w:jc w:val="both"/>
        <w:rPr>
          <w:lang w:val="es-ES"/>
        </w:rPr>
      </w:pPr>
      <w:r w:rsidRPr="00353D76">
        <w:rPr>
          <w:rFonts w:eastAsia="Times New Roman"/>
          <w:lang w:val="es-ES"/>
        </w:rPr>
        <w:t>La escalabilidad debe ser progresiva: un AOI, luego varios tramos de la cuenca, luego otros nodos críticos. CDSE ofrece cuotas gratuitas útiles para el piloto [4], pero una expansión nacional exige control de frecuencia, cache y monitoreo de costo. AWS u otra nube se considera infraestructura futura, no requisito para demostrar el concepto.</w:t>
      </w:r>
    </w:p>
    <w:p w14:paraId="24D15FDC" w14:textId="77777777" w:rsidR="004853E1" w:rsidRPr="00353D76" w:rsidRDefault="00000000">
      <w:pPr>
        <w:keepNext/>
        <w:spacing w:before="120" w:after="40"/>
        <w:rPr>
          <w:lang w:val="es-ES"/>
        </w:rPr>
      </w:pPr>
      <w:r w:rsidRPr="00353D76">
        <w:rPr>
          <w:rFonts w:eastAsia="Times New Roman"/>
          <w:b/>
          <w:color w:val="1F4E79"/>
          <w:sz w:val="28"/>
          <w:lang w:val="es-ES"/>
        </w:rPr>
        <w:t>6. Conclusiones</w:t>
      </w:r>
    </w:p>
    <w:p w14:paraId="0F574089" w14:textId="77777777" w:rsidR="004853E1" w:rsidRPr="00353D76" w:rsidRDefault="00000000">
      <w:pPr>
        <w:spacing w:after="0" w:line="240" w:lineRule="auto"/>
        <w:ind w:firstLine="283"/>
        <w:jc w:val="both"/>
        <w:rPr>
          <w:lang w:val="es-ES"/>
        </w:rPr>
      </w:pPr>
      <w:r w:rsidRPr="00353D76">
        <w:rPr>
          <w:rFonts w:eastAsia="Times New Roman"/>
          <w:lang w:val="es-ES"/>
        </w:rPr>
        <w:t>AgroShield puede competir si se presenta como una respuesta simple y verificable: una cuenca real, una crisis real, un AOI real, una señal Sentinel real y una decisión agrícola simple. La contribución principal es convertir Copernicus en un semáforo trazable de inocuidad hídrica agrícola, sin ocultar incertidumbre ni prometer detección química directa.</w:t>
      </w:r>
    </w:p>
    <w:p w14:paraId="2153716F" w14:textId="77777777" w:rsidR="004853E1" w:rsidRPr="00353D76" w:rsidRDefault="00000000">
      <w:pPr>
        <w:spacing w:after="0" w:line="240" w:lineRule="auto"/>
        <w:ind w:firstLine="283"/>
        <w:jc w:val="both"/>
        <w:rPr>
          <w:lang w:val="es-ES"/>
        </w:rPr>
      </w:pPr>
      <w:r w:rsidRPr="00353D76">
        <w:rPr>
          <w:rFonts w:eastAsia="Times New Roman"/>
          <w:lang w:val="es-ES"/>
        </w:rPr>
        <w:t>El siguiente hito es ejecutar la prueba histórica y producir una primera evidencia visual. Si la señal se confirma, el MVP avanza hacia reporte reproducible y canal comunitario; si no, el proyecto conserva valor como atlas de riesgo hídrico o monitoreo ribereño. En ambos casos, la metodología evita sobreingeniería y mantiene foco en seguridad alimentaria.</w:t>
      </w:r>
    </w:p>
    <w:p w14:paraId="19336281" w14:textId="77777777" w:rsidR="004853E1" w:rsidRPr="00353D76" w:rsidRDefault="00000000">
      <w:pPr>
        <w:keepNext/>
        <w:spacing w:before="120" w:after="40"/>
        <w:rPr>
          <w:lang w:val="es-ES"/>
        </w:rPr>
      </w:pPr>
      <w:r w:rsidRPr="00353D76">
        <w:rPr>
          <w:rFonts w:eastAsia="Times New Roman"/>
          <w:b/>
          <w:color w:val="1F4E79"/>
          <w:sz w:val="28"/>
          <w:lang w:val="es-ES"/>
        </w:rPr>
        <w:t>AGRADECIMIENTOS</w:t>
      </w:r>
    </w:p>
    <w:p w14:paraId="6356A4A9" w14:textId="77777777" w:rsidR="004853E1" w:rsidRPr="00353D76" w:rsidRDefault="00000000">
      <w:pPr>
        <w:spacing w:after="0" w:line="240" w:lineRule="auto"/>
        <w:jc w:val="both"/>
        <w:rPr>
          <w:lang w:val="es-ES"/>
        </w:rPr>
      </w:pPr>
      <w:r w:rsidRPr="00353D76">
        <w:rPr>
          <w:rFonts w:eastAsia="Times New Roman"/>
          <w:lang w:val="es-ES"/>
        </w:rPr>
        <w:t>Se reconoce el marco de innovación abierta del CopernicusLAC Hackathon 2026 y la guía metodológica de prototipado de la Jornada de Iniciación Científica de la Universidad Tecnológica de Panamá.</w:t>
      </w:r>
    </w:p>
    <w:p w14:paraId="0DF7D146" w14:textId="77777777" w:rsidR="004853E1" w:rsidRDefault="00000000">
      <w:pPr>
        <w:keepNext/>
        <w:spacing w:before="120" w:after="40"/>
      </w:pPr>
      <w:r>
        <w:rPr>
          <w:rFonts w:eastAsia="Times New Roman"/>
          <w:b/>
          <w:color w:val="1F4E79"/>
          <w:sz w:val="28"/>
        </w:rPr>
        <w:t>REFERENCIAS</w:t>
      </w:r>
    </w:p>
    <w:p w14:paraId="772410CA" w14:textId="77777777" w:rsidR="004853E1" w:rsidRDefault="00000000">
      <w:pPr>
        <w:spacing w:after="20" w:line="240" w:lineRule="auto"/>
        <w:ind w:left="198" w:hanging="198"/>
        <w:jc w:val="both"/>
      </w:pPr>
      <w:r>
        <w:rPr>
          <w:rFonts w:eastAsia="Times New Roman"/>
          <w:sz w:val="15"/>
        </w:rPr>
        <w:t>[1] CopernicusLAC Panama Centre, "CopernicusLAC Hackathon 2026: Innovation in sustainable agriculture using Earth observation data," 2026. Available: https://www.copernicuslac-panama.eu/events-and-trainings/events-en/copernicus-lac-hackathon-2026-innovation-in-sustainable-agriculture-using-earth-observation-data/</w:t>
      </w:r>
    </w:p>
    <w:p w14:paraId="3DA51596" w14:textId="77777777" w:rsidR="004853E1" w:rsidRDefault="00000000">
      <w:pPr>
        <w:spacing w:after="20" w:line="240" w:lineRule="auto"/>
        <w:ind w:left="198" w:hanging="198"/>
        <w:jc w:val="both"/>
      </w:pPr>
      <w:r>
        <w:rPr>
          <w:rFonts w:eastAsia="Times New Roman"/>
          <w:sz w:val="15"/>
        </w:rPr>
        <w:t>[2] European Space Agency, "Sentinel-2 mission," 2026. Available: https://www.esa.int/Applications/Observing_the_Earth/Copernicus/Sentinel-2</w:t>
      </w:r>
    </w:p>
    <w:p w14:paraId="0139ED3E" w14:textId="77777777" w:rsidR="004853E1" w:rsidRDefault="00000000">
      <w:pPr>
        <w:spacing w:after="20" w:line="240" w:lineRule="auto"/>
        <w:ind w:left="198" w:hanging="198"/>
        <w:jc w:val="both"/>
      </w:pPr>
      <w:r>
        <w:rPr>
          <w:rFonts w:eastAsia="Times New Roman"/>
          <w:sz w:val="15"/>
        </w:rPr>
        <w:t>[3] European Space Agency, "Sentinel-1 mission," 2026. Available: https://www.esa.int/Applications/Observing_the_Earth/Copernicus/Sentinel-1</w:t>
      </w:r>
    </w:p>
    <w:p w14:paraId="264F1D85" w14:textId="77777777" w:rsidR="004853E1" w:rsidRDefault="00000000">
      <w:pPr>
        <w:spacing w:after="20" w:line="240" w:lineRule="auto"/>
        <w:ind w:left="198" w:hanging="198"/>
        <w:jc w:val="both"/>
      </w:pPr>
      <w:r>
        <w:rPr>
          <w:rFonts w:eastAsia="Times New Roman"/>
          <w:sz w:val="15"/>
        </w:rPr>
        <w:t>[4] Copernicus Data Space Ecosystem, "Quotas and limitations," 2026. Available: https://documentation.dataspace.copernicus.eu/Quotas.html</w:t>
      </w:r>
    </w:p>
    <w:p w14:paraId="442C416C" w14:textId="77777777" w:rsidR="004853E1" w:rsidRDefault="00000000">
      <w:pPr>
        <w:spacing w:after="20" w:line="240" w:lineRule="auto"/>
        <w:ind w:left="198" w:hanging="198"/>
        <w:jc w:val="both"/>
      </w:pPr>
      <w:r>
        <w:rPr>
          <w:rFonts w:eastAsia="Times New Roman"/>
          <w:sz w:val="15"/>
        </w:rPr>
        <w:t>[5] Climate Hazards Center, University of California Santa Barbara, "CHIRPS," 2026. Available: https://www.chc.ucsb.edu/data/chirps</w:t>
      </w:r>
    </w:p>
    <w:p w14:paraId="70D6A3DC" w14:textId="77777777" w:rsidR="004853E1" w:rsidRDefault="00000000">
      <w:pPr>
        <w:spacing w:after="20" w:line="240" w:lineRule="auto"/>
        <w:ind w:left="198" w:hanging="198"/>
        <w:jc w:val="both"/>
      </w:pPr>
      <w:r>
        <w:rPr>
          <w:rFonts w:eastAsia="Times New Roman"/>
          <w:sz w:val="15"/>
        </w:rPr>
        <w:t>[6] H. Xu, "Modification of normalised difference water index (NDWI) to enhance open water features in remotely sensed imagery," International Journal of Remote Sensing, vol. 27, no. 14, pp. 3025-3033, 2006.</w:t>
      </w:r>
    </w:p>
    <w:p w14:paraId="75592C59" w14:textId="77777777" w:rsidR="004853E1" w:rsidRDefault="00000000">
      <w:pPr>
        <w:spacing w:after="20" w:line="240" w:lineRule="auto"/>
        <w:ind w:left="198" w:hanging="198"/>
        <w:jc w:val="both"/>
      </w:pPr>
      <w:r>
        <w:rPr>
          <w:rFonts w:eastAsia="Times New Roman"/>
          <w:sz w:val="15"/>
        </w:rPr>
        <w:lastRenderedPageBreak/>
        <w:t>[7] S. Mishra and D. R. Mishra, "Normalized difference chlorophyll index," Remote Sensing of Environment, vol. 117, pp. 394-406, 2012.</w:t>
      </w:r>
    </w:p>
    <w:p w14:paraId="7907553B" w14:textId="77777777" w:rsidR="004853E1" w:rsidRDefault="00000000">
      <w:pPr>
        <w:spacing w:after="20" w:line="240" w:lineRule="auto"/>
        <w:ind w:left="198" w:hanging="198"/>
        <w:jc w:val="both"/>
      </w:pPr>
      <w:r w:rsidRPr="00353D76">
        <w:rPr>
          <w:rFonts w:eastAsia="Times New Roman"/>
          <w:sz w:val="15"/>
          <w:lang w:val="es-ES"/>
        </w:rPr>
        <w:t xml:space="preserve">[8] Ministerio de Ambiente de Panamá, "MiAmbiente anuncia estabilización de la situación del río La Villa," 2025. </w:t>
      </w:r>
      <w:r>
        <w:rPr>
          <w:rFonts w:eastAsia="Times New Roman"/>
          <w:sz w:val="15"/>
        </w:rPr>
        <w:t>Available: https://miambiente.gob.pa/miambiente-anuncia-estabilizacion-de-la-situacion-del-rio-la-villa-y-mejora-en-la-calidad-del-agua/</w:t>
      </w:r>
    </w:p>
    <w:p w14:paraId="295D9EDD" w14:textId="77777777" w:rsidR="004853E1" w:rsidRDefault="00000000">
      <w:pPr>
        <w:spacing w:after="20" w:line="240" w:lineRule="auto"/>
        <w:ind w:left="198" w:hanging="198"/>
        <w:jc w:val="both"/>
      </w:pPr>
      <w:r w:rsidRPr="00353D76">
        <w:rPr>
          <w:rFonts w:eastAsia="Times New Roman"/>
          <w:sz w:val="15"/>
          <w:lang w:val="es-ES"/>
        </w:rPr>
        <w:t xml:space="preserve">[9] Ministerio de Desarrollo Agropecuario de Panamá, "Avanzan acciones interinstitucionales para la recuperación de la cuenca del río La Villa," 2026. </w:t>
      </w:r>
      <w:r>
        <w:rPr>
          <w:rFonts w:eastAsia="Times New Roman"/>
          <w:sz w:val="15"/>
        </w:rPr>
        <w:t>Available: https://mida.gob.pa/2026/01/19/avanzan-acciones-interinstitucionales-para-la-recuperacion-de-la-cuenca-del-rio-la-villa/</w:t>
      </w:r>
    </w:p>
    <w:p w14:paraId="07A44374" w14:textId="77777777" w:rsidR="004853E1" w:rsidRDefault="00000000">
      <w:pPr>
        <w:spacing w:after="20" w:line="240" w:lineRule="auto"/>
        <w:ind w:left="198" w:hanging="198"/>
        <w:jc w:val="both"/>
      </w:pPr>
      <w:r>
        <w:rPr>
          <w:rFonts w:eastAsia="Times New Roman"/>
          <w:sz w:val="15"/>
        </w:rPr>
        <w:t>[10] GLOBALG.A.P., "Integrated Farm Assurance Version 6," 2026. Available: https://www.globalgap.org/uk_en/for-producers/globalg.a.p./integrated-farm-assurance-ifa/IFA-V6/</w:t>
      </w:r>
    </w:p>
    <w:sectPr w:rsidR="004853E1" w:rsidSect="00034616">
      <w:type w:val="continuous"/>
      <w:pgSz w:w="12240" w:h="15840"/>
      <w:pgMar w:top="1701" w:right="850" w:bottom="1417" w:left="850" w:header="709" w:footer="709" w:gutter="0"/>
      <w:cols w:num="2" w:space="56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2393017">
    <w:abstractNumId w:val="8"/>
  </w:num>
  <w:num w:numId="2" w16cid:durableId="1128816008">
    <w:abstractNumId w:val="6"/>
  </w:num>
  <w:num w:numId="3" w16cid:durableId="916551910">
    <w:abstractNumId w:val="5"/>
  </w:num>
  <w:num w:numId="4" w16cid:durableId="2140875091">
    <w:abstractNumId w:val="4"/>
  </w:num>
  <w:num w:numId="5" w16cid:durableId="621883001">
    <w:abstractNumId w:val="7"/>
  </w:num>
  <w:num w:numId="6" w16cid:durableId="355737855">
    <w:abstractNumId w:val="3"/>
  </w:num>
  <w:num w:numId="7" w16cid:durableId="2071149871">
    <w:abstractNumId w:val="2"/>
  </w:num>
  <w:num w:numId="8" w16cid:durableId="803351597">
    <w:abstractNumId w:val="1"/>
  </w:num>
  <w:num w:numId="9" w16cid:durableId="1671519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3D76"/>
    <w:rsid w:val="004853E1"/>
    <w:rsid w:val="004C27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88777"/>
  <w14:defaultImageDpi w14:val="300"/>
  <w15:docId w15:val="{37DCCB02-0DBD-45A9-AE59-EB5F9DBCE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1470</Words>
  <Characters>8381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RODRIGUEZ</cp:lastModifiedBy>
  <cp:revision>2</cp:revision>
  <dcterms:created xsi:type="dcterms:W3CDTF">2013-12-23T23:15:00Z</dcterms:created>
  <dcterms:modified xsi:type="dcterms:W3CDTF">2026-05-13T20:44:00Z</dcterms:modified>
  <cp:category/>
</cp:coreProperties>
</file>