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i w:val="0"/>
          <w:color w:val="1F4E79"/>
          <w:sz w:val="48"/>
        </w:rPr>
        <w:t>AgroShield</w:t>
      </w:r>
    </w:p>
    <w:p>
      <w:pPr>
        <w:jc w:val="center"/>
      </w:pPr>
      <w:r>
        <w:rPr>
          <w:rFonts w:ascii="Times New Roman" w:hAnsi="Times New Roman" w:eastAsia="Times New Roman"/>
          <w:b w:val="0"/>
          <w:i w:val="0"/>
          <w:sz w:val="32"/>
        </w:rPr>
        <w:t>Roadmap técnico, arquitectura y alcance modular</w:t>
      </w:r>
    </w:p>
    <w:p>
      <w:pPr>
        <w:jc w:val="center"/>
      </w:pPr>
      <w:r>
        <w:rPr>
          <w:rFonts w:ascii="Times New Roman" w:hAnsi="Times New Roman" w:eastAsia="Times New Roman"/>
          <w:b w:val="0"/>
          <w:i/>
          <w:sz w:val="22"/>
        </w:rPr>
        <w:t>CopernicusLAC Hackathon 2026 - Documento interno de diseño</w:t>
      </w:r>
    </w:p>
    <w:p>
      <w:pPr>
        <w:keepNext/>
        <w:spacing w:before="200" w:after="80"/>
      </w:pPr>
      <w:r>
        <w:rPr>
          <w:rFonts w:ascii="Times New Roman" w:hAnsi="Times New Roman" w:eastAsia="Times New Roman"/>
          <w:b/>
          <w:i w:val="0"/>
          <w:color w:val="1F4E79"/>
          <w:sz w:val="30"/>
        </w:rPr>
        <w:t>1. Decisión de producto</w:t>
      </w:r>
    </w:p>
    <w:p>
      <w:pPr>
        <w:spacing w:after="0" w:before="0" w:line="240" w:lineRule="auto"/>
        <w:ind w:firstLine="283"/>
        <w:jc w:val="both"/>
      </w:pPr>
      <w:r>
        <w:rPr>
          <w:rFonts w:ascii="Times New Roman" w:hAnsi="Times New Roman" w:eastAsia="Times New Roman"/>
          <w:b w:val="0"/>
          <w:i w:val="0"/>
          <w:sz w:val="20"/>
        </w:rPr>
        <w:t>La versión competitiva de AgroShield debe iniciar como semáforo Copernicus de riesgo hídrico para inocuidad agrícola en Azuero. El producto no es una suite climática, ni un bot de mensajería, ni una plataforma nacional desde el primer día. El núcleo es una señal reproducible: AOI Chitré-La Arena, CDSE, Sentinel-2, línea base histórica, reglas transparentes y reporte técnico.</w:t>
      </w:r>
    </w:p>
    <w:p>
      <w:pPr>
        <w:spacing w:after="0" w:before="0" w:line="240" w:lineRule="auto"/>
        <w:ind w:firstLine="283"/>
        <w:jc w:val="both"/>
      </w:pPr>
      <w:r>
        <w:rPr>
          <w:rFonts w:ascii="Times New Roman" w:hAnsi="Times New Roman" w:eastAsia="Times New Roman"/>
          <w:b w:val="0"/>
          <w:i w:val="0"/>
          <w:sz w:val="20"/>
        </w:rPr>
        <w:t>El usuario primario es el técnico de cuenca. Los productores, instituciones y comunidades reciben valor a través de reportes y canales secundarios. Esta separación evita que el MVP intente satisfacer simultáneamente fiscalización, exportación, comunicación pública y operación de planta.</w:t>
      </w:r>
    </w:p>
    <w:p>
      <w:pPr>
        <w:keepNext/>
        <w:spacing w:before="200" w:after="80"/>
      </w:pPr>
      <w:r>
        <w:rPr>
          <w:rFonts w:ascii="Times New Roman" w:hAnsi="Times New Roman" w:eastAsia="Times New Roman"/>
          <w:b/>
          <w:i w:val="0"/>
          <w:color w:val="1F4E79"/>
          <w:sz w:val="30"/>
        </w:rPr>
        <w:t>2. Alcance por fases</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1361"/>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Fase</w:t>
            </w:r>
          </w:p>
        </w:tc>
        <w:tc>
          <w:tcPr>
            <w:tcW w:type="dxa" w:w="2268"/>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Objetivo</w:t>
            </w:r>
          </w:p>
        </w:tc>
        <w:tc>
          <w:tcPr>
            <w:tcW w:type="dxa" w:w="2438"/>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Entregable</w:t>
            </w:r>
          </w:p>
        </w:tc>
        <w:tc>
          <w:tcPr>
            <w:tcW w:type="dxa" w:w="2494"/>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Criterio de salida</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0. Spike interno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Confirmar señal histórica.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Script local + capturas + tabla.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AOI y baseline defendibles.</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1. MVP hackathon</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Semáforo reproducible.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Pantalla/reporte con prueba reina.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Estado explicado en 15 segundos.</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2. Prototipo funcional</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Automatizar consulta y reporte.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Pipeline CDSE + PDF/HTML.</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Resultados cacheados y auditables.</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3. Canal comunitario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Consulta y difusión.</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Bot WhatsApp secundario.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No depende del bot para crear valor.</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4. Escala cuenca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Varios tramos Río La Villa.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Config AOI multi-nodo.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Costo y cuotas monitoreadas.</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5. Módulos futuros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Agronomía y expansión.</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NitroSync, ERA5-Land, más cuencas.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Calibración con expertos.</w:t>
            </w:r>
          </w:p>
        </w:tc>
      </w:tr>
    </w:tbl>
    <w:p>
      <w:pPr>
        <w:keepNext/>
        <w:spacing w:before="200" w:after="80"/>
      </w:pPr>
      <w:r>
        <w:rPr>
          <w:rFonts w:ascii="Times New Roman" w:hAnsi="Times New Roman" w:eastAsia="Times New Roman"/>
          <w:b/>
          <w:i w:val="0"/>
          <w:color w:val="1F4E79"/>
          <w:sz w:val="30"/>
        </w:rPr>
        <w:t>3. Arquitectura del MVP</w:t>
      </w:r>
    </w:p>
    <w:p>
      <w:pPr>
        <w:spacing w:after="0" w:before="0" w:line="240" w:lineRule="auto"/>
        <w:ind w:firstLine="283"/>
        <w:jc w:val="both"/>
      </w:pPr>
      <w:r>
        <w:rPr>
          <w:rFonts w:ascii="Times New Roman" w:hAnsi="Times New Roman" w:eastAsia="Times New Roman"/>
          <w:b w:val="0"/>
          <w:i w:val="0"/>
          <w:sz w:val="20"/>
        </w:rPr>
        <w:t>El MVP se ejecuta localmente o en una función serverless simple. La prioridad es reproducibilidad, no despliegue. Cada corrida debe tomar una configuración AOI, una fecha o ventana temporal, consultar o leer cache de CDSE, calcular señales y producir un objeto de evidencia.</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1474"/>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Capa</w:t>
            </w:r>
          </w:p>
        </w:tc>
        <w:tc>
          <w:tcPr>
            <w:tcW w:type="dxa" w:w="2268"/>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Responsabilidad</w:t>
            </w:r>
          </w:p>
        </w:tc>
        <w:tc>
          <w:tcPr>
            <w:tcW w:type="dxa" w:w="2381"/>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Implementación mínima</w:t>
            </w:r>
          </w:p>
        </w:tc>
        <w:tc>
          <w:tcPr>
            <w:tcW w:type="dxa" w:w="2438"/>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Evolución</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Configuración</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AOI, fechas, umbrales.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JSON/YAML local.</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Panel administrativo.</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Adquisición</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CDSE Sentinel-2.</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Statistical API o cache.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Scheduler + control de cuota.</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Procesamiento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Máscara agua, señal óptica, confianza.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Python puro.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Lambda/container.</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Reglas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Semáforo transparente.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Condiciones if/else auditables.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Calibración estadística.</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Reporte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Evidencia y recomendación.</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HTML/PDF simple.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Plantillas institucionales.</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Canal</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Entrega de reporte.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Manual o enlace.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WhatsApp comunitario.</w:t>
            </w:r>
          </w:p>
        </w:tc>
      </w:tr>
    </w:tbl>
    <w:p>
      <w:pPr>
        <w:keepNext/>
        <w:spacing w:before="140" w:after="40"/>
      </w:pPr>
      <w:r>
        <w:rPr>
          <w:rFonts w:ascii="Times New Roman" w:hAnsi="Times New Roman" w:eastAsia="Times New Roman"/>
          <w:b/>
          <w:i w:val="0"/>
          <w:sz w:val="24"/>
        </w:rPr>
        <w:t>Objeto de evidencia</w:t>
      </w:r>
    </w:p>
    <w:p>
      <w:pPr>
        <w:spacing w:after="0" w:before="0" w:line="240" w:lineRule="auto"/>
        <w:ind w:firstLine="283"/>
        <w:jc w:val="both"/>
      </w:pPr>
      <w:r>
        <w:rPr>
          <w:rFonts w:ascii="Times New Roman" w:hAnsi="Times New Roman" w:eastAsia="Times New Roman"/>
          <w:b w:val="0"/>
          <w:i w:val="0"/>
          <w:sz w:val="20"/>
        </w:rPr>
        <w:t>El contrato interno debe ser pequeño. Un registro por observación contiene: fecha, AOI, fuente, porcentaje de nube, píxeles válidos, estadísticos de índice, baseline usado, estado, confianza, explicación y recomendaciones. Este objeto alimenta pantalla, reporte e interpretación asistida sin duplicar lógica.</w:t>
      </w:r>
    </w:p>
    <w:tbl>
      <w:tblPr>
        <w:tblStyle w:val="TableGrid"/>
        <w:tblW w:type="auto" w:w="0"/>
        <w:tblLayout w:type="fixed"/>
        <w:tblLook w:firstColumn="1" w:firstRow="1" w:lastColumn="0" w:lastRow="0" w:noHBand="0" w:noVBand="1" w:val="04A0"/>
      </w:tblPr>
      <w:tblGrid>
        <w:gridCol w:w="3513"/>
        <w:gridCol w:w="3513"/>
        <w:gridCol w:w="3513"/>
      </w:tblGrid>
      <w:tr>
        <w:tc>
          <w:tcPr>
            <w:tcW w:type="dxa" w:w="1701"/>
            <w:vAlign w:val="center"/>
            <w:tcMar>
              <w:top w:w="65" w:type="dxa"/>
              <w:start w:w="90" w:type="dxa"/>
              <w:bottom w:w="65" w:type="dxa"/>
              <w:end w:w="90" w:type="dxa"/>
            </w:tcMar>
            <w:shd w:fill="EDEDED"/>
          </w:tcPr>
          <w:p>
            <w:pPr>
              <w:spacing w:after="0" w:line="240" w:lineRule="auto"/>
              <w:jc w:val="center"/>
            </w:pPr>
            <w:r/>
            <w:r>
              <w:rPr>
                <w:rFonts w:ascii="Times New Roman" w:hAnsi="Times New Roman" w:eastAsia="Times New Roman"/>
                <w:b/>
                <w:i w:val="0"/>
                <w:sz w:val="16"/>
              </w:rPr>
              <w:t>Campo</w:t>
            </w:r>
          </w:p>
        </w:tc>
        <w:tc>
          <w:tcPr>
            <w:tcW w:type="dxa" w:w="1701"/>
            <w:vAlign w:val="center"/>
            <w:tcMar>
              <w:top w:w="65" w:type="dxa"/>
              <w:start w:w="90" w:type="dxa"/>
              <w:bottom w:w="65" w:type="dxa"/>
              <w:end w:w="90" w:type="dxa"/>
            </w:tcMar>
            <w:shd w:fill="EDEDED"/>
          </w:tcPr>
          <w:p>
            <w:pPr>
              <w:spacing w:after="0" w:line="240" w:lineRule="auto"/>
              <w:jc w:val="center"/>
            </w:pPr>
            <w:r/>
            <w:r>
              <w:rPr>
                <w:rFonts w:ascii="Times New Roman" w:hAnsi="Times New Roman" w:eastAsia="Times New Roman"/>
                <w:b/>
                <w:i w:val="0"/>
                <w:sz w:val="16"/>
              </w:rPr>
              <w:t>Tipo</w:t>
            </w:r>
          </w:p>
        </w:tc>
        <w:tc>
          <w:tcPr>
            <w:tcW w:type="dxa" w:w="4762"/>
            <w:vAlign w:val="center"/>
            <w:tcMar>
              <w:top w:w="65" w:type="dxa"/>
              <w:start w:w="90" w:type="dxa"/>
              <w:bottom w:w="65" w:type="dxa"/>
              <w:end w:w="90" w:type="dxa"/>
            </w:tcMar>
            <w:shd w:fill="EDEDED"/>
          </w:tcPr>
          <w:p>
            <w:pPr>
              <w:spacing w:after="0" w:line="240" w:lineRule="auto"/>
              <w:jc w:val="center"/>
            </w:pPr>
            <w:r/>
            <w:r>
              <w:rPr>
                <w:rFonts w:ascii="Times New Roman" w:hAnsi="Times New Roman" w:eastAsia="Times New Roman"/>
                <w:b/>
                <w:i w:val="0"/>
                <w:sz w:val="16"/>
              </w:rPr>
              <w:t>Notas</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aoi_id</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string</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Ej. chitre_la_arena.</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date</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YYYY-MM-DD</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Fecha de adquisición o ventana.</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valid_pixels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number</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Usado para confianza.</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optical_signal</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number</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NDTI/red-green/MNDWI según validación.</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baseline_delta</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number</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Diferencia contra control comparable.</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status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enum</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green, amber, red, uncertain.</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explanation</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string</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Texto generado por plantilla/IA controlada.</w:t>
            </w:r>
          </w:p>
        </w:tc>
      </w:tr>
    </w:tbl>
    <w:p>
      <w:pPr>
        <w:keepNext/>
        <w:spacing w:before="200" w:after="80"/>
      </w:pPr>
      <w:r>
        <w:rPr>
          <w:rFonts w:ascii="Times New Roman" w:hAnsi="Times New Roman" w:eastAsia="Times New Roman"/>
          <w:b/>
          <w:i w:val="0"/>
          <w:color w:val="1F4E79"/>
          <w:sz w:val="30"/>
        </w:rPr>
        <w:t>4. Reglas del semáforo</w:t>
      </w:r>
    </w:p>
    <w:p>
      <w:pPr>
        <w:spacing w:after="0" w:before="0" w:line="240" w:lineRule="auto"/>
        <w:ind w:firstLine="283"/>
        <w:jc w:val="both"/>
      </w:pPr>
      <w:r>
        <w:rPr>
          <w:rFonts w:ascii="Times New Roman" w:hAnsi="Times New Roman" w:eastAsia="Times New Roman"/>
          <w:b w:val="0"/>
          <w:i w:val="0"/>
          <w:sz w:val="20"/>
        </w:rPr>
        <w:t>No usar pesos compuestos hasta tener calibración. La primera versión debe operar con reglas que un jurado pueda auditar visualmente. El orden importa: primero confianza, luego agua, luego anomalía, luego contexto de lluvia.</w:t>
      </w:r>
    </w:p>
    <w:tbl>
      <w:tblPr>
        <w:tblStyle w:val="TableGrid"/>
        <w:tblW w:type="auto" w:w="0"/>
        <w:tblLayout w:type="fixed"/>
        <w:tblLook w:firstColumn="1" w:firstRow="1" w:lastColumn="0" w:lastRow="0" w:noHBand="0" w:noVBand="1" w:val="04A0"/>
      </w:tblPr>
      <w:tblGrid>
        <w:gridCol w:w="3513"/>
        <w:gridCol w:w="3513"/>
        <w:gridCol w:w="3513"/>
      </w:tblGrid>
      <w:tr>
        <w:tc>
          <w:tcPr>
            <w:tcW w:type="dxa" w:w="964"/>
            <w:vAlign w:val="center"/>
            <w:tcMar>
              <w:top w:w="65" w:type="dxa"/>
              <w:start w:w="90" w:type="dxa"/>
              <w:bottom w:w="65" w:type="dxa"/>
              <w:end w:w="90" w:type="dxa"/>
            </w:tcMar>
            <w:shd w:fill="FFF2CC"/>
          </w:tcPr>
          <w:p>
            <w:pPr>
              <w:spacing w:after="0" w:line="240" w:lineRule="auto"/>
              <w:jc w:val="center"/>
            </w:pPr>
            <w:r/>
            <w:r>
              <w:rPr>
                <w:rFonts w:ascii="Times New Roman" w:hAnsi="Times New Roman" w:eastAsia="Times New Roman"/>
                <w:b/>
                <w:i w:val="0"/>
                <w:sz w:val="16"/>
              </w:rPr>
              <w:t>Orden</w:t>
            </w:r>
          </w:p>
        </w:tc>
        <w:tc>
          <w:tcPr>
            <w:tcW w:type="dxa" w:w="4649"/>
            <w:vAlign w:val="center"/>
            <w:tcMar>
              <w:top w:w="65" w:type="dxa"/>
              <w:start w:w="90" w:type="dxa"/>
              <w:bottom w:w="65" w:type="dxa"/>
              <w:end w:w="90" w:type="dxa"/>
            </w:tcMar>
            <w:shd w:fill="FFF2CC"/>
          </w:tcPr>
          <w:p>
            <w:pPr>
              <w:spacing w:after="0" w:line="240" w:lineRule="auto"/>
              <w:jc w:val="center"/>
            </w:pPr>
            <w:r/>
            <w:r>
              <w:rPr>
                <w:rFonts w:ascii="Times New Roman" w:hAnsi="Times New Roman" w:eastAsia="Times New Roman"/>
                <w:b/>
                <w:i w:val="0"/>
                <w:sz w:val="16"/>
              </w:rPr>
              <w:t>Regla</w:t>
            </w:r>
          </w:p>
        </w:tc>
        <w:tc>
          <w:tcPr>
            <w:tcW w:type="dxa" w:w="2835"/>
            <w:vAlign w:val="center"/>
            <w:tcMar>
              <w:top w:w="65" w:type="dxa"/>
              <w:start w:w="90" w:type="dxa"/>
              <w:bottom w:w="65" w:type="dxa"/>
              <w:end w:w="90" w:type="dxa"/>
            </w:tcMar>
            <w:shd w:fill="FFF2CC"/>
          </w:tcPr>
          <w:p>
            <w:pPr>
              <w:spacing w:after="0" w:line="240" w:lineRule="auto"/>
              <w:jc w:val="center"/>
            </w:pPr>
            <w:r/>
            <w:r>
              <w:rPr>
                <w:rFonts w:ascii="Times New Roman" w:hAnsi="Times New Roman" w:eastAsia="Times New Roman"/>
                <w:b/>
                <w:i w:val="0"/>
                <w:sz w:val="16"/>
              </w:rPr>
              <w:t>Resultado</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1</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Nube alta o píxeles válidos insuficientes.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UNCERTAIN.</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2</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No se confirma agua en el AOI.</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UNCERTAIN o AOI inválido.</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3</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Señal óptica similar a baseline.</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GREEN.</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4</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Señal óptica elevada vs. baseline.</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AMBER.</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5</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Señal elevada + lluvia antecedente fuerte.</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RED.</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6</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NDCI elevado.</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Flag biológico, no diagnóstico.</w:t>
            </w:r>
          </w:p>
        </w:tc>
      </w:tr>
    </w:tbl>
    <w:p>
      <w:pPr>
        <w:keepNext/>
        <w:spacing w:before="200" w:after="80"/>
      </w:pPr>
      <w:r>
        <w:rPr>
          <w:rFonts w:ascii="Times New Roman" w:hAnsi="Times New Roman" w:eastAsia="Times New Roman"/>
          <w:b/>
          <w:i w:val="0"/>
          <w:color w:val="1F4E79"/>
          <w:sz w:val="30"/>
        </w:rPr>
        <w:t>5. Roadmap de módulos</w:t>
      </w:r>
    </w:p>
    <w:p>
      <w:pPr>
        <w:keepNext/>
        <w:spacing w:before="140" w:after="40"/>
      </w:pPr>
      <w:r>
        <w:rPr>
          <w:rFonts w:ascii="Times New Roman" w:hAnsi="Times New Roman" w:eastAsia="Times New Roman"/>
          <w:b/>
          <w:i w:val="0"/>
          <w:sz w:val="24"/>
        </w:rPr>
        <w:t>5.1 Reporte técnico automático</w:t>
      </w:r>
    </w:p>
    <w:p>
      <w:pPr>
        <w:spacing w:after="0" w:before="0" w:line="240" w:lineRule="auto"/>
        <w:ind w:firstLine="283"/>
        <w:jc w:val="both"/>
      </w:pPr>
      <w:r>
        <w:rPr>
          <w:rFonts w:ascii="Times New Roman" w:hAnsi="Times New Roman" w:eastAsia="Times New Roman"/>
          <w:b w:val="0"/>
          <w:i w:val="0"/>
          <w:sz w:val="20"/>
        </w:rPr>
        <w:t>Debe ser la pieza de confianza. Contiene mapa o captura del AOI, fechas comparadas, señales, confianza, estado y limitación explícita. No se presenta como certificado GLOBALG.A.P.; se presenta como evidencia técnica para orientar decisión y priorizar muestreo.</w:t>
      </w:r>
    </w:p>
    <w:p>
      <w:pPr>
        <w:keepNext/>
        <w:spacing w:before="140" w:after="40"/>
      </w:pPr>
      <w:r>
        <w:rPr>
          <w:rFonts w:ascii="Times New Roman" w:hAnsi="Times New Roman" w:eastAsia="Times New Roman"/>
          <w:b/>
          <w:i w:val="0"/>
          <w:sz w:val="24"/>
        </w:rPr>
        <w:t>5.2 Interpretación asistida por IA</w:t>
      </w:r>
    </w:p>
    <w:p>
      <w:pPr>
        <w:spacing w:after="0" w:before="0" w:line="240" w:lineRule="auto"/>
        <w:ind w:firstLine="283"/>
        <w:jc w:val="both"/>
      </w:pPr>
      <w:r>
        <w:rPr>
          <w:rFonts w:ascii="Times New Roman" w:hAnsi="Times New Roman" w:eastAsia="Times New Roman"/>
          <w:b w:val="0"/>
          <w:i w:val="0"/>
          <w:sz w:val="20"/>
        </w:rPr>
        <w:t>La IA no clasifica riesgo ni inventa datos. Recibe un objeto de evidencia y redacta un resumen controlado: qué se observó, qué tan confiable es, qué limita la lectura y qué acción preventiva se sugiere. En implementación, la salida debe pasar por plantilla con campos obligatorios para evitar alucinación.</w:t>
      </w:r>
    </w:p>
    <w:p>
      <w:pPr>
        <w:keepNext/>
        <w:spacing w:before="140" w:after="40"/>
      </w:pPr>
      <w:r>
        <w:rPr>
          <w:rFonts w:ascii="Times New Roman" w:hAnsi="Times New Roman" w:eastAsia="Times New Roman"/>
          <w:b/>
          <w:i w:val="0"/>
          <w:sz w:val="24"/>
        </w:rPr>
        <w:t>5.3 Bot comunitario WhatsApp</w:t>
      </w:r>
    </w:p>
    <w:p>
      <w:pPr>
        <w:spacing w:after="0" w:before="0" w:line="240" w:lineRule="auto"/>
        <w:ind w:firstLine="283"/>
        <w:jc w:val="both"/>
      </w:pPr>
      <w:r>
        <w:rPr>
          <w:rFonts w:ascii="Times New Roman" w:hAnsi="Times New Roman" w:eastAsia="Times New Roman"/>
          <w:b w:val="0"/>
          <w:i w:val="0"/>
          <w:sz w:val="20"/>
        </w:rPr>
        <w:t>El bot es canal, no producto. Sirve para consultar estado, recibir enlace al reporte y eventualmente recolectar observaciones comunitarias. No debe depender de Twilio ni de despliegue real para el primer hito; puede simularse con mensajes generados desde el reporte.</w:t>
      </w:r>
    </w:p>
    <w:p>
      <w:pPr>
        <w:keepNext/>
        <w:spacing w:before="140" w:after="40"/>
      </w:pPr>
      <w:r>
        <w:rPr>
          <w:rFonts w:ascii="Times New Roman" w:hAnsi="Times New Roman" w:eastAsia="Times New Roman"/>
          <w:b/>
          <w:i w:val="0"/>
          <w:sz w:val="24"/>
        </w:rPr>
        <w:t>5.4 NitroSync</w:t>
      </w:r>
    </w:p>
    <w:p>
      <w:pPr>
        <w:spacing w:after="0" w:before="0" w:line="240" w:lineRule="auto"/>
        <w:ind w:firstLine="283"/>
        <w:jc w:val="both"/>
      </w:pPr>
      <w:r>
        <w:rPr>
          <w:rFonts w:ascii="Times New Roman" w:hAnsi="Times New Roman" w:eastAsia="Times New Roman"/>
          <w:b w:val="0"/>
          <w:i w:val="0"/>
          <w:sz w:val="20"/>
        </w:rPr>
        <w:t>NitroSync queda como módulo futuro de seguridad alimentaria. Su idea es cruzar estado hídrico con condiciones agroclimáticas para orientar ventanas de fertilización. Requiere cultivo, etapa fenológica, práctica agronómica y validación con IDIAP/MIDA o asesores agrícolas. No pertenece al MVP corto.</w:t>
      </w:r>
    </w:p>
    <w:p>
      <w:pPr>
        <w:keepNext/>
        <w:spacing w:before="140" w:after="40"/>
      </w:pPr>
      <w:r>
        <w:rPr>
          <w:rFonts w:ascii="Times New Roman" w:hAnsi="Times New Roman" w:eastAsia="Times New Roman"/>
          <w:b/>
          <w:i w:val="0"/>
          <w:sz w:val="24"/>
        </w:rPr>
        <w:t>5.5 Escalamiento</w:t>
      </w:r>
    </w:p>
    <w:p>
      <w:pPr>
        <w:spacing w:after="0" w:before="0" w:line="240" w:lineRule="auto"/>
        <w:ind w:firstLine="283"/>
        <w:jc w:val="both"/>
      </w:pPr>
      <w:r>
        <w:rPr>
          <w:rFonts w:ascii="Times New Roman" w:hAnsi="Times New Roman" w:eastAsia="Times New Roman"/>
          <w:b w:val="0"/>
          <w:i w:val="0"/>
          <w:sz w:val="20"/>
        </w:rPr>
        <w:t>La expansión debe hacerse por configuración, no por reescritura de código: lista de AOI, parámetros por tramo, frecuencia y cache. La arquitectura nacional solo es defendible después de probar un nodo.</w:t>
      </w:r>
    </w:p>
    <w:p>
      <w:pPr>
        <w:keepNext/>
        <w:spacing w:before="200" w:after="80"/>
      </w:pPr>
      <w:r>
        <w:rPr>
          <w:rFonts w:ascii="Times New Roman" w:hAnsi="Times New Roman" w:eastAsia="Times New Roman"/>
          <w:b/>
          <w:i w:val="0"/>
          <w:color w:val="1F4E79"/>
          <w:sz w:val="30"/>
        </w:rPr>
        <w:t>6. Arquitectura futura AWS</w:t>
      </w:r>
    </w:p>
    <w:p>
      <w:pPr>
        <w:spacing w:after="0" w:before="0" w:line="240" w:lineRule="auto"/>
        <w:ind w:firstLine="283"/>
        <w:jc w:val="both"/>
      </w:pPr>
      <w:r>
        <w:rPr>
          <w:rFonts w:ascii="Times New Roman" w:hAnsi="Times New Roman" w:eastAsia="Times New Roman"/>
          <w:b w:val="0"/>
          <w:i w:val="0"/>
          <w:sz w:val="20"/>
        </w:rPr>
        <w:t>AWS se mantiene como arquitectura futura por afinidad del equipo, no como promesa de costo cero. Desde 2025, cuentas nuevas operan bajo un modelo de créditos y plan gratuito limitado; por tanto, el documento público debe evitar prometer doce meses universales gratis [12].</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1587"/>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Servicio</w:t>
            </w:r>
          </w:p>
        </w:tc>
        <w:tc>
          <w:tcPr>
            <w:tcW w:type="dxa" w:w="2268"/>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Uso</w:t>
            </w:r>
          </w:p>
        </w:tc>
        <w:tc>
          <w:tcPr>
            <w:tcW w:type="dxa" w:w="2268"/>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Riesgo</w:t>
            </w:r>
          </w:p>
        </w:tc>
        <w:tc>
          <w:tcPr>
            <w:tcW w:type="dxa" w:w="2608"/>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Mitigación</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Lambda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Procesar AOI programado.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Timeout o dependencias geoespaciales.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Mantener payload liviano; CDSE procesa raster.</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S3</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Guardar reportes.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Costo bajo pero no cero eterno.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Lifecycle y limpieza.</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DynamoDB</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Historial de observaciones.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Diseño de claves pobre.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PK aoi_id, SK date.</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EventBridge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Programar corridas.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Frecuencia excesiva.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Cron alineado a disponibilidad Sentinel.</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Secrets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Credenciales CDSE.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Costo/rotación.</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SSM/variables para demo, Secrets en producción.</w:t>
            </w:r>
          </w:p>
        </w:tc>
      </w:tr>
    </w:tbl>
    <w:p>
      <w:pPr>
        <w:keepNext/>
        <w:spacing w:before="200" w:after="80"/>
      </w:pPr>
      <w:r>
        <w:rPr>
          <w:rFonts w:ascii="Times New Roman" w:hAnsi="Times New Roman" w:eastAsia="Times New Roman"/>
          <w:b/>
          <w:i w:val="0"/>
          <w:color w:val="1F4E79"/>
          <w:sz w:val="30"/>
        </w:rPr>
        <w:t>7. Backlog de implementación</w:t>
      </w:r>
    </w:p>
    <w:tbl>
      <w:tblPr>
        <w:tblStyle w:val="TableGrid"/>
        <w:tblW w:type="auto" w:w="0"/>
        <w:tblLayout w:type="fixed"/>
        <w:tblLook w:firstColumn="1" w:firstRow="1" w:lastColumn="0" w:lastRow="0" w:noHBand="0" w:noVBand="1" w:val="04A0"/>
      </w:tblPr>
      <w:tblGrid>
        <w:gridCol w:w="3513"/>
        <w:gridCol w:w="3513"/>
        <w:gridCol w:w="3513"/>
      </w:tblGrid>
      <w:tr>
        <w:tc>
          <w:tcPr>
            <w:tcW w:type="dxa" w:w="1247"/>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Prioridad</w:t>
            </w:r>
          </w:p>
        </w:tc>
        <w:tc>
          <w:tcPr>
            <w:tcW w:type="dxa" w:w="3458"/>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Historia</w:t>
            </w:r>
          </w:p>
        </w:tc>
        <w:tc>
          <w:tcPr>
            <w:tcW w:type="dxa" w:w="3855"/>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Hecho cuando</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P0</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Como técnico, defino AOI y fechas.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El sistema lee config y valida geometría.</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P0</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Como técnico, comparo evento contra baseline.</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Se produce tabla con delta y confianza.</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P0</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Como jurado, veo el semáforo.</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Estado explicado sin abrir código.</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P1</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Como equipo, genero reporte.</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PDF/HTML reproduce la evidencia.</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P1</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Como productor, recibo estado.</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Bot o mensaje muestra resumen.</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P2</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Como agrónomo, evalúo NitroSync.</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Se documentan supuestos por cultivo.</w:t>
            </w:r>
          </w:p>
        </w:tc>
      </w:tr>
    </w:tbl>
    <w:p>
      <w:pPr>
        <w:keepNext/>
        <w:spacing w:before="200" w:after="80"/>
      </w:pPr>
      <w:r>
        <w:rPr>
          <w:rFonts w:ascii="Times New Roman" w:hAnsi="Times New Roman" w:eastAsia="Times New Roman"/>
          <w:b/>
          <w:i w:val="0"/>
          <w:color w:val="1F4E79"/>
          <w:sz w:val="30"/>
        </w:rPr>
        <w:t>8. Riesgos y decisiones</w:t>
      </w:r>
    </w:p>
    <w:tbl>
      <w:tblPr>
        <w:tblStyle w:val="TableGrid"/>
        <w:tblW w:type="auto" w:w="0"/>
        <w:tblLayout w:type="fixed"/>
        <w:tblLook w:firstColumn="1" w:firstRow="1" w:lastColumn="0" w:lastRow="0" w:noHBand="0" w:noVBand="1" w:val="04A0"/>
      </w:tblPr>
      <w:tblGrid>
        <w:gridCol w:w="3513"/>
        <w:gridCol w:w="3513"/>
        <w:gridCol w:w="3513"/>
      </w:tblGrid>
      <w:tr>
        <w:tc>
          <w:tcPr>
            <w:tcW w:type="dxa" w:w="2268"/>
            <w:vAlign w:val="center"/>
            <w:tcMar>
              <w:top w:w="65" w:type="dxa"/>
              <w:start w:w="90" w:type="dxa"/>
              <w:bottom w:w="65" w:type="dxa"/>
              <w:end w:w="90" w:type="dxa"/>
            </w:tcMar>
            <w:shd w:fill="F4CCCC"/>
          </w:tcPr>
          <w:p>
            <w:pPr>
              <w:spacing w:after="0" w:line="240" w:lineRule="auto"/>
              <w:jc w:val="center"/>
            </w:pPr>
            <w:r/>
            <w:r>
              <w:rPr>
                <w:rFonts w:ascii="Times New Roman" w:hAnsi="Times New Roman" w:eastAsia="Times New Roman"/>
                <w:b/>
                <w:i w:val="0"/>
                <w:sz w:val="16"/>
              </w:rPr>
              <w:t>Riesgo</w:t>
            </w:r>
          </w:p>
        </w:tc>
        <w:tc>
          <w:tcPr>
            <w:tcW w:type="dxa" w:w="2438"/>
            <w:vAlign w:val="center"/>
            <w:tcMar>
              <w:top w:w="65" w:type="dxa"/>
              <w:start w:w="90" w:type="dxa"/>
              <w:bottom w:w="65" w:type="dxa"/>
              <w:end w:w="90" w:type="dxa"/>
            </w:tcMar>
            <w:shd w:fill="F4CCCC"/>
          </w:tcPr>
          <w:p>
            <w:pPr>
              <w:spacing w:after="0" w:line="240" w:lineRule="auto"/>
              <w:jc w:val="center"/>
            </w:pPr>
            <w:r/>
            <w:r>
              <w:rPr>
                <w:rFonts w:ascii="Times New Roman" w:hAnsi="Times New Roman" w:eastAsia="Times New Roman"/>
                <w:b/>
                <w:i w:val="0"/>
                <w:sz w:val="16"/>
              </w:rPr>
              <w:t>Impacto</w:t>
            </w:r>
          </w:p>
        </w:tc>
        <w:tc>
          <w:tcPr>
            <w:tcW w:type="dxa" w:w="3855"/>
            <w:vAlign w:val="center"/>
            <w:tcMar>
              <w:top w:w="65" w:type="dxa"/>
              <w:start w:w="90" w:type="dxa"/>
              <w:bottom w:w="65" w:type="dxa"/>
              <w:end w:w="90" w:type="dxa"/>
            </w:tcMar>
            <w:shd w:fill="F4CCCC"/>
          </w:tcPr>
          <w:p>
            <w:pPr>
              <w:spacing w:after="0" w:line="240" w:lineRule="auto"/>
              <w:jc w:val="center"/>
            </w:pPr>
            <w:r/>
            <w:r>
              <w:rPr>
                <w:rFonts w:ascii="Times New Roman" w:hAnsi="Times New Roman" w:eastAsia="Times New Roman"/>
                <w:b/>
                <w:i w:val="0"/>
                <w:sz w:val="16"/>
              </w:rPr>
              <w:t>Decisión</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Río estrecho.</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Pocos píxeles válidos.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Ampliar tramo o cambiar a atlas de riesgo.</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Nubosidad.</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Sin señal óptica.</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Reportar incertidumbre y usar CHIRPS/S1 como contexto.</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Química invisible.</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Claim incorrecto.</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Declarar proxy hidrosedimentario, no detección química.</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Módulos excesivos.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Pitch disperso.</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MVP solo Sentinel-2 + reglas + reporte.</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IA decorativa.</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Preguntas de alucinación.</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IA como redacción controlada, no modelo de riesgo.</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Costo nube.</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Promesa frágil.</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Local primero; nube como fase futura.</w:t>
            </w:r>
          </w:p>
        </w:tc>
      </w:tr>
    </w:tbl>
    <w:p>
      <w:pPr>
        <w:keepNext/>
        <w:spacing w:before="200" w:after="80"/>
      </w:pPr>
      <w:r>
        <w:rPr>
          <w:rFonts w:ascii="Times New Roman" w:hAnsi="Times New Roman" w:eastAsia="Times New Roman"/>
          <w:b/>
          <w:i w:val="0"/>
          <w:color w:val="1F4E79"/>
          <w:sz w:val="30"/>
        </w:rPr>
        <w:t>9. Entregables por fecha</w:t>
      </w:r>
    </w:p>
    <w:p>
      <w:pPr>
        <w:spacing w:after="0" w:before="0" w:line="240" w:lineRule="auto"/>
        <w:ind w:firstLine="283"/>
        <w:jc w:val="both"/>
      </w:pPr>
      <w:r>
        <w:rPr>
          <w:rFonts w:ascii="Times New Roman" w:hAnsi="Times New Roman" w:eastAsia="Times New Roman"/>
          <w:b w:val="0"/>
          <w:i w:val="0"/>
          <w:sz w:val="20"/>
        </w:rPr>
        <w:t>Antes del inicio interno del hackathon se debe obtener la primera respuesta técnica: AOI, tres ventanas históricas, señal óptica, confianza y decisión de continuar o pivotar. Durante el hackathon, el esfuerzo público se concentra en contar la historia con evidencia y producir un MVP reproducible.</w:t>
      </w:r>
    </w:p>
    <w:tbl>
      <w:tblPr>
        <w:tblStyle w:val="TableGrid"/>
        <w:tblW w:type="auto" w:w="0"/>
        <w:tblLayout w:type="fixed"/>
        <w:tblLook w:firstColumn="1" w:firstRow="1" w:lastColumn="0" w:lastRow="0" w:noHBand="0" w:noVBand="1" w:val="04A0"/>
      </w:tblPr>
      <w:tblGrid>
        <w:gridCol w:w="5270"/>
        <w:gridCol w:w="5270"/>
      </w:tblGrid>
      <w:tr>
        <w:tc>
          <w:tcPr>
            <w:tcW w:type="dxa" w:w="1134"/>
            <w:vAlign w:val="center"/>
            <w:tcMar>
              <w:top w:w="65" w:type="dxa"/>
              <w:start w:w="90" w:type="dxa"/>
              <w:bottom w:w="65" w:type="dxa"/>
              <w:end w:w="90" w:type="dxa"/>
            </w:tcMar>
            <w:shd w:fill="EDEDED"/>
          </w:tcPr>
          <w:p>
            <w:pPr>
              <w:spacing w:after="0" w:line="240" w:lineRule="auto"/>
              <w:jc w:val="center"/>
            </w:pPr>
            <w:r/>
            <w:r>
              <w:rPr>
                <w:rFonts w:ascii="Times New Roman" w:hAnsi="Times New Roman" w:eastAsia="Times New Roman"/>
                <w:b/>
                <w:i w:val="0"/>
                <w:sz w:val="16"/>
              </w:rPr>
              <w:t>Día</w:t>
            </w:r>
          </w:p>
        </w:tc>
        <w:tc>
          <w:tcPr>
            <w:tcW w:type="dxa" w:w="7370"/>
            <w:vAlign w:val="center"/>
            <w:tcMar>
              <w:top w:w="65" w:type="dxa"/>
              <w:start w:w="90" w:type="dxa"/>
              <w:bottom w:w="65" w:type="dxa"/>
              <w:end w:w="90" w:type="dxa"/>
            </w:tcMar>
            <w:shd w:fill="EDEDED"/>
          </w:tcPr>
          <w:p>
            <w:pPr>
              <w:spacing w:after="0" w:line="240" w:lineRule="auto"/>
              <w:jc w:val="center"/>
            </w:pPr>
            <w:r/>
            <w:r>
              <w:rPr>
                <w:rFonts w:ascii="Times New Roman" w:hAnsi="Times New Roman" w:eastAsia="Times New Roman"/>
                <w:b/>
                <w:i w:val="0"/>
                <w:sz w:val="16"/>
              </w:rPr>
              <w:t>Entrega</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D1</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AOI validado y fechas de prueba definidas.</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D2</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Consulta CDSE o cache de Sentinel-2.</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D3</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Baseline y comparación histórica.</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D4</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Reglas de semáforo y primer reporte.</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D5</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Pantalla/demo simple.</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D6</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Narrativa, pitch y límites científicos.</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D7</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Ensayo y respaldo técnico.</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D8</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Paquete de propuesta listo.</w:t>
            </w:r>
          </w:p>
        </w:tc>
      </w:tr>
    </w:tbl>
    <w:p>
      <w:pPr>
        <w:keepNext/>
        <w:spacing w:before="200" w:after="80"/>
      </w:pPr>
      <w:r>
        <w:rPr>
          <w:rFonts w:ascii="Times New Roman" w:hAnsi="Times New Roman" w:eastAsia="Times New Roman"/>
          <w:b/>
          <w:i w:val="0"/>
          <w:color w:val="1F4E79"/>
          <w:sz w:val="30"/>
        </w:rPr>
        <w:t>10. Diseño de datos</w:t>
      </w:r>
    </w:p>
    <w:p>
      <w:pPr>
        <w:spacing w:after="0" w:before="0" w:line="240" w:lineRule="auto"/>
        <w:ind w:firstLine="283"/>
        <w:jc w:val="both"/>
      </w:pPr>
      <w:r>
        <w:rPr>
          <w:rFonts w:ascii="Times New Roman" w:hAnsi="Times New Roman" w:eastAsia="Times New Roman"/>
          <w:b w:val="0"/>
          <w:i w:val="0"/>
          <w:sz w:val="20"/>
        </w:rPr>
        <w:t>El diseño de datos debe ser deliberadamente pequeño para que el equipo pueda depurar el sistema durante la hackathon. La fuente de verdad no es el PDF ni la pantalla, sino un conjunto de registros JSON que puedan reconstruir cada decisión. Esto permite repetir la demo, explicar resultados al jurado y migrar luego a DynamoDB sin cambiar el modelo mental.</w:t>
      </w:r>
    </w:p>
    <w:tbl>
      <w:tblPr>
        <w:tblStyle w:val="TableGrid"/>
        <w:tblW w:type="auto" w:w="0"/>
        <w:tblLayout w:type="fixed"/>
        <w:tblLook w:firstColumn="1" w:firstRow="1" w:lastColumn="0" w:lastRow="0" w:noHBand="0" w:noVBand="1" w:val="04A0"/>
      </w:tblPr>
      <w:tblGrid>
        <w:gridCol w:w="3513"/>
        <w:gridCol w:w="3513"/>
        <w:gridCol w:w="3513"/>
      </w:tblGrid>
      <w:tr>
        <w:tc>
          <w:tcPr>
            <w:tcW w:type="dxa" w:w="2268"/>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Archivo/colección</w:t>
            </w:r>
          </w:p>
        </w:tc>
        <w:tc>
          <w:tcPr>
            <w:tcW w:type="dxa" w:w="3402"/>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Contenido</w:t>
            </w:r>
          </w:p>
        </w:tc>
        <w:tc>
          <w:tcPr>
            <w:tcW w:type="dxa" w:w="2835"/>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Uso</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aoi_config.json</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Nombre, geometría, notas hidrológicas, versión.</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Define el tramo evaluado.</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observations.jsonl</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Una observación por fecha y fuente.</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Auditoría y comparación histórica.</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baselines.json</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Ventanas comparables y estadísticos.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Evitar umbrales inventados.</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alerts.jsonl</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Estado, confianza, reglas activadas.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Entrada de reporte y demo.</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report_manifest.json</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Fuentes, imágenes, tablas y hashes.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Reproducir el PDF/HTML.</w:t>
            </w:r>
          </w:p>
        </w:tc>
      </w:tr>
    </w:tbl>
    <w:p>
      <w:pPr>
        <w:keepNext/>
        <w:spacing w:before="140" w:after="40"/>
      </w:pPr>
      <w:r>
        <w:rPr>
          <w:rFonts w:ascii="Times New Roman" w:hAnsi="Times New Roman" w:eastAsia="Times New Roman"/>
          <w:b/>
          <w:i w:val="0"/>
          <w:sz w:val="24"/>
        </w:rPr>
        <w:t>10.1 Esquema de observación</w:t>
      </w:r>
    </w:p>
    <w:tbl>
      <w:tblPr>
        <w:tblStyle w:val="TableGrid"/>
        <w:tblW w:type="auto" w:w="0"/>
        <w:tblLayout w:type="fixed"/>
        <w:tblLook w:firstColumn="1" w:firstRow="1" w:lastColumn="0" w:lastRow="0" w:noHBand="0" w:noVBand="1" w:val="04A0"/>
      </w:tblPr>
      <w:tblGrid>
        <w:gridCol w:w="3513"/>
        <w:gridCol w:w="3513"/>
        <w:gridCol w:w="3513"/>
      </w:tblGrid>
      <w:tr>
        <w:tc>
          <w:tcPr>
            <w:tcW w:type="dxa" w:w="1984"/>
            <w:vAlign w:val="center"/>
            <w:tcMar>
              <w:top w:w="65" w:type="dxa"/>
              <w:start w:w="90" w:type="dxa"/>
              <w:bottom w:w="65" w:type="dxa"/>
              <w:end w:w="90" w:type="dxa"/>
            </w:tcMar>
            <w:shd w:fill="EDEDED"/>
          </w:tcPr>
          <w:p>
            <w:pPr>
              <w:spacing w:after="0" w:line="240" w:lineRule="auto"/>
              <w:jc w:val="center"/>
            </w:pPr>
            <w:r/>
            <w:r>
              <w:rPr>
                <w:rFonts w:ascii="Times New Roman" w:hAnsi="Times New Roman" w:eastAsia="Times New Roman"/>
                <w:b/>
                <w:i w:val="0"/>
                <w:sz w:val="16"/>
              </w:rPr>
              <w:t>Campo</w:t>
            </w:r>
          </w:p>
        </w:tc>
        <w:tc>
          <w:tcPr>
            <w:tcW w:type="dxa" w:w="2268"/>
            <w:vAlign w:val="center"/>
            <w:tcMar>
              <w:top w:w="65" w:type="dxa"/>
              <w:start w:w="90" w:type="dxa"/>
              <w:bottom w:w="65" w:type="dxa"/>
              <w:end w:w="90" w:type="dxa"/>
            </w:tcMar>
            <w:shd w:fill="EDEDED"/>
          </w:tcPr>
          <w:p>
            <w:pPr>
              <w:spacing w:after="0" w:line="240" w:lineRule="auto"/>
              <w:jc w:val="center"/>
            </w:pPr>
            <w:r/>
            <w:r>
              <w:rPr>
                <w:rFonts w:ascii="Times New Roman" w:hAnsi="Times New Roman" w:eastAsia="Times New Roman"/>
                <w:b/>
                <w:i w:val="0"/>
                <w:sz w:val="16"/>
              </w:rPr>
              <w:t>Ejemplo</w:t>
            </w:r>
          </w:p>
        </w:tc>
        <w:tc>
          <w:tcPr>
            <w:tcW w:type="dxa" w:w="4195"/>
            <w:vAlign w:val="center"/>
            <w:tcMar>
              <w:top w:w="65" w:type="dxa"/>
              <w:start w:w="90" w:type="dxa"/>
              <w:bottom w:w="65" w:type="dxa"/>
              <w:end w:w="90" w:type="dxa"/>
            </w:tcMar>
            <w:shd w:fill="EDEDED"/>
          </w:tcPr>
          <w:p>
            <w:pPr>
              <w:spacing w:after="0" w:line="240" w:lineRule="auto"/>
              <w:jc w:val="center"/>
            </w:pPr>
            <w:r/>
            <w:r>
              <w:rPr>
                <w:rFonts w:ascii="Times New Roman" w:hAnsi="Times New Roman" w:eastAsia="Times New Roman"/>
                <w:b/>
                <w:i w:val="0"/>
                <w:sz w:val="16"/>
              </w:rPr>
              <w:t>Regla</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source</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sentinel2_l2a</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No mezclar fuentes en un mismo registro.</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window</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2025-06-10/2025-06-12</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Siempre guardar rango, no solo fecha.</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cloud_pct</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18.4</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Si supera umbral, estado puede ser incierto.</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water_pixels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42</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Mide si el AOI es útil.</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index_mean</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0.137</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Guardar media y percentiles.</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baseline_ref</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baseline_2025_wet</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Toda anomalía debe citar baseline.</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quality_flags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cloud_edge,mixed_pixels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Explicar incertidumbre.</w:t>
            </w:r>
          </w:p>
        </w:tc>
      </w:tr>
    </w:tbl>
    <w:p>
      <w:pPr>
        <w:keepNext/>
        <w:spacing w:before="200" w:after="80"/>
      </w:pPr>
      <w:r>
        <w:rPr>
          <w:rFonts w:ascii="Times New Roman" w:hAnsi="Times New Roman" w:eastAsia="Times New Roman"/>
          <w:b/>
          <w:i w:val="0"/>
          <w:color w:val="1F4E79"/>
          <w:sz w:val="30"/>
        </w:rPr>
        <w:t>11. Estrategia de AOI y fallback</w:t>
      </w:r>
    </w:p>
    <w:p>
      <w:pPr>
        <w:spacing w:after="0" w:before="0" w:line="240" w:lineRule="auto"/>
        <w:ind w:firstLine="283"/>
        <w:jc w:val="both"/>
      </w:pPr>
      <w:r>
        <w:rPr>
          <w:rFonts w:ascii="Times New Roman" w:hAnsi="Times New Roman" w:eastAsia="Times New Roman"/>
          <w:b w:val="0"/>
          <w:i w:val="0"/>
          <w:sz w:val="20"/>
        </w:rPr>
        <w:t>El mayor riesgo técnico es la geometría del río. Un AOI demasiado pequeño puede producir pocos píxeles válidos; uno demasiado grande puede mezclar agua, suelo, urbano y vegetación. La estrategia correcta es probar tres geometrías y escoger la que preserve señal de agua sin perder contexto.</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1871"/>
            <w:vAlign w:val="center"/>
            <w:tcMar>
              <w:top w:w="65" w:type="dxa"/>
              <w:start w:w="90" w:type="dxa"/>
              <w:bottom w:w="65" w:type="dxa"/>
              <w:end w:w="90" w:type="dxa"/>
            </w:tcMar>
            <w:shd w:fill="FFF2CC"/>
          </w:tcPr>
          <w:p>
            <w:pPr>
              <w:spacing w:after="0" w:line="240" w:lineRule="auto"/>
              <w:jc w:val="center"/>
            </w:pPr>
            <w:r/>
            <w:r>
              <w:rPr>
                <w:rFonts w:ascii="Times New Roman" w:hAnsi="Times New Roman" w:eastAsia="Times New Roman"/>
                <w:b/>
                <w:i w:val="0"/>
                <w:sz w:val="16"/>
              </w:rPr>
              <w:t>AOI</w:t>
            </w:r>
          </w:p>
        </w:tc>
        <w:tc>
          <w:tcPr>
            <w:tcW w:type="dxa" w:w="2268"/>
            <w:vAlign w:val="center"/>
            <w:tcMar>
              <w:top w:w="65" w:type="dxa"/>
              <w:start w:w="90" w:type="dxa"/>
              <w:bottom w:w="65" w:type="dxa"/>
              <w:end w:w="90" w:type="dxa"/>
            </w:tcMar>
            <w:shd w:fill="FFF2CC"/>
          </w:tcPr>
          <w:p>
            <w:pPr>
              <w:spacing w:after="0" w:line="240" w:lineRule="auto"/>
              <w:jc w:val="center"/>
            </w:pPr>
            <w:r/>
            <w:r>
              <w:rPr>
                <w:rFonts w:ascii="Times New Roman" w:hAnsi="Times New Roman" w:eastAsia="Times New Roman"/>
                <w:b/>
                <w:i w:val="0"/>
                <w:sz w:val="16"/>
              </w:rPr>
              <w:t>Ventaja</w:t>
            </w:r>
          </w:p>
        </w:tc>
        <w:tc>
          <w:tcPr>
            <w:tcW w:type="dxa" w:w="2268"/>
            <w:vAlign w:val="center"/>
            <w:tcMar>
              <w:top w:w="65" w:type="dxa"/>
              <w:start w:w="90" w:type="dxa"/>
              <w:bottom w:w="65" w:type="dxa"/>
              <w:end w:w="90" w:type="dxa"/>
            </w:tcMar>
            <w:shd w:fill="FFF2CC"/>
          </w:tcPr>
          <w:p>
            <w:pPr>
              <w:spacing w:after="0" w:line="240" w:lineRule="auto"/>
              <w:jc w:val="center"/>
            </w:pPr>
            <w:r/>
            <w:r>
              <w:rPr>
                <w:rFonts w:ascii="Times New Roman" w:hAnsi="Times New Roman" w:eastAsia="Times New Roman"/>
                <w:b/>
                <w:i w:val="0"/>
                <w:sz w:val="16"/>
              </w:rPr>
              <w:t>Riesgo</w:t>
            </w:r>
          </w:p>
        </w:tc>
        <w:tc>
          <w:tcPr>
            <w:tcW w:type="dxa" w:w="2154"/>
            <w:vAlign w:val="center"/>
            <w:tcMar>
              <w:top w:w="65" w:type="dxa"/>
              <w:start w:w="90" w:type="dxa"/>
              <w:bottom w:w="65" w:type="dxa"/>
              <w:end w:w="90" w:type="dxa"/>
            </w:tcMar>
            <w:shd w:fill="FFF2CC"/>
          </w:tcPr>
          <w:p>
            <w:pPr>
              <w:spacing w:after="0" w:line="240" w:lineRule="auto"/>
              <w:jc w:val="center"/>
            </w:pPr>
            <w:r/>
            <w:r>
              <w:rPr>
                <w:rFonts w:ascii="Times New Roman" w:hAnsi="Times New Roman" w:eastAsia="Times New Roman"/>
                <w:b/>
                <w:i w:val="0"/>
                <w:sz w:val="16"/>
              </w:rPr>
              <w:t>Uso</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Nodo estrecho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Más cercano a la toma.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Pocos píxeles; mezcla espectral.</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Solo si datos son limpios.</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Tramo ampliado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Más píxeles y mejor estadística.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Menos precisión local.</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Opción recomendada para MVP.</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Buffer de cuenca baja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Más contexto hidrológico.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Puede diluir la señal.</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Fallback para atlas de riesgo.</w:t>
            </w:r>
          </w:p>
        </w:tc>
      </w:tr>
    </w:tbl>
    <w:p>
      <w:pPr>
        <w:spacing w:after="0" w:before="0" w:line="240" w:lineRule="auto"/>
        <w:ind w:firstLine="283"/>
        <w:jc w:val="both"/>
      </w:pPr>
      <w:r>
        <w:rPr>
          <w:rFonts w:ascii="Times New Roman" w:hAnsi="Times New Roman" w:eastAsia="Times New Roman"/>
          <w:b w:val="0"/>
          <w:i w:val="0"/>
          <w:sz w:val="20"/>
        </w:rPr>
        <w:t>La decisión de AOI no debe tomarse por estética del mapa. Debe tomarse por número de píxeles válidos, estabilidad de baseline y capacidad de explicar la señal. Si el nodo exacto falla, no se abandona el proyecto: se cambia a tramo ampliado o a monitoreo de riesgo de cuenca.</w:t>
      </w:r>
    </w:p>
    <w:p>
      <w:pPr>
        <w:keepNext/>
        <w:spacing w:before="200" w:after="80"/>
      </w:pPr>
      <w:r>
        <w:rPr>
          <w:rFonts w:ascii="Times New Roman" w:hAnsi="Times New Roman" w:eastAsia="Times New Roman"/>
          <w:b/>
          <w:i w:val="0"/>
          <w:color w:val="1F4E79"/>
          <w:sz w:val="30"/>
        </w:rPr>
        <w:t>12. Pipeline técnico detallado</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680"/>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Paso</w:t>
            </w:r>
          </w:p>
        </w:tc>
        <w:tc>
          <w:tcPr>
            <w:tcW w:type="dxa" w:w="1701"/>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Entrada</w:t>
            </w:r>
          </w:p>
        </w:tc>
        <w:tc>
          <w:tcPr>
            <w:tcW w:type="dxa" w:w="3628"/>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Proceso</w:t>
            </w:r>
          </w:p>
        </w:tc>
        <w:tc>
          <w:tcPr>
            <w:tcW w:type="dxa" w:w="2438"/>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Salida</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1</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AOI + fechas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Validar geometría y ventana.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request_plan.json</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2</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CDSE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Consultar Sentinel-2 L2A.</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raw_stats.json</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3</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Stats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Filtrar nubes y píxeles inválidos.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observation.json</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4</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Baseline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Comparar con ventana equivalente.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delta.json</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5</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Reglas</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Aplicar semáforo transparente.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alert.json</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6</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Reporte</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Renderizar tablas y explicación.</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report.html/pdf</w:t>
            </w:r>
          </w:p>
        </w:tc>
      </w:tr>
      <w:tr>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7</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Demo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Mostrar mapa, fechas y estado.</w:t>
            </w:r>
          </w:p>
        </w:tc>
        <w:tc>
          <w:tcPr>
            <w:tcW w:type="dxa" w:w="2635"/>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pantalla/pitch</w:t>
            </w:r>
          </w:p>
        </w:tc>
      </w:tr>
    </w:tbl>
    <w:p>
      <w:pPr>
        <w:keepNext/>
        <w:spacing w:before="140" w:after="40"/>
      </w:pPr>
      <w:r>
        <w:rPr>
          <w:rFonts w:ascii="Times New Roman" w:hAnsi="Times New Roman" w:eastAsia="Times New Roman"/>
          <w:b/>
          <w:i w:val="0"/>
          <w:sz w:val="24"/>
        </w:rPr>
        <w:t>12.1 Estructura sugerida del repositorio</w:t>
      </w:r>
    </w:p>
    <w:tbl>
      <w:tblPr>
        <w:tblStyle w:val="TableGrid"/>
        <w:tblW w:type="auto" w:w="0"/>
        <w:tblLayout w:type="fixed"/>
        <w:tblLook w:firstColumn="1" w:firstRow="1" w:lastColumn="0" w:lastRow="0" w:noHBand="0" w:noVBand="1" w:val="04A0"/>
      </w:tblPr>
      <w:tblGrid>
        <w:gridCol w:w="5270"/>
        <w:gridCol w:w="5270"/>
      </w:tblGrid>
      <w:tr>
        <w:tc>
          <w:tcPr>
            <w:tcW w:type="dxa" w:w="2835"/>
            <w:vAlign w:val="center"/>
            <w:tcMar>
              <w:top w:w="65" w:type="dxa"/>
              <w:start w:w="90" w:type="dxa"/>
              <w:bottom w:w="65" w:type="dxa"/>
              <w:end w:w="90" w:type="dxa"/>
            </w:tcMar>
            <w:shd w:fill="EDEDED"/>
          </w:tcPr>
          <w:p>
            <w:pPr>
              <w:spacing w:after="0" w:line="240" w:lineRule="auto"/>
              <w:jc w:val="center"/>
            </w:pPr>
            <w:r/>
            <w:r>
              <w:rPr>
                <w:rFonts w:ascii="Times New Roman" w:hAnsi="Times New Roman" w:eastAsia="Times New Roman"/>
                <w:b/>
                <w:i w:val="0"/>
                <w:sz w:val="16"/>
              </w:rPr>
              <w:t>Ruta</w:t>
            </w:r>
          </w:p>
        </w:tc>
        <w:tc>
          <w:tcPr>
            <w:tcW w:type="dxa" w:w="5669"/>
            <w:vAlign w:val="center"/>
            <w:tcMar>
              <w:top w:w="65" w:type="dxa"/>
              <w:start w:w="90" w:type="dxa"/>
              <w:bottom w:w="65" w:type="dxa"/>
              <w:end w:w="90" w:type="dxa"/>
            </w:tcMar>
            <w:shd w:fill="EDEDED"/>
          </w:tcPr>
          <w:p>
            <w:pPr>
              <w:spacing w:after="0" w:line="240" w:lineRule="auto"/>
              <w:jc w:val="center"/>
            </w:pPr>
            <w:r/>
            <w:r>
              <w:rPr>
                <w:rFonts w:ascii="Times New Roman" w:hAnsi="Times New Roman" w:eastAsia="Times New Roman"/>
                <w:b/>
                <w:i w:val="0"/>
                <w:sz w:val="16"/>
              </w:rPr>
              <w:t>Responsabilidad</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configs/aoi/</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GeoJSON y metadatos de Chitré-La Arena.</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data/cache/</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Respuestas CDSE y datasets descargados.</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src/ingest/</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Clientes CDSE/CHIRPS y normalización.</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src/rules/</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Reglas de semáforo y confianza.</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src/report/</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Plantillas HTML/PDF y manifest.</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app/</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Demo local o Streamlit ligero.</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docs/evidence/</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Capturas y tablas para pitch.</w:t>
            </w:r>
          </w:p>
        </w:tc>
      </w:tr>
    </w:tbl>
    <w:p>
      <w:pPr>
        <w:keepNext/>
        <w:spacing w:before="200" w:after="80"/>
      </w:pPr>
      <w:r>
        <w:rPr>
          <w:rFonts w:ascii="Times New Roman" w:hAnsi="Times New Roman" w:eastAsia="Times New Roman"/>
          <w:b/>
          <w:i w:val="0"/>
          <w:color w:val="1F4E79"/>
          <w:sz w:val="30"/>
        </w:rPr>
        <w:t>13. Diseño del reporte técnico</w:t>
      </w:r>
    </w:p>
    <w:p>
      <w:pPr>
        <w:spacing w:after="0" w:before="0" w:line="240" w:lineRule="auto"/>
        <w:ind w:firstLine="283"/>
        <w:jc w:val="both"/>
      </w:pPr>
      <w:r>
        <w:rPr>
          <w:rFonts w:ascii="Times New Roman" w:hAnsi="Times New Roman" w:eastAsia="Times New Roman"/>
          <w:b w:val="0"/>
          <w:i w:val="0"/>
          <w:sz w:val="20"/>
        </w:rPr>
        <w:t>El reporte es el artefacto de confianza. Debe poder leerse sin conocer el código. No conviene llamarlo certificado, dictamen legal ni auditoría GLOBALG.A.P.; debe llamarse reporte técnico de evidencia satelital para decisión preventiva.</w:t>
      </w:r>
    </w:p>
    <w:tbl>
      <w:tblPr>
        <w:tblStyle w:val="TableGrid"/>
        <w:tblW w:type="auto" w:w="0"/>
        <w:tblLayout w:type="fixed"/>
        <w:tblLook w:firstColumn="1" w:firstRow="1" w:lastColumn="0" w:lastRow="0" w:noHBand="0" w:noVBand="1" w:val="04A0"/>
      </w:tblPr>
      <w:tblGrid>
        <w:gridCol w:w="5270"/>
        <w:gridCol w:w="5270"/>
      </w:tblGrid>
      <w:tr>
        <w:tc>
          <w:tcPr>
            <w:tcW w:type="dxa" w:w="2268"/>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Sección</w:t>
            </w:r>
          </w:p>
        </w:tc>
        <w:tc>
          <w:tcPr>
            <w:tcW w:type="dxa" w:w="6180"/>
            <w:vAlign w:val="center"/>
            <w:tcMar>
              <w:top w:w="65" w:type="dxa"/>
              <w:start w:w="90" w:type="dxa"/>
              <w:bottom w:w="65" w:type="dxa"/>
              <w:end w:w="90" w:type="dxa"/>
            </w:tcMar>
            <w:shd w:fill="D9EAF7"/>
          </w:tcPr>
          <w:p>
            <w:pPr>
              <w:spacing w:after="0" w:line="240" w:lineRule="auto"/>
              <w:jc w:val="center"/>
            </w:pPr>
            <w:r/>
            <w:r>
              <w:rPr>
                <w:rFonts w:ascii="Times New Roman" w:hAnsi="Times New Roman" w:eastAsia="Times New Roman"/>
                <w:b/>
                <w:i w:val="0"/>
                <w:sz w:val="16"/>
              </w:rPr>
              <w:t>Contenido obligatorio</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Resumen</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Estado, fecha, AOI y recomendación.</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Evidencia</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Tabla de evento vs. baseline y control.</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Confianza</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Nube, píxeles válidos, fuente, limitaciones.</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Interpretación</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Texto controlado a partir del alert.json.</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Acción sugerida</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Revisar riego, muestreo, inspección o espera.</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Trazabilidad</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Fuentes, parámetros y versión del modelo.</w:t>
            </w:r>
          </w:p>
        </w:tc>
      </w:tr>
    </w:tbl>
    <w:p>
      <w:pPr>
        <w:keepNext/>
        <w:spacing w:before="140" w:after="40"/>
      </w:pPr>
      <w:r>
        <w:rPr>
          <w:rFonts w:ascii="Times New Roman" w:hAnsi="Times New Roman" w:eastAsia="Times New Roman"/>
          <w:b/>
          <w:i w:val="0"/>
          <w:sz w:val="24"/>
        </w:rPr>
        <w:t>13.1 Guardrails para IA</w:t>
      </w:r>
    </w:p>
    <w:tbl>
      <w:tblPr>
        <w:tblStyle w:val="TableGrid"/>
        <w:tblW w:type="auto" w:w="0"/>
        <w:tblLayout w:type="fixed"/>
        <w:tblLook w:firstColumn="1" w:firstRow="1" w:lastColumn="0" w:lastRow="0" w:noHBand="0" w:noVBand="1" w:val="04A0"/>
      </w:tblPr>
      <w:tblGrid>
        <w:gridCol w:w="5270"/>
        <w:gridCol w:w="5270"/>
      </w:tblGrid>
      <w:tr>
        <w:tc>
          <w:tcPr>
            <w:tcW w:type="dxa" w:w="3118"/>
            <w:vAlign w:val="center"/>
            <w:tcMar>
              <w:top w:w="65" w:type="dxa"/>
              <w:start w:w="90" w:type="dxa"/>
              <w:bottom w:w="65" w:type="dxa"/>
              <w:end w:w="90" w:type="dxa"/>
            </w:tcMar>
            <w:shd w:fill="FFF2CC"/>
          </w:tcPr>
          <w:p>
            <w:pPr>
              <w:spacing w:after="0" w:line="240" w:lineRule="auto"/>
              <w:jc w:val="center"/>
            </w:pPr>
            <w:r/>
            <w:r>
              <w:rPr>
                <w:rFonts w:ascii="Times New Roman" w:hAnsi="Times New Roman" w:eastAsia="Times New Roman"/>
                <w:b/>
                <w:i w:val="0"/>
                <w:sz w:val="16"/>
              </w:rPr>
              <w:t>Regla</w:t>
            </w:r>
          </w:p>
        </w:tc>
        <w:tc>
          <w:tcPr>
            <w:tcW w:type="dxa" w:w="5386"/>
            <w:vAlign w:val="center"/>
            <w:tcMar>
              <w:top w:w="65" w:type="dxa"/>
              <w:start w:w="90" w:type="dxa"/>
              <w:bottom w:w="65" w:type="dxa"/>
              <w:end w:w="90" w:type="dxa"/>
            </w:tcMar>
            <w:shd w:fill="FFF2CC"/>
          </w:tcPr>
          <w:p>
            <w:pPr>
              <w:spacing w:after="0" w:line="240" w:lineRule="auto"/>
              <w:jc w:val="center"/>
            </w:pPr>
            <w:r/>
            <w:r>
              <w:rPr>
                <w:rFonts w:ascii="Times New Roman" w:hAnsi="Times New Roman" w:eastAsia="Times New Roman"/>
                <w:b/>
                <w:i w:val="0"/>
                <w:sz w:val="16"/>
              </w:rPr>
              <w:t>Motivo</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La IA no calcula el estado.</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Evita decisiones opacas.</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La IA solo reescribe campos del objeto de evidencia.</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Evita alucinación.</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Toda frase de incertidumbre es obligatoria.</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Evita sobreconfianza.</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No mencionar pesticidas detectados.</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La señal no mide químicos disueltos.</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No recomendar dosis agronómicas.</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Fuera del MVP y requiere calibración.</w:t>
            </w:r>
          </w:p>
        </w:tc>
      </w:tr>
    </w:tbl>
    <w:p>
      <w:pPr>
        <w:keepNext/>
        <w:spacing w:before="200" w:after="80"/>
      </w:pPr>
      <w:r>
        <w:rPr>
          <w:rFonts w:ascii="Times New Roman" w:hAnsi="Times New Roman" w:eastAsia="Times New Roman"/>
          <w:b/>
          <w:i w:val="0"/>
          <w:color w:val="1F4E79"/>
          <w:sz w:val="30"/>
        </w:rPr>
        <w:t>14. Validación y pruebas</w:t>
      </w:r>
    </w:p>
    <w:p>
      <w:pPr>
        <w:spacing w:after="0" w:before="0" w:line="240" w:lineRule="auto"/>
        <w:ind w:firstLine="283"/>
        <w:jc w:val="both"/>
      </w:pPr>
      <w:r>
        <w:rPr>
          <w:rFonts w:ascii="Times New Roman" w:hAnsi="Times New Roman" w:eastAsia="Times New Roman"/>
          <w:b w:val="0"/>
          <w:i w:val="0"/>
          <w:sz w:val="20"/>
        </w:rPr>
        <w:t>Las pruebas deben cubrir ciencia, software y narrativa. No basta con que el código corra: debe poder explicar por qué el estado es verde, amarillo, rojo o incierto. Cada prueba debe guardar evidencia para el pitch.</w:t>
      </w:r>
    </w:p>
    <w:tbl>
      <w:tblPr>
        <w:tblStyle w:val="TableGrid"/>
        <w:tblW w:type="auto" w:w="0"/>
        <w:tblLayout w:type="fixed"/>
        <w:tblLook w:firstColumn="1" w:firstRow="1" w:lastColumn="0" w:lastRow="0" w:noHBand="0" w:noVBand="1" w:val="04A0"/>
      </w:tblPr>
      <w:tblGrid>
        <w:gridCol w:w="3513"/>
        <w:gridCol w:w="3513"/>
        <w:gridCol w:w="3513"/>
      </w:tblGrid>
      <w:tr>
        <w:tc>
          <w:tcPr>
            <w:tcW w:type="dxa" w:w="1474"/>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Tipo</w:t>
            </w:r>
          </w:p>
        </w:tc>
        <w:tc>
          <w:tcPr>
            <w:tcW w:type="dxa" w:w="3402"/>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Prueba</w:t>
            </w:r>
          </w:p>
        </w:tc>
        <w:tc>
          <w:tcPr>
            <w:tcW w:type="dxa" w:w="3628"/>
            <w:vAlign w:val="center"/>
            <w:tcMar>
              <w:top w:w="65" w:type="dxa"/>
              <w:start w:w="90" w:type="dxa"/>
              <w:bottom w:w="65" w:type="dxa"/>
              <w:end w:w="90" w:type="dxa"/>
            </w:tcMar>
            <w:shd w:fill="D9EAD3"/>
          </w:tcPr>
          <w:p>
            <w:pPr>
              <w:spacing w:after="0" w:line="240" w:lineRule="auto"/>
              <w:jc w:val="center"/>
            </w:pPr>
            <w:r/>
            <w:r>
              <w:rPr>
                <w:rFonts w:ascii="Times New Roman" w:hAnsi="Times New Roman" w:eastAsia="Times New Roman"/>
                <w:b/>
                <w:i w:val="0"/>
                <w:sz w:val="16"/>
              </w:rPr>
              <w:t>Aceptación</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Datos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CDSE devuelve estadísticas para el AOI.</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Sin errores y con píxeles válidos.</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Geometría</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Comparar tres AOI.</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Se escoge el más estable.</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Baseline</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Evento vs. control.</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Diferencia visible o incertidumbre honesta.</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Reglas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Casos synthetic de nube/píxeles.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Nunca fuerza verde con baja confianza.</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Reporte</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Reconstrucción desde JSON.</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No depende de edición manual.</w:t>
            </w:r>
          </w:p>
        </w:tc>
      </w:tr>
      <w:tr>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Pitch</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Explicación en 60 segundos.</w:t>
            </w:r>
          </w:p>
        </w:tc>
        <w:tc>
          <w:tcPr>
            <w:tcW w:type="dxa" w:w="3513"/>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Jurado entiende decisión y límite.</w:t>
            </w:r>
          </w:p>
        </w:tc>
      </w:tr>
    </w:tbl>
    <w:p>
      <w:pPr>
        <w:keepNext/>
        <w:spacing w:before="200" w:after="80"/>
      </w:pPr>
      <w:r>
        <w:rPr>
          <w:rFonts w:ascii="Times New Roman" w:hAnsi="Times New Roman" w:eastAsia="Times New Roman"/>
          <w:b/>
          <w:i w:val="0"/>
          <w:color w:val="1F4E79"/>
          <w:sz w:val="30"/>
        </w:rPr>
        <w:t>15. Operación, costos y seguridad</w:t>
      </w:r>
    </w:p>
    <w:p>
      <w:pPr>
        <w:spacing w:after="0" w:before="0" w:line="240" w:lineRule="auto"/>
        <w:ind w:firstLine="283"/>
        <w:jc w:val="both"/>
      </w:pPr>
      <w:r>
        <w:rPr>
          <w:rFonts w:ascii="Times New Roman" w:hAnsi="Times New Roman" w:eastAsia="Times New Roman"/>
          <w:b w:val="0"/>
          <w:i w:val="0"/>
          <w:sz w:val="20"/>
        </w:rPr>
        <w:t>Para el hackathon, la operación recomendada es local-first. Se evita dependencia de cuentas, dominios, permisos, SMS y costos. En una fase posterior, la nube debe entrar con presupuestos, alarmas y límites de frecuencia. Las credenciales CDSE no deben quedar en el repositorio ni en el documento público.</w:t>
      </w:r>
    </w:p>
    <w:tbl>
      <w:tblPr>
        <w:tblStyle w:val="TableGrid"/>
        <w:tblW w:type="auto" w:w="0"/>
        <w:tblLayout w:type="fixed"/>
        <w:tblLook w:firstColumn="1" w:firstRow="1" w:lastColumn="0" w:lastRow="0" w:noHBand="0" w:noVBand="1" w:val="04A0"/>
      </w:tblPr>
      <w:tblGrid>
        <w:gridCol w:w="5270"/>
        <w:gridCol w:w="5270"/>
      </w:tblGrid>
      <w:tr>
        <w:tc>
          <w:tcPr>
            <w:tcW w:type="dxa" w:w="2268"/>
            <w:vAlign w:val="center"/>
            <w:tcMar>
              <w:top w:w="65" w:type="dxa"/>
              <w:start w:w="90" w:type="dxa"/>
              <w:bottom w:w="65" w:type="dxa"/>
              <w:end w:w="90" w:type="dxa"/>
            </w:tcMar>
            <w:shd w:fill="EDEDED"/>
          </w:tcPr>
          <w:p>
            <w:pPr>
              <w:spacing w:after="0" w:line="240" w:lineRule="auto"/>
              <w:jc w:val="center"/>
            </w:pPr>
            <w:r/>
            <w:r>
              <w:rPr>
                <w:rFonts w:ascii="Times New Roman" w:hAnsi="Times New Roman" w:eastAsia="Times New Roman"/>
                <w:b/>
                <w:i w:val="0"/>
                <w:sz w:val="16"/>
              </w:rPr>
              <w:t>Tema</w:t>
            </w:r>
          </w:p>
        </w:tc>
        <w:tc>
          <w:tcPr>
            <w:tcW w:type="dxa" w:w="6236"/>
            <w:vAlign w:val="center"/>
            <w:tcMar>
              <w:top w:w="65" w:type="dxa"/>
              <w:start w:w="90" w:type="dxa"/>
              <w:bottom w:w="65" w:type="dxa"/>
              <w:end w:w="90" w:type="dxa"/>
            </w:tcMar>
            <w:shd w:fill="EDEDED"/>
          </w:tcPr>
          <w:p>
            <w:pPr>
              <w:spacing w:after="0" w:line="240" w:lineRule="auto"/>
              <w:jc w:val="center"/>
            </w:pPr>
            <w:r/>
            <w:r>
              <w:rPr>
                <w:rFonts w:ascii="Times New Roman" w:hAnsi="Times New Roman" w:eastAsia="Times New Roman"/>
                <w:b/>
                <w:i w:val="0"/>
                <w:sz w:val="16"/>
              </w:rPr>
              <w:t>Decisión</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Costos</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Usar cache y pocas fechas; documentar cuotas CDSE.</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Credenciales</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Variables de entorno o archivo local no versionado.</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Privacidad</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No recolectar datos personales en el MVP.</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WhatsApp</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Canal comunitario opt-in, fase posterior.</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Licencias</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Citar fuentes y mantener trazabilidad de datos.</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Resiliencia</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Demo debe funcionar con datos cacheados si CDSE falla.</w:t>
            </w:r>
          </w:p>
        </w:tc>
      </w:tr>
    </w:tbl>
    <w:p>
      <w:pPr>
        <w:keepNext/>
        <w:spacing w:before="200" w:after="80"/>
      </w:pPr>
      <w:r>
        <w:rPr>
          <w:rFonts w:ascii="Times New Roman" w:hAnsi="Times New Roman" w:eastAsia="Times New Roman"/>
          <w:b/>
          <w:i w:val="0"/>
          <w:color w:val="1F4E79"/>
          <w:sz w:val="30"/>
        </w:rPr>
        <w:t>16. Matriz de decisión de pivot</w:t>
      </w:r>
    </w:p>
    <w:p>
      <w:pPr>
        <w:spacing w:after="0" w:before="0" w:line="240" w:lineRule="auto"/>
        <w:ind w:firstLine="283"/>
        <w:jc w:val="both"/>
      </w:pPr>
      <w:r>
        <w:rPr>
          <w:rFonts w:ascii="Times New Roman" w:hAnsi="Times New Roman" w:eastAsia="Times New Roman"/>
          <w:b w:val="0"/>
          <w:i w:val="0"/>
          <w:sz w:val="20"/>
        </w:rPr>
        <w:t>El proyecto debe entrar al hackathon con pivots preaprobados. Esto evita perder tiempo defendiendo una señal débil. Todos los pivots conservan el activo principal: evidencia Copernicus para seguridad alimentaria en Azuero.</w:t>
      </w:r>
    </w:p>
    <w:tbl>
      <w:tblPr>
        <w:tblStyle w:val="TableGrid"/>
        <w:tblW w:type="auto" w:w="0"/>
        <w:tblLayout w:type="fixed"/>
        <w:tblLook w:firstColumn="1" w:firstRow="1" w:lastColumn="0" w:lastRow="0" w:noHBand="0" w:noVBand="1" w:val="04A0"/>
      </w:tblPr>
      <w:tblGrid>
        <w:gridCol w:w="5270"/>
        <w:gridCol w:w="5270"/>
      </w:tblGrid>
      <w:tr>
        <w:tc>
          <w:tcPr>
            <w:tcW w:type="dxa" w:w="3685"/>
            <w:vAlign w:val="center"/>
            <w:tcMar>
              <w:top w:w="65" w:type="dxa"/>
              <w:start w:w="90" w:type="dxa"/>
              <w:bottom w:w="65" w:type="dxa"/>
              <w:end w:w="90" w:type="dxa"/>
            </w:tcMar>
            <w:shd w:fill="F4CCCC"/>
          </w:tcPr>
          <w:p>
            <w:pPr>
              <w:spacing w:after="0" w:line="240" w:lineRule="auto"/>
              <w:jc w:val="center"/>
            </w:pPr>
            <w:r/>
            <w:r>
              <w:rPr>
                <w:rFonts w:ascii="Times New Roman" w:hAnsi="Times New Roman" w:eastAsia="Times New Roman"/>
                <w:b/>
                <w:i w:val="0"/>
                <w:sz w:val="16"/>
              </w:rPr>
              <w:t>Resultado del spike</w:t>
            </w:r>
          </w:p>
        </w:tc>
        <w:tc>
          <w:tcPr>
            <w:tcW w:type="dxa" w:w="4819"/>
            <w:vAlign w:val="center"/>
            <w:tcMar>
              <w:top w:w="65" w:type="dxa"/>
              <w:start w:w="90" w:type="dxa"/>
              <w:bottom w:w="65" w:type="dxa"/>
              <w:end w:w="90" w:type="dxa"/>
            </w:tcMar>
            <w:shd w:fill="F4CCCC"/>
          </w:tcPr>
          <w:p>
            <w:pPr>
              <w:spacing w:after="0" w:line="240" w:lineRule="auto"/>
              <w:jc w:val="center"/>
            </w:pPr>
            <w:r/>
            <w:r>
              <w:rPr>
                <w:rFonts w:ascii="Times New Roman" w:hAnsi="Times New Roman" w:eastAsia="Times New Roman"/>
                <w:b/>
                <w:i w:val="0"/>
                <w:sz w:val="16"/>
              </w:rPr>
              <w:t>Decisión</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Señal óptica clara en AOI.</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Continuar con semáforo hídrico agrícola.</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Señal existe solo en tramo amplio.</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Cambiar narrativa a tramo de cuenca baja.</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Nube impide prueba óptica.</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Priorizar CHIRPS/Sentinel-1 como alerta contextual.</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Río demasiado estrecho.</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Pivot a atlas de riesgo de cuenca o monitoreo ribereño.</w:t>
            </w:r>
          </w:p>
        </w:tc>
      </w:tr>
      <w:tr>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No hay anomalía histórica.</w:t>
            </w:r>
          </w:p>
        </w:tc>
        <w:tc>
          <w:tcPr>
            <w:tcW w:type="dxa" w:w="5270"/>
            <w:vAlign w:val="center"/>
            <w:tcMar>
              <w:top w:w="65" w:type="dxa"/>
              <w:start w:w="90" w:type="dxa"/>
              <w:bottom w:w="65" w:type="dxa"/>
              <w:end w:w="90" w:type="dxa"/>
            </w:tcMar>
          </w:tcPr>
          <w:p>
            <w:pPr>
              <w:spacing w:after="0" w:line="240" w:lineRule="auto"/>
              <w:jc w:val="left"/>
            </w:pPr>
            <w:r/>
            <w:r>
              <w:rPr>
                <w:rFonts w:ascii="Times New Roman" w:hAnsi="Times New Roman" w:eastAsia="Times New Roman"/>
                <w:b w:val="0"/>
                <w:i w:val="0"/>
                <w:sz w:val="16"/>
              </w:rPr>
              <w:t>Presentar herramienta de verificación y límites.</w:t>
            </w:r>
          </w:p>
        </w:tc>
      </w:tr>
    </w:tbl>
    <w:p>
      <w:pPr>
        <w:keepNext/>
        <w:spacing w:before="200" w:after="80"/>
      </w:pPr>
      <w:r>
        <w:rPr>
          <w:rFonts w:ascii="Times New Roman" w:hAnsi="Times New Roman" w:eastAsia="Times New Roman"/>
          <w:b/>
          <w:i w:val="0"/>
          <w:color w:val="1F4E79"/>
          <w:sz w:val="30"/>
        </w:rPr>
        <w:t>17. Referencias base</w:t>
      </w:r>
    </w:p>
    <w:p>
      <w:pPr>
        <w:spacing w:after="20" w:before="0" w:line="240" w:lineRule="auto"/>
        <w:jc w:val="both"/>
      </w:pPr>
      <w:r>
        <w:rPr>
          <w:rFonts w:ascii="Times New Roman" w:hAnsi="Times New Roman" w:eastAsia="Times New Roman"/>
          <w:b w:val="0"/>
          <w:i w:val="0"/>
          <w:sz w:val="18"/>
        </w:rPr>
        <w:t>[1] CopernicusLAC Panama Centre, "CopernicusLAC Hackathon 2026," 2026.</w:t>
      </w:r>
    </w:p>
    <w:p>
      <w:pPr>
        <w:spacing w:after="20" w:before="0" w:line="240" w:lineRule="auto"/>
        <w:jc w:val="both"/>
      </w:pPr>
      <w:r>
        <w:rPr>
          <w:rFonts w:ascii="Times New Roman" w:hAnsi="Times New Roman" w:eastAsia="Times New Roman"/>
          <w:b w:val="0"/>
          <w:i w:val="0"/>
          <w:sz w:val="18"/>
        </w:rPr>
        <w:t>[2] European Space Agency, "Sentinel-2 mission," 2026.</w:t>
      </w:r>
    </w:p>
    <w:p>
      <w:pPr>
        <w:spacing w:after="20" w:before="0" w:line="240" w:lineRule="auto"/>
        <w:jc w:val="both"/>
      </w:pPr>
      <w:r>
        <w:rPr>
          <w:rFonts w:ascii="Times New Roman" w:hAnsi="Times New Roman" w:eastAsia="Times New Roman"/>
          <w:b w:val="0"/>
          <w:i w:val="0"/>
          <w:sz w:val="18"/>
        </w:rPr>
        <w:t>[3] European Space Agency, "Sentinel-1 mission," 2026.</w:t>
      </w:r>
    </w:p>
    <w:p>
      <w:pPr>
        <w:spacing w:after="20" w:before="0" w:line="240" w:lineRule="auto"/>
        <w:jc w:val="both"/>
      </w:pPr>
      <w:r>
        <w:rPr>
          <w:rFonts w:ascii="Times New Roman" w:hAnsi="Times New Roman" w:eastAsia="Times New Roman"/>
          <w:b w:val="0"/>
          <w:i w:val="0"/>
          <w:sz w:val="18"/>
        </w:rPr>
        <w:t>[4] Copernicus Data Space Ecosystem, "Quotas and limitations," 2026.</w:t>
      </w:r>
    </w:p>
    <w:p>
      <w:pPr>
        <w:spacing w:after="20" w:before="0" w:line="240" w:lineRule="auto"/>
        <w:jc w:val="both"/>
      </w:pPr>
      <w:r>
        <w:rPr>
          <w:rFonts w:ascii="Times New Roman" w:hAnsi="Times New Roman" w:eastAsia="Times New Roman"/>
          <w:b w:val="0"/>
          <w:i w:val="0"/>
          <w:sz w:val="18"/>
        </w:rPr>
        <w:t>[5] Climate Hazards Center, "CHIRPS," University of California Santa Barbara, 2026.</w:t>
      </w:r>
    </w:p>
    <w:p>
      <w:pPr>
        <w:spacing w:after="20" w:before="0" w:line="240" w:lineRule="auto"/>
        <w:jc w:val="both"/>
      </w:pPr>
      <w:r>
        <w:rPr>
          <w:rFonts w:ascii="Times New Roman" w:hAnsi="Times New Roman" w:eastAsia="Times New Roman"/>
          <w:b w:val="0"/>
          <w:i w:val="0"/>
          <w:sz w:val="18"/>
        </w:rPr>
        <w:t>[6] ECMWF, "ERA5-Land hourly data," Copernicus Climate Data Store, 2026.</w:t>
      </w:r>
    </w:p>
    <w:p>
      <w:pPr>
        <w:spacing w:after="20" w:before="0" w:line="240" w:lineRule="auto"/>
        <w:jc w:val="both"/>
      </w:pPr>
      <w:r>
        <w:rPr>
          <w:rFonts w:ascii="Times New Roman" w:hAnsi="Times New Roman" w:eastAsia="Times New Roman"/>
          <w:b w:val="0"/>
          <w:i w:val="0"/>
          <w:sz w:val="18"/>
        </w:rPr>
        <w:t>[7] H. Xu, "Modification of normalised difference water index," International Journal of Remote Sensing, 2006.</w:t>
      </w:r>
    </w:p>
    <w:p>
      <w:pPr>
        <w:spacing w:after="20" w:before="0" w:line="240" w:lineRule="auto"/>
        <w:jc w:val="both"/>
      </w:pPr>
      <w:r>
        <w:rPr>
          <w:rFonts w:ascii="Times New Roman" w:hAnsi="Times New Roman" w:eastAsia="Times New Roman"/>
          <w:b w:val="0"/>
          <w:i w:val="0"/>
          <w:sz w:val="18"/>
        </w:rPr>
        <w:t>[8] S. Mishra and D. R. Mishra, "Normalized difference chlorophyll index," Remote Sensing of Environment, 2012.</w:t>
      </w:r>
    </w:p>
    <w:p>
      <w:pPr>
        <w:spacing w:after="20" w:before="0" w:line="240" w:lineRule="auto"/>
        <w:jc w:val="both"/>
      </w:pPr>
      <w:r>
        <w:rPr>
          <w:rFonts w:ascii="Times New Roman" w:hAnsi="Times New Roman" w:eastAsia="Times New Roman"/>
          <w:b w:val="0"/>
          <w:i w:val="0"/>
          <w:sz w:val="18"/>
        </w:rPr>
        <w:t>[9] Ministerio de Ambiente de Panamá, "Situación del río La Villa," 2025.</w:t>
      </w:r>
    </w:p>
    <w:p>
      <w:pPr>
        <w:spacing w:after="20" w:before="0" w:line="240" w:lineRule="auto"/>
        <w:jc w:val="both"/>
      </w:pPr>
      <w:r>
        <w:rPr>
          <w:rFonts w:ascii="Times New Roman" w:hAnsi="Times New Roman" w:eastAsia="Times New Roman"/>
          <w:b w:val="0"/>
          <w:i w:val="0"/>
          <w:sz w:val="18"/>
        </w:rPr>
        <w:t>[10] Ministerio de Desarrollo Agropecuario de Panamá, "Recuperación de la cuenca del río La Villa," 2026.</w:t>
      </w:r>
    </w:p>
    <w:p>
      <w:pPr>
        <w:spacing w:after="20" w:before="0" w:line="240" w:lineRule="auto"/>
        <w:jc w:val="both"/>
      </w:pPr>
      <w:r>
        <w:rPr>
          <w:rFonts w:ascii="Times New Roman" w:hAnsi="Times New Roman" w:eastAsia="Times New Roman"/>
          <w:b w:val="0"/>
          <w:i w:val="0"/>
          <w:sz w:val="18"/>
        </w:rPr>
        <w:t>[11] GLOBALG.A.P., "Integrated Farm Assurance Version 6," 2026.</w:t>
      </w:r>
    </w:p>
    <w:p>
      <w:pPr>
        <w:spacing w:after="20" w:before="0" w:line="240" w:lineRule="auto"/>
        <w:jc w:val="both"/>
      </w:pPr>
      <w:r>
        <w:rPr>
          <w:rFonts w:ascii="Times New Roman" w:hAnsi="Times New Roman" w:eastAsia="Times New Roman"/>
          <w:b w:val="0"/>
          <w:i w:val="0"/>
          <w:sz w:val="18"/>
        </w:rPr>
        <w:t>[12] Amazon Web Services, "AWS Free Tier," 2026.</w:t>
      </w:r>
    </w:p>
    <w:sectPr w:rsidR="00FC693F" w:rsidRPr="0006063C" w:rsidSect="00034616">
      <w:pgSz w:w="12240" w:h="15840"/>
      <w:pgMar w:top="1701" w:right="850" w:bottom="1417" w:left="85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