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 Forma Income Statement</w:t>
      </w:r>
    </w:p>
    <w:p/>
    <w:p>
      <w:pPr>
        <w:pStyle w:val="Heading1"/>
      </w:pPr>
      <w:r>
        <w:t xml:space="preserve">Green Up Stuff, LLC</w:t>
      </w:r>
    </w:p>
    <w:p>
      <w:pPr>
        <w:pStyle w:val="Heading2"/>
      </w:pPr>
      <w:r>
        <w:t xml:space="preserve">3-Year Projected Income Statement</w:t>
      </w:r>
    </w:p>
    <w:p>
      <w:r>
        <w:rPr>
          <w:b/>
          <w:bCs/>
        </w:rPr>
        <w:t xml:space="preserve">EIN:</w:t>
      </w:r>
      <w:r>
        <w:t xml:space="preserve"> 24-2342342 | </w:t>
      </w:r>
      <w:r>
        <w:rPr>
          <w:b/>
          <w:bCs/>
        </w:rPr>
        <w:t xml:space="preserve">Prepared For:</w:t>
      </w:r>
      <w:r>
        <w:t xml:space="preserve"> SBA Loan Application | </w:t>
      </w:r>
      <w:r>
        <w:rPr>
          <w:b/>
          <w:bCs/>
        </w:rPr>
        <w:t xml:space="preserve">Date:</w:t>
      </w:r>
      <w:r>
        <w:t xml:space="preserve"> 2025</w:t>
      </w:r>
    </w:p>
    <w:p>
      <w:r>
        <w:t xml:space="preserve">---</w:t>
      </w:r>
    </w:p>
    <w:p>
      <w:r>
        <w:t xml:space="preserve">&gt; </w:t>
      </w:r>
      <w:r>
        <w:rPr>
          <w:b/>
          <w:bCs/>
        </w:rPr>
        <w:t xml:space="preserve">Assumptions &amp; Notes:</w:t>
      </w:r>
    </w:p>
    <w:p>
      <w:r>
        <w:t xml:space="preserve">&gt; - Year 0 reflects the current baseline financials as provided by the applicant</w:t>
      </w:r>
    </w:p>
    <w:p>
      <w:r>
        <w:t xml:space="preserve">&gt; - Revenue growth of </w:t>
      </w:r>
      <w:r>
        <w:rPr>
          <w:b/>
          <w:bCs/>
        </w:rPr>
        <w:t xml:space="preserve">5% per year</w:t>
      </w:r>
      <w:r>
        <w:t xml:space="preserve"> applied as stated</w:t>
      </w:r>
    </w:p>
    <w:p>
      <w:r>
        <w:t xml:space="preserve">&gt; - COGS maintained at </w:t>
      </w:r>
      <w:r>
        <w:rPr>
          <w:b/>
          <w:bCs/>
        </w:rPr>
        <w:t xml:space="preserve">50% of revenue</w:t>
      </w:r>
      <w:r>
        <w:t xml:space="preserve"> (consistent with Year 0 ratio)</w:t>
      </w:r>
    </w:p>
    <w:p>
      <w:r>
        <w:t xml:space="preserve">&gt; - Operating Expenses grown at </w:t>
      </w:r>
      <w:r>
        <w:rPr>
          <w:b/>
          <w:bCs/>
        </w:rPr>
        <w:t xml:space="preserve">3% per year</w:t>
      </w:r>
      <w:r>
        <w:t xml:space="preserve"> (modest inflation/scale increase assumed)</w:t>
      </w:r>
    </w:p>
    <w:p>
      <w:r>
        <w:t xml:space="preserve">&gt; - Net Income = Gross Profit − Operating Expenses</w:t>
      </w:r>
    </w:p>
    <w:p>
      <w:r>
        <w:t xml:space="preserve">&gt; - Loan proceeds of $50,000 are designated for working capital; no material change to cost structure assumed in Year 1</w:t>
      </w:r>
    </w:p>
    <w:p>
      <w:r>
        <w:t xml:space="preserve">&gt; - Taxes not reflected; figures represent pre-tax net income </w:t>
      </w:r>
      <w:r>
        <w:rPr>
          <w:i/>
          <w:iCs/>
        </w:rPr>
        <w:t xml:space="preserve">(note: borrower should consult CPA for tax-adjusted projections)</w:t>
      </w:r>
    </w:p>
    <w:p>
      <w:r>
        <w:t xml:space="preserve">&gt; - Year founded listed as 2026 — *</w:t>
      </w:r>
      <w:r>
        <w:rPr>
          <w:i/>
          <w:iCs/>
        </w:rPr>
        <w:t xml:space="preserve">assumption made that business is currently operational with 10+ years of owner experience and the entity was recently formalized as an LLC in MI; Year 0 financials reflect actual current operations</w:t>
      </w:r>
    </w:p>
    <w:p>
      <w:r>
        <w:t xml:space="preserve">---</w:t>
      </w:r>
    </w:p>
    <w:p>
      <w:pPr>
        <w:pStyle w:val="Heading2"/>
      </w:pPr>
      <w:r>
        <w:t xml:space="preserve">Projected Income Statement — Green Up Stuff, LLC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rPr>
              <w:t xml:space="preserve">**Line Item**</w:t>
            </w:r>
          </w:p>
        </w:tc>
        <w:tc>
          <w:tcPr>
            <w:tcW w:type="dxa" w:w="1800"/>
          </w:tcPr>
          <w:p>
            <w:r>
              <w:rPr>
                <w:b/>
                <w:bCs/>
              </w:rPr>
              <w:t xml:space="preserve">**Year 0 (Current)**</w:t>
            </w:r>
          </w:p>
        </w:tc>
        <w:tc>
          <w:tcPr>
            <w:tcW w:type="dxa" w:w="1800"/>
          </w:tcPr>
          <w:p>
            <w:r>
              <w:rPr>
                <w:b/>
                <w:bCs/>
              </w:rPr>
              <w:t xml:space="preserve">**Year 1**</w:t>
            </w:r>
          </w:p>
        </w:tc>
        <w:tc>
          <w:tcPr>
            <w:tcW w:type="dxa" w:w="1800"/>
          </w:tcPr>
          <w:p>
            <w:r>
              <w:rPr>
                <w:b/>
                <w:bCs/>
              </w:rPr>
              <w:t xml:space="preserve">**Year 2**</w:t>
            </w:r>
          </w:p>
        </w:tc>
        <w:tc>
          <w:tcPr>
            <w:tcW w:type="dxa" w:w="1800"/>
          </w:tcPr>
          <w:p>
            <w:r>
              <w:rPr>
                <w:b/>
                <w:bCs/>
              </w:rPr>
              <w:t xml:space="preserve">**Year 3**</w:t>
            </w:r>
          </w:p>
        </w:tc>
      </w:tr>
      <w:tr>
        <w:tc>
          <w:tcPr>
            <w:tcW w:type="dxa" w:w="1800"/>
          </w:tcPr>
          <w:p>
            <w:r>
              <w:t xml:space="preserve">**Revenue**</w:t>
            </w:r>
          </w:p>
        </w:tc>
        <w:tc>
          <w:tcPr>
            <w:tcW w:type="dxa" w:w="1800"/>
          </w:tcPr>
          <w:p>
            <w:r>
              <w:t xml:space="preserve">$1,000,000</w:t>
            </w:r>
          </w:p>
        </w:tc>
        <w:tc>
          <w:tcPr>
            <w:tcW w:type="dxa" w:w="1800"/>
          </w:tcPr>
          <w:p>
            <w:r>
              <w:t xml:space="preserve">$1,050,000</w:t>
            </w:r>
          </w:p>
        </w:tc>
        <w:tc>
          <w:tcPr>
            <w:tcW w:type="dxa" w:w="1800"/>
          </w:tcPr>
          <w:p>
            <w:r>
              <w:t xml:space="preserve">$1,102,500</w:t>
            </w:r>
          </w:p>
        </w:tc>
        <w:tc>
          <w:tcPr>
            <w:tcW w:type="dxa" w:w="1800"/>
          </w:tcPr>
          <w:p>
            <w:r>
              <w:t xml:space="preserve">$1,157,625</w:t>
            </w:r>
          </w:p>
        </w:tc>
      </w:tr>
      <w:tr>
        <w:tc>
          <w:tcPr>
            <w:tcW w:type="dxa" w:w="1800"/>
          </w:tcPr>
          <w:p>
            <w:r>
              <w:t xml:space="preserve">**Cost of Goods Sold (COGS)**</w:t>
            </w:r>
          </w:p>
        </w:tc>
        <w:tc>
          <w:tcPr>
            <w:tcW w:type="dxa" w:w="1800"/>
          </w:tcPr>
          <w:p>
            <w:r>
              <w:t xml:space="preserve">$500,000</w:t>
            </w:r>
          </w:p>
        </w:tc>
        <w:tc>
          <w:tcPr>
            <w:tcW w:type="dxa" w:w="1800"/>
          </w:tcPr>
          <w:p>
            <w:r>
              <w:t xml:space="preserve">$525,000</w:t>
            </w:r>
          </w:p>
        </w:tc>
        <w:tc>
          <w:tcPr>
            <w:tcW w:type="dxa" w:w="1800"/>
          </w:tcPr>
          <w:p>
            <w:r>
              <w:t xml:space="preserve">$551,250</w:t>
            </w:r>
          </w:p>
        </w:tc>
        <w:tc>
          <w:tcPr>
            <w:tcW w:type="dxa" w:w="1800"/>
          </w:tcPr>
          <w:p>
            <w:r>
              <w:t xml:space="preserve">$578,813</w:t>
            </w:r>
          </w:p>
        </w:tc>
      </w:tr>
      <w:tr>
        <w:tc>
          <w:tcPr>
            <w:tcW w:type="dxa" w:w="1800"/>
          </w:tcPr>
          <w:p>
            <w:r>
              <w:t xml:space="preserve">**Gross Profit**</w:t>
            </w:r>
          </w:p>
        </w:tc>
        <w:tc>
          <w:tcPr>
            <w:tcW w:type="dxa" w:w="1800"/>
          </w:tcPr>
          <w:p>
            <w:r>
              <w:t xml:space="preserve">$500,000</w:t>
            </w:r>
          </w:p>
        </w:tc>
        <w:tc>
          <w:tcPr>
            <w:tcW w:type="dxa" w:w="1800"/>
          </w:tcPr>
          <w:p>
            <w:r>
              <w:t xml:space="preserve">$525,000</w:t>
            </w:r>
          </w:p>
        </w:tc>
        <w:tc>
          <w:tcPr>
            <w:tcW w:type="dxa" w:w="1800"/>
          </w:tcPr>
          <w:p>
            <w:r>
              <w:t xml:space="preserve">$551,250</w:t>
            </w:r>
          </w:p>
        </w:tc>
        <w:tc>
          <w:tcPr>
            <w:tcW w:type="dxa" w:w="1800"/>
          </w:tcPr>
          <w:p>
            <w:r>
              <w:t xml:space="preserve">$578,812</w:t>
            </w:r>
          </w:p>
        </w:tc>
      </w:tr>
      <w:tr>
        <w:tc>
          <w:tcPr>
            <w:tcW w:type="dxa" w:w="1800"/>
          </w:tcPr>
          <w:p>
            <w:r>
              <w:t xml:space="preserve">**Gross Margin %**</w:t>
            </w:r>
          </w:p>
        </w:tc>
        <w:tc>
          <w:tcPr>
            <w:tcW w:type="dxa" w:w="1800"/>
          </w:tcPr>
          <w:p>
            <w:r>
              <w:t xml:space="preserve">50.0%</w:t>
            </w:r>
          </w:p>
        </w:tc>
        <w:tc>
          <w:tcPr>
            <w:tcW w:type="dxa" w:w="1800"/>
          </w:tcPr>
          <w:p>
            <w:r>
              <w:t xml:space="preserve">50.0%</w:t>
            </w:r>
          </w:p>
        </w:tc>
        <w:tc>
          <w:tcPr>
            <w:tcW w:type="dxa" w:w="1800"/>
          </w:tcPr>
          <w:p>
            <w:r>
              <w:t xml:space="preserve">50.0%</w:t>
            </w:r>
          </w:p>
        </w:tc>
        <w:tc>
          <w:tcPr>
            <w:tcW w:type="dxa" w:w="1800"/>
          </w:tcPr>
          <w:p>
            <w:r>
              <w:t xml:space="preserve">50.0%</w:t>
            </w:r>
          </w:p>
        </w:tc>
      </w:tr>
      <w:tr/>
      <w:tr>
        <w:tc>
          <w:tcPr>
            <w:tcW w:type="dxa" w:w="1800"/>
          </w:tcPr>
          <w:p>
            <w:r>
              <w:t xml:space="preserve">**Operating Expenses**</w:t>
            </w:r>
          </w:p>
        </w:tc>
      </w:tr>
      <w:tr>
        <w:tc>
          <w:tcPr>
            <w:tcW w:type="dxa" w:w="1800"/>
          </w:tcPr>
          <w:p>
            <w:r>
              <w:t xml:space="preserve">— Payroll / Labor (est.)</w:t>
            </w:r>
          </w:p>
        </w:tc>
        <w:tc>
          <w:tcPr>
            <w:tcW w:type="dxa" w:w="1800"/>
          </w:tcPr>
          <w:p>
            <w:r>
              <w:t xml:space="preserve">$50,000</w:t>
            </w:r>
          </w:p>
        </w:tc>
        <w:tc>
          <w:tcPr>
            <w:tcW w:type="dxa" w:w="1800"/>
          </w:tcPr>
          <w:p>
            <w:r>
              <w:t xml:space="preserve">$51,500</w:t>
            </w:r>
          </w:p>
        </w:tc>
        <w:tc>
          <w:tcPr>
            <w:tcW w:type="dxa" w:w="1800"/>
          </w:tcPr>
          <w:p>
            <w:r>
              <w:t xml:space="preserve">$53,045</w:t>
            </w:r>
          </w:p>
        </w:tc>
        <w:tc>
          <w:tcPr>
            <w:tcW w:type="dxa" w:w="1800"/>
          </w:tcPr>
          <w:p>
            <w:r>
              <w:t xml:space="preserve">$54,636</w:t>
            </w:r>
          </w:p>
        </w:tc>
      </w:tr>
      <w:tr>
        <w:tc>
          <w:tcPr>
            <w:tcW w:type="dxa" w:w="1800"/>
          </w:tcPr>
          <w:p>
            <w:r>
              <w:t xml:space="preserve">— Marketing &amp; Advertising (est.)</w:t>
            </w:r>
          </w:p>
        </w:tc>
        <w:tc>
          <w:tcPr>
            <w:tcW w:type="dxa" w:w="1800"/>
          </w:tcPr>
          <w:p>
            <w:r>
              <w:t xml:space="preserve">$15,000</w:t>
            </w:r>
          </w:p>
        </w:tc>
        <w:tc>
          <w:tcPr>
            <w:tcW w:type="dxa" w:w="1800"/>
          </w:tcPr>
          <w:p>
            <w:r>
              <w:t xml:space="preserve">$15,450</w:t>
            </w:r>
          </w:p>
        </w:tc>
        <w:tc>
          <w:tcPr>
            <w:tcW w:type="dxa" w:w="1800"/>
          </w:tcPr>
          <w:p>
            <w:r>
              <w:t xml:space="preserve">$15,914</w:t>
            </w:r>
          </w:p>
        </w:tc>
        <w:tc>
          <w:tcPr>
            <w:tcW w:type="dxa" w:w="1800"/>
          </w:tcPr>
          <w:p>
            <w:r>
              <w:t xml:space="preserve">$16,391</w:t>
            </w:r>
          </w:p>
        </w:tc>
      </w:tr>
      <w:tr>
        <w:tc>
          <w:tcPr>
            <w:tcW w:type="dxa" w:w="1800"/>
          </w:tcPr>
          <w:p>
            <w:r>
              <w:t xml:space="preserve">— Insurance (est.)</w:t>
            </w:r>
          </w:p>
        </w:tc>
        <w:tc>
          <w:tcPr>
            <w:tcW w:type="dxa" w:w="1800"/>
          </w:tcPr>
          <w:p>
            <w:r>
              <w:t xml:space="preserve">$12,000</w:t>
            </w:r>
          </w:p>
        </w:tc>
        <w:tc>
          <w:tcPr>
            <w:tcW w:type="dxa" w:w="1800"/>
          </w:tcPr>
          <w:p>
            <w:r>
              <w:t xml:space="preserve">$12,360</w:t>
            </w:r>
          </w:p>
        </w:tc>
        <w:tc>
          <w:tcPr>
            <w:tcW w:type="dxa" w:w="1800"/>
          </w:tcPr>
          <w:p>
            <w:r>
              <w:t xml:space="preserve">$12,731</w:t>
            </w:r>
          </w:p>
        </w:tc>
        <w:tc>
          <w:tcPr>
            <w:tcW w:type="dxa" w:w="1800"/>
          </w:tcPr>
          <w:p>
            <w:r>
              <w:t xml:space="preserve">$13,113</w:t>
            </w:r>
          </w:p>
        </w:tc>
      </w:tr>
      <w:tr>
        <w:tc>
          <w:tcPr>
            <w:tcW w:type="dxa" w:w="1800"/>
          </w:tcPr>
          <w:p>
            <w:r>
              <w:t xml:space="preserve">— General &amp; Administrative (est.)</w:t>
            </w:r>
          </w:p>
        </w:tc>
        <w:tc>
          <w:tcPr>
            <w:tcW w:type="dxa" w:w="1800"/>
          </w:tcPr>
          <w:p>
            <w:r>
              <w:t xml:space="preserve">$23,000</w:t>
            </w:r>
          </w:p>
        </w:tc>
        <w:tc>
          <w:tcPr>
            <w:tcW w:type="dxa" w:w="1800"/>
          </w:tcPr>
          <w:p>
            <w:r>
              <w:t xml:space="preserve">$23,690</w:t>
            </w:r>
          </w:p>
        </w:tc>
        <w:tc>
          <w:tcPr>
            <w:tcW w:type="dxa" w:w="1800"/>
          </w:tcPr>
          <w:p>
            <w:r>
              <w:t xml:space="preserve">$24,401</w:t>
            </w:r>
          </w:p>
        </w:tc>
        <w:tc>
          <w:tcPr>
            <w:tcW w:type="dxa" w:w="1800"/>
          </w:tcPr>
          <w:p>
            <w:r>
              <w:t xml:space="preserve">$25,133</w:t>
            </w:r>
          </w:p>
        </w:tc>
      </w:tr>
      <w:tr>
        <w:tc>
          <w:tcPr>
            <w:tcW w:type="dxa" w:w="1800"/>
          </w:tcPr>
          <w:p>
            <w:r>
              <w:t xml:space="preserve">**Total Operating Expenses**</w:t>
            </w:r>
          </w:p>
        </w:tc>
        <w:tc>
          <w:tcPr>
            <w:tcW w:type="dxa" w:w="1800"/>
          </w:tcPr>
          <w:p>
            <w:r>
              <w:t xml:space="preserve">$100,000</w:t>
            </w:r>
          </w:p>
        </w:tc>
        <w:tc>
          <w:tcPr>
            <w:tcW w:type="dxa" w:w="1800"/>
          </w:tcPr>
          <w:p>
            <w:r>
              <w:t xml:space="preserve">$103,000</w:t>
            </w:r>
          </w:p>
        </w:tc>
        <w:tc>
          <w:tcPr>
            <w:tcW w:type="dxa" w:w="1800"/>
          </w:tcPr>
          <w:p>
            <w:r>
              <w:t xml:space="preserve">$106,090</w:t>
            </w:r>
          </w:p>
        </w:tc>
        <w:tc>
          <w:tcPr>
            <w:tcW w:type="dxa" w:w="1800"/>
          </w:tcPr>
          <w:p>
            <w:r>
              <w:t xml:space="preserve">$109,273</w:t>
            </w:r>
          </w:p>
        </w:tc>
      </w:tr>
      <w:tr>
        <w:tc>
          <w:tcPr>
            <w:tcW w:type="dxa" w:w="1800"/>
          </w:tcPr>
          <w:p>
            <w:r>
              <w:t xml:space="preserve">**OpEx as % of Revenue**</w:t>
            </w:r>
          </w:p>
        </w:tc>
        <w:tc>
          <w:tcPr>
            <w:tcW w:type="dxa" w:w="1800"/>
          </w:tcPr>
          <w:p>
            <w:r>
              <w:t xml:space="preserve">10.0%</w:t>
            </w:r>
          </w:p>
        </w:tc>
        <w:tc>
          <w:tcPr>
            <w:tcW w:type="dxa" w:w="1800"/>
          </w:tcPr>
          <w:p>
            <w:r>
              <w:t xml:space="preserve">9.8%</w:t>
            </w:r>
          </w:p>
        </w:tc>
        <w:tc>
          <w:tcPr>
            <w:tcW w:type="dxa" w:w="1800"/>
          </w:tcPr>
          <w:p>
            <w:r>
              <w:t xml:space="preserve">9.6%</w:t>
            </w:r>
          </w:p>
        </w:tc>
        <w:tc>
          <w:tcPr>
            <w:tcW w:type="dxa" w:w="1800"/>
          </w:tcPr>
          <w:p>
            <w:r>
              <w:t xml:space="preserve">9.4%</w:t>
            </w:r>
          </w:p>
        </w:tc>
      </w:tr>
      <w:tr/>
      <w:tr>
        <w:tc>
          <w:tcPr>
            <w:tcW w:type="dxa" w:w="1800"/>
          </w:tcPr>
          <w:p>
            <w:r>
              <w:t xml:space="preserve">**Operating Income (EBITDA est.)**</w:t>
            </w:r>
          </w:p>
        </w:tc>
        <w:tc>
          <w:tcPr>
            <w:tcW w:type="dxa" w:w="1800"/>
          </w:tcPr>
          <w:p>
            <w:r>
              <w:t xml:space="preserve">$400,000</w:t>
            </w:r>
          </w:p>
        </w:tc>
        <w:tc>
          <w:tcPr>
            <w:tcW w:type="dxa" w:w="1800"/>
          </w:tcPr>
          <w:p>
            <w:r>
              <w:t xml:space="preserve">$422,000</w:t>
            </w:r>
          </w:p>
        </w:tc>
        <w:tc>
          <w:tcPr>
            <w:tcW w:type="dxa" w:w="1800"/>
          </w:tcPr>
          <w:p>
            <w:r>
              <w:t xml:space="preserve">$445,160</w:t>
            </w:r>
          </w:p>
        </w:tc>
        <w:tc>
          <w:tcPr>
            <w:tcW w:type="dxa" w:w="1800"/>
          </w:tcPr>
          <w:p>
            <w:r>
              <w:t xml:space="preserve">$469,539</w:t>
            </w:r>
          </w:p>
        </w:tc>
      </w:tr>
      <w:tr>
        <w:tc>
          <w:tcPr>
            <w:tcW w:type="dxa" w:w="1800"/>
          </w:tcPr>
          <w:p>
            <w:r>
              <w:t xml:space="preserve">**Debt Service (SBA Loan — est.)**</w:t>
            </w:r>
          </w:p>
        </w:tc>
        <w:tc>
          <w:tcPr>
            <w:tcW w:type="dxa" w:w="1800"/>
          </w:tcPr>
          <w:p>
            <w:r>
              <w:t xml:space="preserve">$0</w:t>
            </w:r>
          </w:p>
        </w:tc>
        <w:tc>
          <w:tcPr>
            <w:tcW w:type="dxa" w:w="1800"/>
          </w:tcPr>
          <w:p>
            <w:r>
              <w:t xml:space="preserve">$7,716</w:t>
            </w:r>
          </w:p>
        </w:tc>
        <w:tc>
          <w:tcPr>
            <w:tcW w:type="dxa" w:w="1800"/>
          </w:tcPr>
          <w:p>
            <w:r>
              <w:t xml:space="preserve">$7,716</w:t>
            </w:r>
          </w:p>
        </w:tc>
        <w:tc>
          <w:tcPr>
            <w:tcW w:type="dxa" w:w="1800"/>
          </w:tcPr>
          <w:p>
            <w:r>
              <w:t xml:space="preserve">$7,716</w:t>
            </w:r>
          </w:p>
        </w:tc>
      </w:tr>
      <w:tr>
        <w:tc>
          <w:tcPr>
            <w:tcW w:type="dxa" w:w="1800"/>
          </w:tcPr>
          <w:p>
            <w:r>
              <w:t xml:space="preserve">**Net Income (Pre-Tax)**</w:t>
            </w:r>
          </w:p>
        </w:tc>
        <w:tc>
          <w:tcPr>
            <w:tcW w:type="dxa" w:w="1800"/>
          </w:tcPr>
          <w:p>
            <w:r>
              <w:t xml:space="preserve">$400,000</w:t>
            </w:r>
          </w:p>
        </w:tc>
        <w:tc>
          <w:tcPr>
            <w:tcW w:type="dxa" w:w="1800"/>
          </w:tcPr>
          <w:p>
            <w:r>
              <w:t xml:space="preserve">$414,284</w:t>
            </w:r>
          </w:p>
        </w:tc>
        <w:tc>
          <w:tcPr>
            <w:tcW w:type="dxa" w:w="1800"/>
          </w:tcPr>
          <w:p>
            <w:r>
              <w:t xml:space="preserve">$437,444</w:t>
            </w:r>
          </w:p>
        </w:tc>
        <w:tc>
          <w:tcPr>
            <w:tcW w:type="dxa" w:w="1800"/>
          </w:tcPr>
          <w:p>
            <w:r>
              <w:t xml:space="preserve">$461,823</w:t>
            </w:r>
          </w:p>
        </w:tc>
      </w:tr>
      <w:tr>
        <w:tc>
          <w:tcPr>
            <w:tcW w:type="dxa" w:w="1800"/>
          </w:tcPr>
          <w:p>
            <w:r>
              <w:t xml:space="preserve">**Net Margin %**</w:t>
            </w:r>
          </w:p>
        </w:tc>
        <w:tc>
          <w:tcPr>
            <w:tcW w:type="dxa" w:w="1800"/>
          </w:tcPr>
          <w:p>
            <w:r>
              <w:t xml:space="preserve">40.0%</w:t>
            </w:r>
          </w:p>
        </w:tc>
        <w:tc>
          <w:tcPr>
            <w:tcW w:type="dxa" w:w="1800"/>
          </w:tcPr>
          <w:p>
            <w:r>
              <w:t xml:space="preserve">39.5%</w:t>
            </w:r>
          </w:p>
        </w:tc>
        <w:tc>
          <w:tcPr>
            <w:tcW w:type="dxa" w:w="1800"/>
          </w:tcPr>
          <w:p>
            <w:r>
              <w:t xml:space="preserve">39.7%</w:t>
            </w:r>
          </w:p>
        </w:tc>
        <w:tc>
          <w:tcPr>
            <w:tcW w:type="dxa" w:w="1800"/>
          </w:tcPr>
          <w:p>
            <w:r>
              <w:t xml:space="preserve">39.9%</w:t>
            </w:r>
          </w:p>
        </w:tc>
      </w:tr>
    </w:tbl>
    <w:p>
      <w:r>
        <w:t xml:space="preserve">---</w:t>
      </w:r>
    </w:p>
    <w:p>
      <w:r>
        <w:t xml:space="preserve">&gt; </w:t>
      </w:r>
      <w:r>
        <w:rPr>
          <w:b/>
          <w:bCs/>
        </w:rPr>
        <w:t xml:space="preserve">Debt Service Note:</w:t>
      </w:r>
      <w:r>
        <w:t xml:space="preserve"> Monthly SBA loan payment estimated at </w:t>
      </w:r>
      <w:r>
        <w:rPr>
          <w:b/>
          <w:bCs/>
        </w:rPr>
        <w:t xml:space="preserve">~$643/month</w:t>
      </w:r>
      <w:r>
        <w:t xml:space="preserve"> ($50,000 at an estimated 10.5% interest over 84 months), totaling approximately </w:t>
      </w:r>
      <w:r>
        <w:rPr>
          <w:b/>
          <w:bCs/>
        </w:rPr>
        <w:t xml:space="preserve">$7,716 annually</w:t>
      </w:r>
      <w:r>
        <w:t xml:space="preserve">. Final rate subject to lender approval.</w:t>
      </w:r>
    </w:p>
    <w:p>
      <w:r>
        <w:t xml:space="preserve">---</w:t>
      </w:r>
    </w:p>
    <w:p>
      <w:pPr>
        <w:pStyle w:val="Heading2"/>
      </w:pPr>
      <w:r>
        <w:t xml:space="preserve">Key Financial Indicators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rPr>
              <w:t xml:space="preserve">**Metric**</w:t>
            </w:r>
          </w:p>
        </w:tc>
        <w:tc>
          <w:tcPr>
            <w:tcW w:type="dxa" w:w="1800"/>
          </w:tcPr>
          <w:p>
            <w:r>
              <w:rPr>
                <w:b/>
                <w:bCs/>
              </w:rPr>
              <w:t xml:space="preserve">**Year 0**</w:t>
            </w:r>
          </w:p>
        </w:tc>
        <w:tc>
          <w:tcPr>
            <w:tcW w:type="dxa" w:w="1800"/>
          </w:tcPr>
          <w:p>
            <w:r>
              <w:rPr>
                <w:b/>
                <w:bCs/>
              </w:rPr>
              <w:t xml:space="preserve">**Year 1**</w:t>
            </w:r>
          </w:p>
        </w:tc>
        <w:tc>
          <w:tcPr>
            <w:tcW w:type="dxa" w:w="1800"/>
          </w:tcPr>
          <w:p>
            <w:r>
              <w:rPr>
                <w:b/>
                <w:bCs/>
              </w:rPr>
              <w:t xml:space="preserve">**Year 2**</w:t>
            </w:r>
          </w:p>
        </w:tc>
        <w:tc>
          <w:tcPr>
            <w:tcW w:type="dxa" w:w="1800"/>
          </w:tcPr>
          <w:p>
            <w:r>
              <w:rPr>
                <w:b/>
                <w:bCs/>
              </w:rPr>
              <w:t xml:space="preserve">**Year 3**</w:t>
            </w:r>
          </w:p>
        </w:tc>
      </w:tr>
      <w:tr>
        <w:tc>
          <w:tcPr>
            <w:tcW w:type="dxa" w:w="1800"/>
          </w:tcPr>
          <w:p>
            <w:r>
              <w:t xml:space="preserve">Revenue Growth</w:t>
            </w:r>
          </w:p>
        </w:tc>
        <w:tc>
          <w:tcPr>
            <w:tcW w:type="dxa" w:w="1800"/>
          </w:tcPr>
          <w:p>
            <w:r>
              <w:t xml:space="preserve">—</w:t>
            </w:r>
          </w:p>
        </w:tc>
        <w:tc>
          <w:tcPr>
            <w:tcW w:type="dxa" w:w="1800"/>
          </w:tcPr>
          <w:p>
            <w:r>
              <w:t xml:space="preserve">+5.0%</w:t>
            </w:r>
          </w:p>
        </w:tc>
        <w:tc>
          <w:tcPr>
            <w:tcW w:type="dxa" w:w="1800"/>
          </w:tcPr>
          <w:p>
            <w:r>
              <w:t xml:space="preserve">+5.0%</w:t>
            </w:r>
          </w:p>
        </w:tc>
        <w:tc>
          <w:tcPr>
            <w:tcW w:type="dxa" w:w="1800"/>
          </w:tcPr>
          <w:p>
            <w:r>
              <w:t xml:space="preserve">+5.0%</w:t>
            </w:r>
          </w:p>
        </w:tc>
      </w:tr>
      <w:tr>
        <w:tc>
          <w:tcPr>
            <w:tcW w:type="dxa" w:w="1800"/>
          </w:tcPr>
          <w:p>
            <w:r>
              <w:t xml:space="preserve">Gross Margin</w:t>
            </w:r>
          </w:p>
        </w:tc>
        <w:tc>
          <w:tcPr>
            <w:tcW w:type="dxa" w:w="1800"/>
          </w:tcPr>
          <w:p>
            <w:r>
              <w:t xml:space="preserve">50.0%</w:t>
            </w:r>
          </w:p>
        </w:tc>
        <w:tc>
          <w:tcPr>
            <w:tcW w:type="dxa" w:w="1800"/>
          </w:tcPr>
          <w:p>
            <w:r>
              <w:t xml:space="preserve">50.0%</w:t>
            </w:r>
          </w:p>
        </w:tc>
        <w:tc>
          <w:tcPr>
            <w:tcW w:type="dxa" w:w="1800"/>
          </w:tcPr>
          <w:p>
            <w:r>
              <w:t xml:space="preserve">50.0%</w:t>
            </w:r>
          </w:p>
        </w:tc>
        <w:tc>
          <w:tcPr>
            <w:tcW w:type="dxa" w:w="1800"/>
          </w:tcPr>
          <w:p>
            <w:r>
              <w:t xml:space="preserve">50.0%</w:t>
            </w:r>
          </w:p>
        </w:tc>
      </w:tr>
      <w:tr>
        <w:tc>
          <w:tcPr>
            <w:tcW w:type="dxa" w:w="1800"/>
          </w:tcPr>
          <w:p>
            <w:r>
              <w:t xml:space="preserve">Net Margin</w:t>
            </w:r>
          </w:p>
        </w:tc>
        <w:tc>
          <w:tcPr>
            <w:tcW w:type="dxa" w:w="1800"/>
          </w:tcPr>
          <w:p>
            <w:r>
              <w:t xml:space="preserve">40.0%</w:t>
            </w:r>
          </w:p>
        </w:tc>
        <w:tc>
          <w:tcPr>
            <w:tcW w:type="dxa" w:w="1800"/>
          </w:tcPr>
          <w:p>
            <w:r>
              <w:t xml:space="preserve">39.5%</w:t>
            </w:r>
          </w:p>
        </w:tc>
        <w:tc>
          <w:tcPr>
            <w:tcW w:type="dxa" w:w="1800"/>
          </w:tcPr>
          <w:p>
            <w:r>
              <w:t xml:space="preserve">39.7%</w:t>
            </w:r>
          </w:p>
        </w:tc>
        <w:tc>
          <w:tcPr>
            <w:tcW w:type="dxa" w:w="1800"/>
          </w:tcPr>
          <w:p>
            <w:r>
              <w:t xml:space="preserve">39.9%</w:t>
            </w:r>
          </w:p>
        </w:tc>
      </w:tr>
      <w:tr>
        <w:tc>
          <w:tcPr>
            <w:tcW w:type="dxa" w:w="1800"/>
          </w:tcPr>
          <w:p>
            <w:r>
              <w:t xml:space="preserve">Debt Service Coverage Ratio (DSCR)</w:t>
            </w:r>
          </w:p>
        </w:tc>
        <w:tc>
          <w:tcPr>
            <w:tcW w:type="dxa" w:w="1800"/>
          </w:tcPr>
          <w:p>
            <w:r>
              <w:t xml:space="preserve">N/A</w:t>
            </w:r>
          </w:p>
        </w:tc>
        <w:tc>
          <w:tcPr>
            <w:tcW w:type="dxa" w:w="1800"/>
          </w:tcPr>
          <w:p>
            <w:r>
              <w:t xml:space="preserve">**53.7x**</w:t>
            </w:r>
          </w:p>
        </w:tc>
        <w:tc>
          <w:tcPr>
            <w:tcW w:type="dxa" w:w="1800"/>
          </w:tcPr>
          <w:p>
            <w:r>
              <w:t xml:space="preserve">**56.6x**</w:t>
            </w:r>
          </w:p>
        </w:tc>
        <w:tc>
          <w:tcPr>
            <w:tcW w:type="dxa" w:w="1800"/>
          </w:tcPr>
          <w:p>
            <w:r>
              <w:t xml:space="preserve">**59.8x**</w:t>
            </w:r>
          </w:p>
        </w:tc>
      </w:tr>
    </w:tbl>
    <w:p>
      <w:r>
        <w:t xml:space="preserve">&gt; </w:t>
      </w:r>
      <w:r>
        <w:rPr>
          <w:b/>
          <w:bCs/>
        </w:rPr>
        <w:t xml:space="preserve">DSCR Commentary:</w:t>
      </w:r>
      <w:r>
        <w:t xml:space="preserve"> The projected DSCR significantly exceeds the SBA minimum threshold of </w:t>
      </w:r>
      <w:r>
        <w:rPr>
          <w:b/>
          <w:bCs/>
        </w:rPr>
        <w:t xml:space="preserve">1.25x</w:t>
      </w:r>
      <w:r>
        <w:t xml:space="preserve">, demonstrating strong repayment capacity. The $50,000 working capital injection is expected to support operational continuity and seasonal cash flow management, with no material risk to debt service obligations.</w:t>
      </w:r>
    </w:p>
    <w:p>
      <w:r>
        <w:t xml:space="preserve">---</w:t>
      </w:r>
    </w:p>
    <w:p>
      <w:pPr>
        <w:pStyle w:val="Heading2"/>
      </w:pPr>
      <w:r>
        <w:t xml:space="preserve">Narrative Summary</w:t>
      </w:r>
    </w:p>
    <w:p>
      <w:r>
        <w:t xml:space="preserve">Green Up Stuff, LLC enters this loan cycle from a position of strength. With </w:t>
      </w:r>
      <w:r>
        <w:rPr>
          <w:b/>
          <w:bCs/>
        </w:rPr>
        <w:t xml:space="preserve">$1,000,000 in annual revenue</w:t>
      </w:r>
      <w:r>
        <w:t xml:space="preserve">, a </w:t>
      </w:r>
      <w:r>
        <w:rPr>
          <w:b/>
          <w:bCs/>
        </w:rPr>
        <w:t xml:space="preserve">50% gross margin</w:t>
      </w:r>
      <w:r>
        <w:t xml:space="preserve">, and </w:t>
      </w:r>
      <w:r>
        <w:rPr>
          <w:b/>
          <w:bCs/>
        </w:rPr>
        <w:t xml:space="preserve">$400,000 in net income</w:t>
      </w:r>
      <w:r>
        <w:t xml:space="preserve">, the business demonstrates exceptional operational efficiency relative to its industry peers. Owner Jeff Roder brings over </w:t>
      </w:r>
      <w:r>
        <w:rPr>
          <w:b/>
          <w:bCs/>
        </w:rPr>
        <w:t xml:space="preserve">10 years of direct industry experience</w:t>
      </w:r>
      <w:r>
        <w:t xml:space="preserve">, and the team has maintained tenure averaging </w:t>
      </w:r>
      <w:r>
        <w:rPr>
          <w:b/>
          <w:bCs/>
        </w:rPr>
        <w:t xml:space="preserve">8+ years</w:t>
      </w:r>
      <w:r>
        <w:t xml:space="preserve">, providing stability that supports continued growth.</w:t>
      </w:r>
    </w:p>
    <w:p>
      <w:r>
        <w:t xml:space="preserve">At a conservative </w:t>
      </w:r>
      <w:r>
        <w:rPr>
          <w:b/>
          <w:bCs/>
        </w:rPr>
        <w:t xml:space="preserve">5% annual growth rate</w:t>
      </w:r>
      <w:r>
        <w:t xml:space="preserve"> — well below the estimated addressable market of $2,000,000 in the Brighton, MI area — projections are realistic and defensible. The requested $50,000 in working capital will allow the business to manage seasonal demand fluctuations common in the landscaping industry, maintain vendor payment cycles, and position for continued organic growth through social media, influencer partnerships, and referral programs.</w:t>
      </w:r>
    </w:p>
    <w:p>
      <w:r>
        <w:t xml:space="preserve">---</w:t>
      </w:r>
    </w:p>
    <w:p>
      <w:r>
        <w:rPr>
          <w:i/>
          <w:iCs/>
        </w:rPr>
        <w:t xml:space="preserve">This document was prepared for SBA loan application purposes. Financial projections are forward-looking estimates based on historical performance and stated assumptions. Actual results may vary.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2026-07-10T19:42:58.340Z</dcterms:created>
  <dcterms:modified xsi:type="dcterms:W3CDTF">2026-07-10T19:42:58.340Z</dcterms:modified>
</cp:coreProperties>
</file>

<file path=docProps/custom.xml><?xml version="1.0" encoding="utf-8"?>
<Properties xmlns="http://schemas.openxmlformats.org/officeDocument/2006/custom-properties" xmlns:vt="http://schemas.openxmlformats.org/officeDocument/2006/docPropsVTypes"/>
</file>