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Jose Rodriguez</w:t>
      </w:r>
    </w:p>
    <w:p>
      <w:pPr>
        <w:jc w:val="center"/>
      </w:pPr>
      <w:r>
        <w:rPr>
          <w:b/>
          <w:sz w:val="26"/>
        </w:rPr>
        <w:t>CSD 325 Module 3 Assignment</w:t>
      </w:r>
    </w:p>
    <w:p>
      <w:pPr>
        <w:jc w:val="center"/>
      </w:pPr>
      <w:r>
        <w:rPr>
          <w:b/>
          <w:sz w:val="26"/>
        </w:rPr>
        <w:t>Cho-Han Flowchart</w:t>
      </w:r>
    </w:p>
    <w:p>
      <w:r>
        <w:rPr>
          <w:sz w:val="20"/>
        </w:rPr>
        <w:t>The flowchart below models the main execution path for the modified Cho-Han program. It shows the bet validation, dice roll, 2 or 7 bonus rule, CHO/HAN decision, 12 percent house fee, and game loop.</w:t>
      </w:r>
    </w:p>
    <w:p>
      <w:r>
        <w:drawing>
          <wp:inline xmlns:a="http://schemas.openxmlformats.org/drawingml/2006/main" xmlns:pic="http://schemas.openxmlformats.org/drawingml/2006/picture">
            <wp:extent cx="4663440" cy="7328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han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732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 xml:space="preserve">Assumptions: </w:t>
      </w:r>
      <w:r>
        <w:rPr>
          <w:sz w:val="20"/>
        </w:rPr>
        <w:t>The flowchart focuses on the main game logic and the required assignment changes. Input validation loops are summarized to keep the diagram readable.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