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témat. Zaměřuje se především na rozdíl mezi deklarací, formalizovaným řízením a manažerskou integrací. Empirický korpus tvoří oficiální dokumenty ČEZ Group, MONETA Money Bank, O2 Czech Republic a Škoda Auto. Pomocí komparativní dokumentové analýzy a řízené kvalitativní obsahové analýzy bylo vybráno 45 významových segmentů, z nichž každý má přesný lokátor, tematické kódy, evidenční třídu a uvedenou hranici interpretace. Pro srovnání různých typů tvrzení byla vytvořena škála E0–E4: od obecné deklarace přes aktivitu a formalizovaný proces až po rozhodovací vazbu a externě podpořený konkrétní výsledek. Analýza ukazuje, že standardizovaná architektura reportingu usnadňuje orientaci, ale sama nedokládá stejnou hloubku řízení. Nejsilnějším veřejným znakem manažerské integrace je vazba informace na kapitálový plán, řízení rizika, produkt, dodavatele, odměňování nebo provozní pravidlo. Reporty podstatně lépe dokládají procesy, aktivity a provozní výsledky než širší kauzální dopady. Jejich informační hodnotu zvyšují transparentně zveřejněné restatementy, nepříznivé trendy, chybějící cíle, trade-offy a negativní dopady. Závěry se vztahují k veřejně vykazované implementaci a nepředstavují nezávislé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issues in their public reports for 2024. It focuses on the distinction between declaration, formalised management and managerial integration. The empirical corpus consists of official documents published by ČEZ Group, MONETA Money Bank, O2 Czech Republic and Škoda Auto. A comparative document analysis and directed qualitative content analysis produced a set of 45 meaning units, each linked to an exact source location, thematic codes, an evidence class and an explicit interpretive boundary. To compare different types of claims, the thesis develops an E0–E4 scale ranging from a general declaration through an activity and a formalised process to a decision link and a specifically delimited result with strong external support. The analysis shows that a standardised reporting architecture improves navigation and traceability, but does not by itself demonstrate an equal depth of management integration. The strongest publicly observable indicator of managerial integration is a link between sustainability information and capital planning, risk management, product design, supplier management, remuneration or an operational rule. The reports provide substantially stronger evidence of processes, activities and operational outcomes than of broader causal impacts. Their information value increases when they disclose restatements, adverse trends, missing targets, trade-offs and negative impacts transparently. The conclusions concern publicly reported implementation and do not constitute an independent assessment of the enterprises’ overall sustainability performance.</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04_2468698496">
            <w:r>
              <w:rPr>
                <w:webHidden/>
                <w:rStyle w:val="IndexLink"/>
              </w:rPr>
              <w:t>Úvod</w:t>
              <w:tab/>
              <w:t>5</w:t>
            </w:r>
          </w:hyperlink>
        </w:p>
        <w:p>
          <w:pPr>
            <w:pStyle w:val="TOC2"/>
            <w:tabs>
              <w:tab w:val="clear" w:pos="8789"/>
              <w:tab w:val="right" w:pos="9071" w:leader="dot"/>
            </w:tabs>
            <w:rPr/>
          </w:pPr>
          <w:hyperlink w:anchor="__RefHeading___Toc2006_2468698496">
            <w:r>
              <w:rPr>
                <w:webHidden/>
                <w:rStyle w:val="IndexLink"/>
              </w:rPr>
              <w:t>Cíl práce</w:t>
              <w:tab/>
              <w:t>6</w:t>
            </w:r>
          </w:hyperlink>
        </w:p>
        <w:p>
          <w:pPr>
            <w:pStyle w:val="TOC2"/>
            <w:tabs>
              <w:tab w:val="clear" w:pos="8789"/>
              <w:tab w:val="right" w:pos="9071" w:leader="dot"/>
            </w:tabs>
            <w:rPr/>
          </w:pPr>
          <w:hyperlink w:anchor="__RefHeading___Toc2008_2468698496">
            <w:r>
              <w:rPr>
                <w:webHidden/>
                <w:rStyle w:val="IndexLink"/>
              </w:rPr>
              <w:t>Výzkumné otázky</w:t>
              <w:tab/>
              <w:t>6</w:t>
            </w:r>
          </w:hyperlink>
        </w:p>
        <w:p>
          <w:pPr>
            <w:pStyle w:val="TOC2"/>
            <w:tabs>
              <w:tab w:val="clear" w:pos="8789"/>
              <w:tab w:val="right" w:pos="9071" w:leader="dot"/>
            </w:tabs>
            <w:rPr/>
          </w:pPr>
          <w:hyperlink w:anchor="__RefHeading___Toc2010_2468698496">
            <w:r>
              <w:rPr>
                <w:webHidden/>
                <w:rStyle w:val="IndexLink"/>
              </w:rPr>
              <w:t>Výběr případů a období</w:t>
              <w:tab/>
              <w:t>7</w:t>
            </w:r>
          </w:hyperlink>
        </w:p>
        <w:p>
          <w:pPr>
            <w:pStyle w:val="TOC2"/>
            <w:tabs>
              <w:tab w:val="clear" w:pos="8789"/>
              <w:tab w:val="right" w:pos="9071" w:leader="dot"/>
            </w:tabs>
            <w:rPr/>
          </w:pPr>
          <w:hyperlink w:anchor="__RefHeading___Toc2012_2468698496">
            <w:r>
              <w:rPr>
                <w:webHidden/>
                <w:rStyle w:val="IndexLink"/>
              </w:rPr>
              <w:t>Teoretické a metodické vymezení</w:t>
              <w:tab/>
              <w:t>7</w:t>
            </w:r>
          </w:hyperlink>
        </w:p>
        <w:p>
          <w:pPr>
            <w:pStyle w:val="TOC2"/>
            <w:tabs>
              <w:tab w:val="clear" w:pos="8789"/>
              <w:tab w:val="right" w:pos="9071" w:leader="dot"/>
            </w:tabs>
            <w:rPr/>
          </w:pPr>
          <w:hyperlink w:anchor="__RefHeading___Toc2014_2468698496">
            <w:r>
              <w:rPr>
                <w:webHidden/>
                <w:rStyle w:val="IndexLink"/>
              </w:rPr>
              <w:t>Přínos práce</w:t>
              <w:tab/>
              <w:t>8</w:t>
            </w:r>
          </w:hyperlink>
        </w:p>
        <w:p>
          <w:pPr>
            <w:pStyle w:val="TOC2"/>
            <w:tabs>
              <w:tab w:val="clear" w:pos="8789"/>
              <w:tab w:val="right" w:pos="9071" w:leader="dot"/>
            </w:tabs>
            <w:rPr/>
          </w:pPr>
          <w:hyperlink w:anchor="__RefHeading___Toc2016_2468698496">
            <w:r>
              <w:rPr>
                <w:webHidden/>
                <w:rStyle w:val="IndexLink"/>
              </w:rPr>
              <w:t>Struktura práce</w:t>
              <w:tab/>
              <w:t>9</w:t>
            </w:r>
          </w:hyperlink>
        </w:p>
        <w:p>
          <w:pPr>
            <w:pStyle w:val="TOC1"/>
            <w:tabs>
              <w:tab w:val="clear" w:pos="9072"/>
              <w:tab w:val="right" w:pos="9071" w:leader="dot"/>
            </w:tabs>
            <w:rPr/>
          </w:pPr>
          <w:hyperlink w:anchor="__RefHeading___Toc2018_2468698496">
            <w:r>
              <w:rPr>
                <w:webHidden/>
                <w:rStyle w:val="IndexLink"/>
              </w:rPr>
              <w:t>1 Teoretická východiska</w:t>
              <w:tab/>
              <w:t>10</w:t>
            </w:r>
          </w:hyperlink>
        </w:p>
        <w:p>
          <w:pPr>
            <w:pStyle w:val="TOC2"/>
            <w:tabs>
              <w:tab w:val="clear" w:pos="8789"/>
              <w:tab w:val="right" w:pos="9071" w:leader="dot"/>
            </w:tabs>
            <w:rPr/>
          </w:pPr>
          <w:hyperlink w:anchor="__RefHeading___Toc2020_2468698496">
            <w:r>
              <w:rPr>
                <w:webHidden/>
                <w:rStyle w:val="IndexLink"/>
              </w:rPr>
              <w:t>1.1 Od společenské odpovědnosti k ESG</w:t>
              <w:tab/>
              <w:t>10</w:t>
            </w:r>
          </w:hyperlink>
        </w:p>
        <w:p>
          <w:pPr>
            <w:pStyle w:val="TOC2"/>
            <w:tabs>
              <w:tab w:val="clear" w:pos="8789"/>
              <w:tab w:val="right" w:pos="9071" w:leader="dot"/>
            </w:tabs>
            <w:rPr/>
          </w:pPr>
          <w:hyperlink w:anchor="__RefHeading___Toc2022_2468698496">
            <w:r>
              <w:rPr>
                <w:webHidden/>
                <w:rStyle w:val="IndexLink"/>
              </w:rPr>
              <w:t>1.2 Stakeholderová perspektiva</w:t>
              <w:tab/>
              <w:t>11</w:t>
            </w:r>
          </w:hyperlink>
        </w:p>
        <w:p>
          <w:pPr>
            <w:pStyle w:val="TOC2"/>
            <w:tabs>
              <w:tab w:val="clear" w:pos="8789"/>
              <w:tab w:val="right" w:pos="9071" w:leader="dot"/>
            </w:tabs>
            <w:rPr/>
          </w:pPr>
          <w:hyperlink w:anchor="__RefHeading___Toc2024_2468698496">
            <w:r>
              <w:rPr>
                <w:webHidden/>
                <w:rStyle w:val="IndexLink"/>
              </w:rPr>
              <w:t>1.3 Institucionální tlaky a organizační podobnost</w:t>
              <w:tab/>
              <w:t>12</w:t>
            </w:r>
          </w:hyperlink>
        </w:p>
        <w:p>
          <w:pPr>
            <w:pStyle w:val="TOC2"/>
            <w:tabs>
              <w:tab w:val="clear" w:pos="8789"/>
              <w:tab w:val="right" w:pos="9071" w:leader="dot"/>
            </w:tabs>
            <w:rPr/>
          </w:pPr>
          <w:hyperlink w:anchor="__RefHeading___Toc2026_2468698496">
            <w:r>
              <w:rPr>
                <w:webHidden/>
                <w:rStyle w:val="IndexLink"/>
              </w:rPr>
              <w:t>1.4 Legitimita a firemní zveřejnění</w:t>
              <w:tab/>
              <w:t>12</w:t>
            </w:r>
          </w:hyperlink>
        </w:p>
        <w:p>
          <w:pPr>
            <w:pStyle w:val="TOC2"/>
            <w:tabs>
              <w:tab w:val="clear" w:pos="8789"/>
              <w:tab w:val="right" w:pos="9071" w:leader="dot"/>
            </w:tabs>
            <w:rPr/>
          </w:pPr>
          <w:hyperlink w:anchor="__RefHeading___Toc2028_2468698496">
            <w:r>
              <w:rPr>
                <w:webHidden/>
                <w:rStyle w:val="IndexLink"/>
              </w:rPr>
              <w:t>1.5 Materialita jako rozhodnutí o prioritách</w:t>
              <w:tab/>
              <w:t>13</w:t>
            </w:r>
          </w:hyperlink>
        </w:p>
        <w:p>
          <w:pPr>
            <w:pStyle w:val="TOC2"/>
            <w:tabs>
              <w:tab w:val="clear" w:pos="8789"/>
              <w:tab w:val="right" w:pos="9071" w:leader="dot"/>
            </w:tabs>
            <w:rPr/>
          </w:pPr>
          <w:hyperlink w:anchor="__RefHeading___Toc2030_2468698496">
            <w:r>
              <w:rPr>
                <w:webHidden/>
                <w:rStyle w:val="IndexLink"/>
              </w:rPr>
              <w:t>1.6 Organizační procesy a hloubka implementace</w:t>
              <w:tab/>
              <w:t>14</w:t>
            </w:r>
          </w:hyperlink>
        </w:p>
        <w:p>
          <w:pPr>
            <w:pStyle w:val="TOC2"/>
            <w:tabs>
              <w:tab w:val="clear" w:pos="8789"/>
              <w:tab w:val="right" w:pos="9071" w:leader="dot"/>
            </w:tabs>
            <w:rPr/>
          </w:pPr>
          <w:hyperlink w:anchor="__RefHeading___Toc2032_2468698496">
            <w:r>
              <w:rPr>
                <w:webHidden/>
                <w:rStyle w:val="IndexLink"/>
              </w:rPr>
              <w:t>1.7 ESG a podniková výkonnost</w:t>
              <w:tab/>
              <w:t>15</w:t>
            </w:r>
          </w:hyperlink>
        </w:p>
        <w:p>
          <w:pPr>
            <w:pStyle w:val="TOC2"/>
            <w:tabs>
              <w:tab w:val="clear" w:pos="8789"/>
              <w:tab w:val="right" w:pos="9071" w:leader="dot"/>
            </w:tabs>
            <w:rPr/>
          </w:pPr>
          <w:hyperlink w:anchor="__RefHeading___Toc2034_2468698496">
            <w:r>
              <w:rPr>
                <w:webHidden/>
                <w:rStyle w:val="IndexLink"/>
              </w:rPr>
              <w:t>1.8 Ratingy a problém agregace</w:t>
              <w:tab/>
              <w:t>15</w:t>
            </w:r>
          </w:hyperlink>
        </w:p>
        <w:p>
          <w:pPr>
            <w:pStyle w:val="TOC2"/>
            <w:tabs>
              <w:tab w:val="clear" w:pos="8789"/>
              <w:tab w:val="right" w:pos="9071" w:leader="dot"/>
            </w:tabs>
            <w:rPr/>
          </w:pPr>
          <w:hyperlink w:anchor="__RefHeading___Toc2036_2468698496">
            <w:r>
              <w:rPr>
                <w:webHidden/>
                <w:rStyle w:val="IndexLink"/>
              </w:rPr>
              <w:t>1.9 Povinný reporting jako možný impuls organizační změny</w:t>
              <w:tab/>
              <w:t>16</w:t>
            </w:r>
          </w:hyperlink>
        </w:p>
        <w:p>
          <w:pPr>
            <w:pStyle w:val="TOC2"/>
            <w:tabs>
              <w:tab w:val="clear" w:pos="8789"/>
              <w:tab w:val="right" w:pos="9071" w:leader="dot"/>
            </w:tabs>
            <w:rPr/>
          </w:pPr>
          <w:hyperlink w:anchor="__RefHeading___Toc2038_2468698496">
            <w:r>
              <w:rPr>
                <w:webHidden/>
                <w:rStyle w:val="IndexLink"/>
              </w:rPr>
              <w:t>1.10 Kvalita zveřejnění: více dat ještě neznamená více informace</w:t>
              <w:tab/>
              <w:t>17</w:t>
            </w:r>
          </w:hyperlink>
        </w:p>
        <w:p>
          <w:pPr>
            <w:pStyle w:val="TOC2"/>
            <w:tabs>
              <w:tab w:val="clear" w:pos="8789"/>
              <w:tab w:val="right" w:pos="9071" w:leader="dot"/>
            </w:tabs>
            <w:rPr/>
          </w:pPr>
          <w:hyperlink w:anchor="__RefHeading___Toc2040_2468698496">
            <w:r>
              <w:rPr>
                <w:webHidden/>
                <w:rStyle w:val="IndexLink"/>
              </w:rPr>
              <w:t>1.11 Assurance a hranice ověření</w:t>
              <w:tab/>
              <w:t>17</w:t>
            </w:r>
          </w:hyperlink>
        </w:p>
        <w:p>
          <w:pPr>
            <w:pStyle w:val="TOC2"/>
            <w:tabs>
              <w:tab w:val="clear" w:pos="8789"/>
              <w:tab w:val="right" w:pos="9071" w:leader="dot"/>
            </w:tabs>
            <w:rPr/>
          </w:pPr>
          <w:hyperlink w:anchor="__RefHeading___Toc2042_2468698496">
            <w:r>
              <w:rPr>
                <w:webHidden/>
                <w:rStyle w:val="IndexLink"/>
              </w:rPr>
              <w:t>1.12 Dokument jako empirický zdroj</w:t>
              <w:tab/>
              <w:t>18</w:t>
            </w:r>
          </w:hyperlink>
        </w:p>
        <w:p>
          <w:pPr>
            <w:pStyle w:val="TOC2"/>
            <w:tabs>
              <w:tab w:val="clear" w:pos="8789"/>
              <w:tab w:val="right" w:pos="9071" w:leader="dot"/>
            </w:tabs>
            <w:rPr/>
          </w:pPr>
          <w:hyperlink w:anchor="__RefHeading___Toc2044_2468698496">
            <w:r>
              <w:rPr>
                <w:webHidden/>
                <w:rStyle w:val="IndexLink"/>
              </w:rPr>
              <w:t>1.13 Pracovní model zveřejněné implementace</w:t>
              <w:tab/>
              <w:t>19</w:t>
            </w:r>
          </w:hyperlink>
        </w:p>
        <w:p>
          <w:pPr>
            <w:pStyle w:val="TOC2"/>
            <w:tabs>
              <w:tab w:val="clear" w:pos="8789"/>
              <w:tab w:val="right" w:pos="9071" w:leader="dot"/>
            </w:tabs>
            <w:rPr/>
          </w:pPr>
          <w:hyperlink w:anchor="__RefHeading___Toc2046_2468698496">
            <w:r>
              <w:rPr>
                <w:webHidden/>
                <w:rStyle w:val="IndexLink"/>
              </w:rPr>
              <w:t>1.14 Shrnutí teoretické kapitoly</w:t>
              <w:tab/>
              <w:t>19</w:t>
            </w:r>
          </w:hyperlink>
        </w:p>
        <w:p>
          <w:pPr>
            <w:pStyle w:val="TOC1"/>
            <w:tabs>
              <w:tab w:val="clear" w:pos="9072"/>
              <w:tab w:val="right" w:pos="9071" w:leader="dot"/>
            </w:tabs>
            <w:rPr/>
          </w:pPr>
          <w:hyperlink w:anchor="__RefHeading___Toc2048_2468698496">
            <w:r>
              <w:rPr>
                <w:webHidden/>
                <w:rStyle w:val="IndexLink"/>
              </w:rPr>
              <w:t>2 Regulatorní a reportovací kontext</w:t>
              <w:tab/>
              <w:t>21</w:t>
            </w:r>
          </w:hyperlink>
        </w:p>
        <w:p>
          <w:pPr>
            <w:pStyle w:val="TOC2"/>
            <w:tabs>
              <w:tab w:val="clear" w:pos="8789"/>
              <w:tab w:val="right" w:pos="9071" w:leader="dot"/>
            </w:tabs>
            <w:rPr/>
          </w:pPr>
          <w:hyperlink w:anchor="__RefHeading___Toc2050_2468698496">
            <w:r>
              <w:rPr>
                <w:webHidden/>
                <w:rStyle w:val="IndexLink"/>
              </w:rPr>
              <w:t>2.1 Proč je regulace součástí analýzy</w:t>
              <w:tab/>
              <w:t>21</w:t>
            </w:r>
          </w:hyperlink>
        </w:p>
        <w:p>
          <w:pPr>
            <w:pStyle w:val="TOC2"/>
            <w:tabs>
              <w:tab w:val="clear" w:pos="8789"/>
              <w:tab w:val="right" w:pos="9071" w:leader="dot"/>
            </w:tabs>
            <w:rPr/>
          </w:pPr>
          <w:hyperlink w:anchor="__RefHeading___Toc2052_2468698496">
            <w:r>
              <w:rPr>
                <w:webHidden/>
                <w:rStyle w:val="IndexLink"/>
              </w:rPr>
              <w:t>2.2 CSRD a změna logiky podávání zpráv</w:t>
              <w:tab/>
              <w:t>21</w:t>
            </w:r>
          </w:hyperlink>
        </w:p>
        <w:p>
          <w:pPr>
            <w:pStyle w:val="TOC2"/>
            <w:tabs>
              <w:tab w:val="clear" w:pos="8789"/>
              <w:tab w:val="right" w:pos="9071" w:leader="dot"/>
            </w:tabs>
            <w:rPr/>
          </w:pPr>
          <w:hyperlink w:anchor="__RefHeading___Toc2054_2468698496">
            <w:r>
              <w:rPr>
                <w:webHidden/>
                <w:rStyle w:val="IndexLink"/>
              </w:rPr>
              <w:t>2.3 ESRS jako společná informační architektura</w:t>
              <w:tab/>
              <w:t>22</w:t>
            </w:r>
          </w:hyperlink>
        </w:p>
        <w:p>
          <w:pPr>
            <w:pStyle w:val="TOC3"/>
            <w:tabs>
              <w:tab w:val="clear" w:pos="8505"/>
              <w:tab w:val="right" w:pos="9071" w:leader="dot"/>
            </w:tabs>
            <w:rPr/>
          </w:pPr>
          <w:hyperlink w:anchor="__RefHeading___Toc2056_2468698496">
            <w:r>
              <w:rPr>
                <w:webHidden/>
                <w:rStyle w:val="IndexLink"/>
              </w:rPr>
              <w:t>2.3.1 Dvojí materialita</w:t>
              <w:tab/>
              <w:t>23</w:t>
            </w:r>
          </w:hyperlink>
        </w:p>
        <w:p>
          <w:pPr>
            <w:pStyle w:val="TOC3"/>
            <w:tabs>
              <w:tab w:val="clear" w:pos="8505"/>
              <w:tab w:val="right" w:pos="9071" w:leader="dot"/>
            </w:tabs>
            <w:rPr/>
          </w:pPr>
          <w:hyperlink w:anchor="__RefHeading___Toc2058_2468698496">
            <w:r>
              <w:rPr>
                <w:webHidden/>
                <w:rStyle w:val="IndexLink"/>
              </w:rPr>
              <w:t>2.3.2 Dopady, rizika a příležitosti</w:t>
              <w:tab/>
              <w:t>23</w:t>
            </w:r>
          </w:hyperlink>
        </w:p>
        <w:p>
          <w:pPr>
            <w:pStyle w:val="TOC3"/>
            <w:tabs>
              <w:tab w:val="clear" w:pos="8505"/>
              <w:tab w:val="right" w:pos="9071" w:leader="dot"/>
            </w:tabs>
            <w:rPr/>
          </w:pPr>
          <w:hyperlink w:anchor="__RefHeading___Toc2060_2468698496">
            <w:r>
              <w:rPr>
                <w:webHidden/>
                <w:rStyle w:val="IndexLink"/>
              </w:rPr>
              <w:t>2.3.3 Politiky, opatření, zdroje, cíle a metriky</w:t>
              <w:tab/>
              <w:t>24</w:t>
            </w:r>
          </w:hyperlink>
        </w:p>
        <w:p>
          <w:pPr>
            <w:pStyle w:val="TOC2"/>
            <w:tabs>
              <w:tab w:val="clear" w:pos="8789"/>
              <w:tab w:val="right" w:pos="9071" w:leader="dot"/>
            </w:tabs>
            <w:rPr/>
          </w:pPr>
          <w:hyperlink w:anchor="__RefHeading___Toc2062_2468698496">
            <w:r>
              <w:rPr>
                <w:webHidden/>
                <w:rStyle w:val="IndexLink"/>
              </w:rPr>
              <w:t>2.4 Zpráva o udržitelnosti a omezené ujištění</w:t>
              <w:tab/>
              <w:t>24</w:t>
            </w:r>
          </w:hyperlink>
        </w:p>
        <w:p>
          <w:pPr>
            <w:pStyle w:val="TOC2"/>
            <w:tabs>
              <w:tab w:val="clear" w:pos="8789"/>
              <w:tab w:val="right" w:pos="9071" w:leader="dot"/>
            </w:tabs>
            <w:rPr/>
          </w:pPr>
          <w:hyperlink w:anchor="__RefHeading___Toc2064_2468698496">
            <w:r>
              <w:rPr>
                <w:webHidden/>
                <w:rStyle w:val="IndexLink"/>
              </w:rPr>
              <w:t>2.5 EU Taxonomie</w:t>
              <w:tab/>
              <w:t>25</w:t>
            </w:r>
          </w:hyperlink>
        </w:p>
        <w:p>
          <w:pPr>
            <w:pStyle w:val="TOC2"/>
            <w:tabs>
              <w:tab w:val="clear" w:pos="8789"/>
              <w:tab w:val="right" w:pos="9071" w:leader="dot"/>
            </w:tabs>
            <w:rPr/>
          </w:pPr>
          <w:hyperlink w:anchor="__RefHeading___Toc2066_2468698496">
            <w:r>
              <w:rPr>
                <w:webHidden/>
                <w:rStyle w:val="IndexLink"/>
              </w:rPr>
              <w:t>2.6 Česká transpozice pro první reportovací období</w:t>
              <w:tab/>
              <w:t>25</w:t>
            </w:r>
          </w:hyperlink>
        </w:p>
        <w:p>
          <w:pPr>
            <w:pStyle w:val="TOC2"/>
            <w:tabs>
              <w:tab w:val="clear" w:pos="8789"/>
              <w:tab w:val="right" w:pos="9071" w:leader="dot"/>
            </w:tabs>
            <w:rPr/>
          </w:pPr>
          <w:hyperlink w:anchor="__RefHeading___Toc2068_2468698496">
            <w:r>
              <w:rPr>
                <w:webHidden/>
                <w:rStyle w:val="IndexLink"/>
              </w:rPr>
              <w:t>2.7 GRI, skupinové standardy a přechodné reportování</w:t>
              <w:tab/>
              <w:t>26</w:t>
            </w:r>
          </w:hyperlink>
        </w:p>
        <w:p>
          <w:pPr>
            <w:pStyle w:val="TOC2"/>
            <w:tabs>
              <w:tab w:val="clear" w:pos="8789"/>
              <w:tab w:val="right" w:pos="9071" w:leader="dot"/>
            </w:tabs>
            <w:rPr/>
          </w:pPr>
          <w:hyperlink w:anchor="__RefHeading___Toc2070_2468698496">
            <w:r>
              <w:rPr>
                <w:webHidden/>
                <w:rStyle w:val="IndexLink"/>
              </w:rPr>
              <w:t>2.8 Pozdější změny a analytické zmrazení</w:t>
              <w:tab/>
              <w:t>27</w:t>
            </w:r>
          </w:hyperlink>
        </w:p>
        <w:p>
          <w:pPr>
            <w:pStyle w:val="TOC2"/>
            <w:tabs>
              <w:tab w:val="clear" w:pos="8789"/>
              <w:tab w:val="right" w:pos="9071" w:leader="dot"/>
            </w:tabs>
            <w:rPr/>
          </w:pPr>
          <w:hyperlink w:anchor="__RefHeading___Toc2072_2468698496">
            <w:r>
              <w:rPr>
                <w:webHidden/>
                <w:rStyle w:val="IndexLink"/>
              </w:rPr>
              <w:t>2.9 Co z regulatorního kontextu plyne pro analýzu</w:t>
              <w:tab/>
              <w:t>27</w:t>
            </w:r>
          </w:hyperlink>
        </w:p>
        <w:p>
          <w:pPr>
            <w:pStyle w:val="TOC1"/>
            <w:tabs>
              <w:tab w:val="clear" w:pos="9072"/>
              <w:tab w:val="right" w:pos="9071" w:leader="dot"/>
            </w:tabs>
            <w:rPr/>
          </w:pPr>
          <w:hyperlink w:anchor="__RefHeading___Toc2074_2468698496">
            <w:r>
              <w:rPr>
                <w:webHidden/>
                <w:rStyle w:val="IndexLink"/>
              </w:rPr>
              <w:t>3 Metodologie</w:t>
              <w:tab/>
              <w:t>28</w:t>
            </w:r>
          </w:hyperlink>
        </w:p>
        <w:p>
          <w:pPr>
            <w:pStyle w:val="TOC2"/>
            <w:tabs>
              <w:tab w:val="clear" w:pos="8789"/>
              <w:tab w:val="right" w:pos="9071" w:leader="dot"/>
            </w:tabs>
            <w:rPr/>
          </w:pPr>
          <w:hyperlink w:anchor="__RefHeading___Toc2076_2468698496">
            <w:r>
              <w:rPr>
                <w:webHidden/>
                <w:rStyle w:val="IndexLink"/>
              </w:rPr>
              <w:t>3.1 Výzkumný přístup</w:t>
              <w:tab/>
              <w:t>28</w:t>
            </w:r>
          </w:hyperlink>
        </w:p>
        <w:p>
          <w:pPr>
            <w:pStyle w:val="TOC2"/>
            <w:tabs>
              <w:tab w:val="clear" w:pos="8789"/>
              <w:tab w:val="right" w:pos="9071" w:leader="dot"/>
            </w:tabs>
            <w:rPr/>
          </w:pPr>
          <w:hyperlink w:anchor="__RefHeading___Toc2078_2468698496">
            <w:r>
              <w:rPr>
                <w:webHidden/>
                <w:rStyle w:val="IndexLink"/>
              </w:rPr>
              <w:t>3.2 Výzkumné otázky</w:t>
              <w:tab/>
              <w:t>28</w:t>
            </w:r>
          </w:hyperlink>
        </w:p>
        <w:p>
          <w:pPr>
            <w:pStyle w:val="TOC2"/>
            <w:tabs>
              <w:tab w:val="clear" w:pos="8789"/>
              <w:tab w:val="right" w:pos="9071" w:leader="dot"/>
            </w:tabs>
            <w:rPr/>
          </w:pPr>
          <w:hyperlink w:anchor="__RefHeading___Toc2080_2468698496">
            <w:r>
              <w:rPr>
                <w:webHidden/>
                <w:rStyle w:val="IndexLink"/>
              </w:rPr>
              <w:t>3.3 Výběr případů</w:t>
              <w:tab/>
              <w:t>29</w:t>
            </w:r>
          </w:hyperlink>
        </w:p>
        <w:p>
          <w:pPr>
            <w:pStyle w:val="TOC2"/>
            <w:tabs>
              <w:tab w:val="clear" w:pos="8789"/>
              <w:tab w:val="right" w:pos="9071" w:leader="dot"/>
            </w:tabs>
            <w:rPr/>
          </w:pPr>
          <w:hyperlink w:anchor="__RefHeading___Toc2082_2468698496">
            <w:r>
              <w:rPr>
                <w:webHidden/>
                <w:rStyle w:val="IndexLink"/>
              </w:rPr>
              <w:t>3.4 Dokumentový korpus</w:t>
              <w:tab/>
              <w:t>30</w:t>
            </w:r>
          </w:hyperlink>
        </w:p>
        <w:p>
          <w:pPr>
            <w:pStyle w:val="TOC2"/>
            <w:tabs>
              <w:tab w:val="clear" w:pos="8789"/>
              <w:tab w:val="right" w:pos="9071" w:leader="dot"/>
            </w:tabs>
            <w:rPr/>
          </w:pPr>
          <w:hyperlink w:anchor="__RefHeading___Toc2084_2468698496">
            <w:r>
              <w:rPr>
                <w:webHidden/>
                <w:rStyle w:val="IndexLink"/>
              </w:rPr>
              <w:t>3.5 Strategie čtení a extrakce</w:t>
              <w:tab/>
              <w:t>31</w:t>
            </w:r>
          </w:hyperlink>
        </w:p>
        <w:p>
          <w:pPr>
            <w:pStyle w:val="TOC2"/>
            <w:tabs>
              <w:tab w:val="clear" w:pos="8789"/>
              <w:tab w:val="right" w:pos="9071" w:leader="dot"/>
            </w:tabs>
            <w:rPr/>
          </w:pPr>
          <w:hyperlink w:anchor="__RefHeading___Toc2086_2468698496">
            <w:r>
              <w:rPr>
                <w:webHidden/>
                <w:rStyle w:val="IndexLink"/>
              </w:rPr>
              <w:t>3.6 Jednotky analýzy a segmentace</w:t>
              <w:tab/>
              <w:t>31</w:t>
            </w:r>
          </w:hyperlink>
        </w:p>
        <w:p>
          <w:pPr>
            <w:pStyle w:val="TOC2"/>
            <w:tabs>
              <w:tab w:val="clear" w:pos="8789"/>
              <w:tab w:val="right" w:pos="9071" w:leader="dot"/>
            </w:tabs>
            <w:rPr/>
          </w:pPr>
          <w:hyperlink w:anchor="__RefHeading___Toc2088_2468698496">
            <w:r>
              <w:rPr>
                <w:webHidden/>
                <w:rStyle w:val="IndexLink"/>
              </w:rPr>
              <w:t>3.7 Kódovací rámec</w:t>
              <w:tab/>
              <w:t>32</w:t>
            </w:r>
          </w:hyperlink>
        </w:p>
        <w:p>
          <w:pPr>
            <w:pStyle w:val="TOC2"/>
            <w:tabs>
              <w:tab w:val="clear" w:pos="8789"/>
              <w:tab w:val="right" w:pos="9071" w:leader="dot"/>
            </w:tabs>
            <w:rPr/>
          </w:pPr>
          <w:hyperlink w:anchor="__RefHeading___Toc2090_2468698496">
            <w:r>
              <w:rPr>
                <w:webHidden/>
                <w:rStyle w:val="IndexLink"/>
              </w:rPr>
              <w:t>3.8 Škála evidenční síly E0–E4</w:t>
              <w:tab/>
              <w:t>33</w:t>
            </w:r>
          </w:hyperlink>
        </w:p>
        <w:p>
          <w:pPr>
            <w:pStyle w:val="TOC2"/>
            <w:tabs>
              <w:tab w:val="clear" w:pos="8789"/>
              <w:tab w:val="right" w:pos="9071" w:leader="dot"/>
            </w:tabs>
            <w:rPr/>
          </w:pPr>
          <w:hyperlink w:anchor="__RefHeading___Toc2092_2468698496">
            <w:r>
              <w:rPr>
                <w:webHidden/>
                <w:rStyle w:val="IndexLink"/>
              </w:rPr>
              <w:t>3.9 Pilotní kódování</w:t>
              <w:tab/>
              <w:t>34</w:t>
            </w:r>
          </w:hyperlink>
        </w:p>
        <w:p>
          <w:pPr>
            <w:pStyle w:val="TOC2"/>
            <w:tabs>
              <w:tab w:val="clear" w:pos="8789"/>
              <w:tab w:val="right" w:pos="9071" w:leader="dot"/>
            </w:tabs>
            <w:rPr/>
          </w:pPr>
          <w:hyperlink w:anchor="__RefHeading___Toc2094_2468698496">
            <w:r>
              <w:rPr>
                <w:webHidden/>
                <w:rStyle w:val="IndexLink"/>
              </w:rPr>
              <w:t>3.10 Hlavní kódování a případová mema</w:t>
              <w:tab/>
              <w:t>34</w:t>
            </w:r>
          </w:hyperlink>
        </w:p>
        <w:p>
          <w:pPr>
            <w:pStyle w:val="TOC2"/>
            <w:tabs>
              <w:tab w:val="clear" w:pos="8789"/>
              <w:tab w:val="right" w:pos="9071" w:leader="dot"/>
            </w:tabs>
            <w:rPr/>
          </w:pPr>
          <w:hyperlink w:anchor="__RefHeading___Toc2096_2468698496">
            <w:r>
              <w:rPr>
                <w:webHidden/>
                <w:rStyle w:val="IndexLink"/>
              </w:rPr>
              <w:t>3.11 Mezipřípadová syntéza</w:t>
              <w:tab/>
              <w:t>35</w:t>
            </w:r>
          </w:hyperlink>
        </w:p>
        <w:p>
          <w:pPr>
            <w:pStyle w:val="TOC2"/>
            <w:tabs>
              <w:tab w:val="clear" w:pos="8789"/>
              <w:tab w:val="right" w:pos="9071" w:leader="dot"/>
            </w:tabs>
            <w:rPr/>
          </w:pPr>
          <w:hyperlink w:anchor="__RefHeading___Toc2098_2468698496">
            <w:r>
              <w:rPr>
                <w:webHidden/>
                <w:rStyle w:val="IndexLink"/>
              </w:rPr>
              <w:t>3.12 Kontrola konzistence</w:t>
              <w:tab/>
              <w:t>35</w:t>
            </w:r>
          </w:hyperlink>
        </w:p>
        <w:p>
          <w:pPr>
            <w:pStyle w:val="TOC2"/>
            <w:tabs>
              <w:tab w:val="clear" w:pos="8789"/>
              <w:tab w:val="right" w:pos="9071" w:leader="dot"/>
            </w:tabs>
            <w:rPr/>
          </w:pPr>
          <w:hyperlink w:anchor="__RefHeading___Toc2100_2468698496">
            <w:r>
              <w:rPr>
                <w:webHidden/>
                <w:rStyle w:val="IndexLink"/>
              </w:rPr>
              <w:t>3.13 Důvěryhodnost a auditní stopa</w:t>
              <w:tab/>
              <w:t>36</w:t>
            </w:r>
          </w:hyperlink>
        </w:p>
        <w:p>
          <w:pPr>
            <w:pStyle w:val="TOC3"/>
            <w:tabs>
              <w:tab w:val="clear" w:pos="8505"/>
              <w:tab w:val="right" w:pos="9071" w:leader="dot"/>
            </w:tabs>
            <w:rPr/>
          </w:pPr>
          <w:hyperlink w:anchor="__RefHeading___Toc2102_2468698496">
            <w:r>
              <w:rPr>
                <w:webHidden/>
                <w:rStyle w:val="IndexLink"/>
              </w:rPr>
              <w:t>3.13.1 Dohledatelnost</w:t>
              <w:tab/>
              <w:t>36</w:t>
            </w:r>
          </w:hyperlink>
        </w:p>
        <w:p>
          <w:pPr>
            <w:pStyle w:val="TOC3"/>
            <w:tabs>
              <w:tab w:val="clear" w:pos="8505"/>
              <w:tab w:val="right" w:pos="9071" w:leader="dot"/>
            </w:tabs>
            <w:rPr/>
          </w:pPr>
          <w:hyperlink w:anchor="__RefHeading___Toc2104_2468698496">
            <w:r>
              <w:rPr>
                <w:webHidden/>
                <w:rStyle w:val="IndexLink"/>
              </w:rPr>
              <w:t>3.13.2 Negativní případy</w:t>
              <w:tab/>
              <w:t>36</w:t>
            </w:r>
          </w:hyperlink>
        </w:p>
        <w:p>
          <w:pPr>
            <w:pStyle w:val="TOC3"/>
            <w:tabs>
              <w:tab w:val="clear" w:pos="8505"/>
              <w:tab w:val="right" w:pos="9071" w:leader="dot"/>
            </w:tabs>
            <w:rPr/>
          </w:pPr>
          <w:hyperlink w:anchor="__RefHeading___Toc2106_2468698496">
            <w:r>
              <w:rPr>
                <w:webHidden/>
                <w:rStyle w:val="IndexLink"/>
              </w:rPr>
              <w:t>3.13.3 Alternativní výklad</w:t>
              <w:tab/>
              <w:t>36</w:t>
            </w:r>
          </w:hyperlink>
        </w:p>
        <w:p>
          <w:pPr>
            <w:pStyle w:val="TOC3"/>
            <w:tabs>
              <w:tab w:val="clear" w:pos="8505"/>
              <w:tab w:val="right" w:pos="9071" w:leader="dot"/>
            </w:tabs>
            <w:rPr/>
          </w:pPr>
          <w:hyperlink w:anchor="__RefHeading___Toc2108_2468698496">
            <w:r>
              <w:rPr>
                <w:webHidden/>
                <w:rStyle w:val="IndexLink"/>
              </w:rPr>
              <w:t>3.13.4 Reflexivita</w:t>
              <w:tab/>
              <w:t>37</w:t>
            </w:r>
          </w:hyperlink>
        </w:p>
        <w:p>
          <w:pPr>
            <w:pStyle w:val="TOC3"/>
            <w:tabs>
              <w:tab w:val="clear" w:pos="8505"/>
              <w:tab w:val="right" w:pos="9071" w:leader="dot"/>
            </w:tabs>
            <w:rPr/>
          </w:pPr>
          <w:hyperlink w:anchor="__RefHeading___Toc2110_2468698496">
            <w:r>
              <w:rPr>
                <w:webHidden/>
                <w:rStyle w:val="IndexLink"/>
              </w:rPr>
              <w:t>3.13.5 Verzování</w:t>
              <w:tab/>
              <w:t>37</w:t>
            </w:r>
          </w:hyperlink>
        </w:p>
        <w:p>
          <w:pPr>
            <w:pStyle w:val="TOC2"/>
            <w:tabs>
              <w:tab w:val="clear" w:pos="8789"/>
              <w:tab w:val="right" w:pos="9071" w:leader="dot"/>
            </w:tabs>
            <w:rPr/>
          </w:pPr>
          <w:hyperlink w:anchor="__RefHeading___Toc2112_2468698496">
            <w:r>
              <w:rPr>
                <w:webHidden/>
                <w:rStyle w:val="IndexLink"/>
              </w:rPr>
              <w:t>3.14 Etické aspekty</w:t>
              <w:tab/>
              <w:t>37</w:t>
            </w:r>
          </w:hyperlink>
        </w:p>
        <w:p>
          <w:pPr>
            <w:pStyle w:val="TOC2"/>
            <w:tabs>
              <w:tab w:val="clear" w:pos="8789"/>
              <w:tab w:val="right" w:pos="9071" w:leader="dot"/>
            </w:tabs>
            <w:rPr/>
          </w:pPr>
          <w:hyperlink w:anchor="__RefHeading___Toc2114_2468698496">
            <w:r>
              <w:rPr>
                <w:webHidden/>
                <w:rStyle w:val="IndexLink"/>
              </w:rPr>
              <w:t>3.15 Limity výzkumného designu</w:t>
              <w:tab/>
              <w:t>37</w:t>
            </w:r>
          </w:hyperlink>
        </w:p>
        <w:p>
          <w:pPr>
            <w:pStyle w:val="TOC2"/>
            <w:tabs>
              <w:tab w:val="clear" w:pos="8789"/>
              <w:tab w:val="right" w:pos="9071" w:leader="dot"/>
            </w:tabs>
            <w:rPr/>
          </w:pPr>
          <w:hyperlink w:anchor="__RefHeading___Toc2116_2468698496">
            <w:r>
              <w:rPr>
                <w:webHidden/>
                <w:rStyle w:val="IndexLink"/>
              </w:rPr>
              <w:t>3.16 Kritérium analytické dostatečnosti</w:t>
              <w:tab/>
              <w:t>38</w:t>
            </w:r>
          </w:hyperlink>
        </w:p>
        <w:p>
          <w:pPr>
            <w:pStyle w:val="TOC1"/>
            <w:tabs>
              <w:tab w:val="clear" w:pos="9072"/>
              <w:tab w:val="right" w:pos="9071" w:leader="dot"/>
            </w:tabs>
            <w:rPr/>
          </w:pPr>
          <w:hyperlink w:anchor="__RefHeading___Toc2118_2468698496">
            <w:r>
              <w:rPr>
                <w:webHidden/>
                <w:rStyle w:val="IndexLink"/>
              </w:rPr>
              <w:t>4 Výsledky</w:t>
              <w:tab/>
              <w:t>39</w:t>
            </w:r>
          </w:hyperlink>
        </w:p>
        <w:p>
          <w:pPr>
            <w:pStyle w:val="TOC2"/>
            <w:tabs>
              <w:tab w:val="clear" w:pos="8789"/>
              <w:tab w:val="right" w:pos="9071" w:leader="dot"/>
            </w:tabs>
            <w:rPr/>
          </w:pPr>
          <w:hyperlink w:anchor="__RefHeading___Toc2120_2468698496">
            <w:r>
              <w:rPr>
                <w:webHidden/>
                <w:rStyle w:val="IndexLink"/>
              </w:rPr>
              <w:t>4.1 Charakteristika analytického korpusu</w:t>
              <w:tab/>
              <w:t>39</w:t>
            </w:r>
          </w:hyperlink>
        </w:p>
        <w:p>
          <w:pPr>
            <w:pStyle w:val="TOC2"/>
            <w:tabs>
              <w:tab w:val="clear" w:pos="8789"/>
              <w:tab w:val="right" w:pos="9071" w:leader="dot"/>
            </w:tabs>
            <w:rPr/>
          </w:pPr>
          <w:hyperlink w:anchor="__RefHeading___Toc2122_2468698496">
            <w:r>
              <w:rPr>
                <w:webHidden/>
                <w:rStyle w:val="IndexLink"/>
              </w:rPr>
              <w:t>4.2 Téma 1: Standardizovaná architektura reportingu zakrývá rozdílnou manažerskou hloubku</w:t>
              <w:tab/>
              <w:t>40</w:t>
            </w:r>
          </w:hyperlink>
        </w:p>
        <w:p>
          <w:pPr>
            <w:pStyle w:val="TOC3"/>
            <w:tabs>
              <w:tab w:val="clear" w:pos="8505"/>
              <w:tab w:val="right" w:pos="9071" w:leader="dot"/>
            </w:tabs>
            <w:rPr/>
          </w:pPr>
          <w:hyperlink w:anchor="__RefHeading___Toc2124_2468698496">
            <w:r>
              <w:rPr>
                <w:webHidden/>
                <w:rStyle w:val="IndexLink"/>
              </w:rPr>
              <w:t>4.2.1 ČEZ: standardizovaná struktura propojená s investicemi</w:t>
              <w:tab/>
              <w:t>40</w:t>
            </w:r>
          </w:hyperlink>
        </w:p>
        <w:p>
          <w:pPr>
            <w:pStyle w:val="TOC3"/>
            <w:tabs>
              <w:tab w:val="clear" w:pos="8505"/>
              <w:tab w:val="right" w:pos="9071" w:leader="dot"/>
            </w:tabs>
            <w:rPr/>
          </w:pPr>
          <w:hyperlink w:anchor="__RefHeading___Toc2126_2468698496">
            <w:r>
              <w:rPr>
                <w:webHidden/>
                <w:rStyle w:val="IndexLink"/>
              </w:rPr>
              <w:t>4.2.2 MONETA: regulované zveřejnění a jeho čtenářský překlad</w:t>
              <w:tab/>
              <w:t>40</w:t>
            </w:r>
          </w:hyperlink>
        </w:p>
        <w:p>
          <w:pPr>
            <w:pStyle w:val="TOC3"/>
            <w:tabs>
              <w:tab w:val="clear" w:pos="8505"/>
              <w:tab w:val="right" w:pos="9071" w:leader="dot"/>
            </w:tabs>
            <w:rPr/>
          </w:pPr>
          <w:hyperlink w:anchor="__RefHeading___Toc2128_2468698496">
            <w:r>
              <w:rPr>
                <w:webHidden/>
                <w:rStyle w:val="IndexLink"/>
              </w:rPr>
              <w:t>4.2.3 O2: systém uprostřed přechodu</w:t>
              <w:tab/>
              <w:t>41</w:t>
            </w:r>
          </w:hyperlink>
        </w:p>
        <w:p>
          <w:pPr>
            <w:pStyle w:val="TOC3"/>
            <w:tabs>
              <w:tab w:val="clear" w:pos="8505"/>
              <w:tab w:val="right" w:pos="9071" w:leader="dot"/>
            </w:tabs>
            <w:rPr/>
          </w:pPr>
          <w:hyperlink w:anchor="__RefHeading___Toc2130_2468698496">
            <w:r>
              <w:rPr>
                <w:webHidden/>
                <w:rStyle w:val="IndexLink"/>
              </w:rPr>
              <w:t>4.2.4 Škoda Auto: standardizace uvnitř nadnárodní skupiny</w:t>
              <w:tab/>
              <w:t>41</w:t>
            </w:r>
          </w:hyperlink>
        </w:p>
        <w:p>
          <w:pPr>
            <w:pStyle w:val="TOC3"/>
            <w:tabs>
              <w:tab w:val="clear" w:pos="8505"/>
              <w:tab w:val="right" w:pos="9071" w:leader="dot"/>
            </w:tabs>
            <w:rPr/>
          </w:pPr>
          <w:hyperlink w:anchor="__RefHeading___Toc2132_2468698496">
            <w:r>
              <w:rPr>
                <w:webHidden/>
                <w:rStyle w:val="IndexLink"/>
              </w:rPr>
              <w:t>4.2.5 Co společná architektura umožňuje — a co ne</w:t>
              <w:tab/>
              <w:t>42</w:t>
            </w:r>
          </w:hyperlink>
        </w:p>
        <w:p>
          <w:pPr>
            <w:pStyle w:val="TOC2"/>
            <w:tabs>
              <w:tab w:val="clear" w:pos="8789"/>
              <w:tab w:val="right" w:pos="9071" w:leader="dot"/>
            </w:tabs>
            <w:rPr/>
          </w:pPr>
          <w:hyperlink w:anchor="__RefHeading___Toc2134_2468698496">
            <w:r>
              <w:rPr>
                <w:webHidden/>
                <w:rStyle w:val="IndexLink"/>
              </w:rPr>
              <w:t>4.3 Téma 2: ESG se stává řídicí agendou tam, kde získá provozní nebo finanční kotvu</w:t>
              <w:tab/>
              <w:t>42</w:t>
            </w:r>
          </w:hyperlink>
        </w:p>
        <w:p>
          <w:pPr>
            <w:pStyle w:val="TOC3"/>
            <w:tabs>
              <w:tab w:val="clear" w:pos="8505"/>
              <w:tab w:val="right" w:pos="9071" w:leader="dot"/>
            </w:tabs>
            <w:rPr/>
          </w:pPr>
          <w:hyperlink w:anchor="__RefHeading___Toc2136_2468698496">
            <w:r>
              <w:rPr>
                <w:webHidden/>
                <w:rStyle w:val="IndexLink"/>
              </w:rPr>
              <w:t>4.3.1 ČEZ: transformace ukotvená v kapitálovém plánu</w:t>
              <w:tab/>
              <w:t>42</w:t>
            </w:r>
          </w:hyperlink>
        </w:p>
        <w:p>
          <w:pPr>
            <w:pStyle w:val="TOC3"/>
            <w:tabs>
              <w:tab w:val="clear" w:pos="8505"/>
              <w:tab w:val="right" w:pos="9071" w:leader="dot"/>
            </w:tabs>
            <w:rPr/>
          </w:pPr>
          <w:hyperlink w:anchor="__RefHeading___Toc2138_2468698496">
            <w:r>
              <w:rPr>
                <w:webHidden/>
                <w:rStyle w:val="IndexLink"/>
              </w:rPr>
              <w:t>4.3.2 MONETA: pobídky, riziko a financované portfolio</w:t>
              <w:tab/>
              <w:t>42</w:t>
            </w:r>
          </w:hyperlink>
        </w:p>
        <w:p>
          <w:pPr>
            <w:pStyle w:val="TOC3"/>
            <w:tabs>
              <w:tab w:val="clear" w:pos="8505"/>
              <w:tab w:val="right" w:pos="9071" w:leader="dot"/>
            </w:tabs>
            <w:rPr/>
          </w:pPr>
          <w:hyperlink w:anchor="__RefHeading___Toc2140_2468698496">
            <w:r>
              <w:rPr>
                <w:webHidden/>
                <w:rStyle w:val="IndexLink"/>
              </w:rPr>
              <w:t>4.3.3 O2: energetická účinnost jako provozní kritérium</w:t>
              <w:tab/>
              <w:t>43</w:t>
            </w:r>
          </w:hyperlink>
        </w:p>
        <w:p>
          <w:pPr>
            <w:pStyle w:val="TOC3"/>
            <w:tabs>
              <w:tab w:val="clear" w:pos="8505"/>
              <w:tab w:val="right" w:pos="9071" w:leader="dot"/>
            </w:tabs>
            <w:rPr/>
          </w:pPr>
          <w:hyperlink w:anchor="__RefHeading___Toc2142_2468698496">
            <w:r>
              <w:rPr>
                <w:webHidden/>
                <w:rStyle w:val="IndexLink"/>
              </w:rPr>
              <w:t>4.3.4 Škoda Auto: několik kotev v jednom průmyslovém systému</w:t>
              <w:tab/>
              <w:t>43</w:t>
            </w:r>
          </w:hyperlink>
        </w:p>
        <w:p>
          <w:pPr>
            <w:pStyle w:val="TOC3"/>
            <w:tabs>
              <w:tab w:val="clear" w:pos="8505"/>
              <w:tab w:val="right" w:pos="9071" w:leader="dot"/>
            </w:tabs>
            <w:rPr/>
          </w:pPr>
          <w:hyperlink w:anchor="__RefHeading___Toc2144_2468698496">
            <w:r>
              <w:rPr>
                <w:webHidden/>
                <w:rStyle w:val="IndexLink"/>
              </w:rPr>
              <w:t>4.3.5 Společná logika odlišných sektorů</w:t>
              <w:tab/>
              <w:t>44</w:t>
            </w:r>
          </w:hyperlink>
        </w:p>
        <w:p>
          <w:pPr>
            <w:pStyle w:val="TOC2"/>
            <w:tabs>
              <w:tab w:val="clear" w:pos="8789"/>
              <w:tab w:val="right" w:pos="9071" w:leader="dot"/>
            </w:tabs>
            <w:rPr/>
          </w:pPr>
          <w:hyperlink w:anchor="__RefHeading___Toc2146_2468698496">
            <w:r>
              <w:rPr>
                <w:webHidden/>
                <w:rStyle w:val="IndexLink"/>
              </w:rPr>
              <w:t>4.4 Téma 3: Governance je přesvědčivá tehdy, když ukazuje odpovědnost, rytmus a korekci</w:t>
              <w:tab/>
              <w:t>44</w:t>
            </w:r>
          </w:hyperlink>
        </w:p>
        <w:p>
          <w:pPr>
            <w:pStyle w:val="TOC3"/>
            <w:tabs>
              <w:tab w:val="clear" w:pos="8505"/>
              <w:tab w:val="right" w:pos="9071" w:leader="dot"/>
            </w:tabs>
            <w:rPr/>
          </w:pPr>
          <w:hyperlink w:anchor="__RefHeading___Toc2148_2468698496">
            <w:r>
              <w:rPr>
                <w:webHidden/>
                <w:rStyle w:val="IndexLink"/>
              </w:rPr>
              <w:t>4.4.1 ČEZ: odpovědnost na úrovni představenstva</w:t>
              <w:tab/>
              <w:t>44</w:t>
            </w:r>
          </w:hyperlink>
        </w:p>
        <w:p>
          <w:pPr>
            <w:pStyle w:val="TOC3"/>
            <w:tabs>
              <w:tab w:val="clear" w:pos="8505"/>
              <w:tab w:val="right" w:pos="9071" w:leader="dot"/>
            </w:tabs>
            <w:rPr/>
          </w:pPr>
          <w:hyperlink w:anchor="__RefHeading___Toc2150_2468698496">
            <w:r>
              <w:rPr>
                <w:webHidden/>
                <w:rStyle w:val="IndexLink"/>
              </w:rPr>
              <w:t>4.4.2 MONETA: nejpodrobnější veřejný popis kontrolního mechanismu</w:t>
              <w:tab/>
              <w:t>44</w:t>
            </w:r>
          </w:hyperlink>
        </w:p>
        <w:p>
          <w:pPr>
            <w:pStyle w:val="TOC3"/>
            <w:tabs>
              <w:tab w:val="clear" w:pos="8505"/>
              <w:tab w:val="right" w:pos="9071" w:leader="dot"/>
            </w:tabs>
            <w:rPr/>
          </w:pPr>
          <w:hyperlink w:anchor="__RefHeading___Toc2152_2468698496">
            <w:r>
              <w:rPr>
                <w:webHidden/>
                <w:rStyle w:val="IndexLink"/>
              </w:rPr>
              <w:t>4.4.3 O2: pravidelný dohled a přiznaná mezera</w:t>
              <w:tab/>
              <w:t>45</w:t>
            </w:r>
          </w:hyperlink>
        </w:p>
        <w:p>
          <w:pPr>
            <w:pStyle w:val="TOC3"/>
            <w:tabs>
              <w:tab w:val="clear" w:pos="8505"/>
              <w:tab w:val="right" w:pos="9071" w:leader="dot"/>
            </w:tabs>
            <w:rPr/>
          </w:pPr>
          <w:hyperlink w:anchor="__RefHeading___Toc2154_2468698496">
            <w:r>
              <w:rPr>
                <w:webHidden/>
                <w:rStyle w:val="IndexLink"/>
              </w:rPr>
              <w:t>4.4.4 Škoda Auto: interní role, externí rada a odborový dialog</w:t>
              <w:tab/>
              <w:t>45</w:t>
            </w:r>
          </w:hyperlink>
        </w:p>
        <w:p>
          <w:pPr>
            <w:pStyle w:val="TOC3"/>
            <w:tabs>
              <w:tab w:val="clear" w:pos="8505"/>
              <w:tab w:val="right" w:pos="9071" w:leader="dot"/>
            </w:tabs>
            <w:rPr/>
          </w:pPr>
          <w:hyperlink w:anchor="__RefHeading___Toc2156_2468698496">
            <w:r>
              <w:rPr>
                <w:webHidden/>
                <w:rStyle w:val="IndexLink"/>
              </w:rPr>
              <w:t>4.4.5 Od názvu výboru ke skutečné otázce</w:t>
              <w:tab/>
              <w:t>45</w:t>
            </w:r>
          </w:hyperlink>
        </w:p>
        <w:p>
          <w:pPr>
            <w:pStyle w:val="TOC2"/>
            <w:tabs>
              <w:tab w:val="clear" w:pos="8789"/>
              <w:tab w:val="right" w:pos="9071" w:leader="dot"/>
            </w:tabs>
            <w:rPr/>
          </w:pPr>
          <w:hyperlink w:anchor="__RefHeading___Toc2158_2468698496">
            <w:r>
              <w:rPr>
                <w:webHidden/>
                <w:rStyle w:val="IndexLink"/>
              </w:rPr>
              <w:t>4.5 Téma 4: Přesná metrika nemusí dokazovat to, co jí čtenář připisuje</w:t>
              <w:tab/>
              <w:t>46</w:t>
            </w:r>
          </w:hyperlink>
        </w:p>
        <w:p>
          <w:pPr>
            <w:pStyle w:val="TOC3"/>
            <w:tabs>
              <w:tab w:val="clear" w:pos="8505"/>
              <w:tab w:val="right" w:pos="9071" w:leader="dot"/>
            </w:tabs>
            <w:rPr/>
          </w:pPr>
          <w:hyperlink w:anchor="__RefHeading___Toc2160_2468698496">
            <w:r>
              <w:rPr>
                <w:webHidden/>
                <w:rStyle w:val="IndexLink"/>
              </w:rPr>
              <w:t>4.5.1 Dosah aktivity není změna stavu</w:t>
              <w:tab/>
              <w:t>46</w:t>
            </w:r>
          </w:hyperlink>
        </w:p>
        <w:p>
          <w:pPr>
            <w:pStyle w:val="TOC3"/>
            <w:tabs>
              <w:tab w:val="clear" w:pos="8505"/>
              <w:tab w:val="right" w:pos="9071" w:leader="dot"/>
            </w:tabs>
            <w:rPr/>
          </w:pPr>
          <w:hyperlink w:anchor="__RefHeading___Toc2162_2468698496">
            <w:r>
              <w:rPr>
                <w:webHidden/>
                <w:rStyle w:val="IndexLink"/>
              </w:rPr>
              <w:t>4.5.2 Provozní outcome a problém intenzitních ukazatelů</w:t>
              <w:tab/>
              <w:t>46</w:t>
            </w:r>
          </w:hyperlink>
        </w:p>
        <w:p>
          <w:pPr>
            <w:pStyle w:val="TOC3"/>
            <w:tabs>
              <w:tab w:val="clear" w:pos="8505"/>
              <w:tab w:val="right" w:pos="9071" w:leader="dot"/>
            </w:tabs>
            <w:rPr/>
          </w:pPr>
          <w:hyperlink w:anchor="__RefHeading___Toc2164_2468698496">
            <w:r>
              <w:rPr>
                <w:webHidden/>
                <w:rStyle w:val="IndexLink"/>
              </w:rPr>
              <w:t>4.5.3 Časová řada se mění spolu s hranicí</w:t>
              <w:tab/>
              <w:t>47</w:t>
            </w:r>
          </w:hyperlink>
        </w:p>
        <w:p>
          <w:pPr>
            <w:pStyle w:val="TOC3"/>
            <w:tabs>
              <w:tab w:val="clear" w:pos="8505"/>
              <w:tab w:val="right" w:pos="9071" w:leader="dot"/>
            </w:tabs>
            <w:rPr/>
          </w:pPr>
          <w:hyperlink w:anchor="__RefHeading___Toc2166_2468698496">
            <w:r>
              <w:rPr>
                <w:webHidden/>
                <w:rStyle w:val="IndexLink"/>
              </w:rPr>
              <w:t>4.5.4 Assurance podporuje vymezené tvrzení, ne celý příběh</w:t>
              <w:tab/>
              <w:t>47</w:t>
            </w:r>
          </w:hyperlink>
        </w:p>
        <w:p>
          <w:pPr>
            <w:pStyle w:val="TOC3"/>
            <w:tabs>
              <w:tab w:val="clear" w:pos="8505"/>
              <w:tab w:val="right" w:pos="9071" w:leader="dot"/>
            </w:tabs>
            <w:rPr/>
          </w:pPr>
          <w:hyperlink w:anchor="__RefHeading___Toc2168_2468698496">
            <w:r>
              <w:rPr>
                <w:webHidden/>
                <w:rStyle w:val="IndexLink"/>
              </w:rPr>
              <w:t>4.5.5 Kdy má metrika nejvyšší informační hodnotu</w:t>
              <w:tab/>
              <w:t>47</w:t>
            </w:r>
          </w:hyperlink>
        </w:p>
        <w:p>
          <w:pPr>
            <w:pStyle w:val="TOC2"/>
            <w:tabs>
              <w:tab w:val="clear" w:pos="8789"/>
              <w:tab w:val="right" w:pos="9071" w:leader="dot"/>
            </w:tabs>
            <w:rPr/>
          </w:pPr>
          <w:hyperlink w:anchor="__RefHeading___Toc2170_2468698496">
            <w:r>
              <w:rPr>
                <w:webHidden/>
                <w:rStyle w:val="IndexLink"/>
              </w:rPr>
              <w:t>4.6 Téma 5: Přiznané napětí, revize a negativní informace zvyšují informační hodnotu reportu</w:t>
              <w:tab/>
              <w:t>48</w:t>
            </w:r>
          </w:hyperlink>
        </w:p>
        <w:p>
          <w:pPr>
            <w:pStyle w:val="TOC3"/>
            <w:tabs>
              <w:tab w:val="clear" w:pos="8505"/>
              <w:tab w:val="right" w:pos="9071" w:leader="dot"/>
            </w:tabs>
            <w:rPr/>
          </w:pPr>
          <w:hyperlink w:anchor="__RefHeading___Toc2172_2468698496">
            <w:r>
              <w:rPr>
                <w:webHidden/>
                <w:rStyle w:val="IndexLink"/>
              </w:rPr>
              <w:t>4.6.1 ČEZ: přechodový plán vedle pokračujícího fosilního dopadu</w:t>
              <w:tab/>
              <w:t>48</w:t>
            </w:r>
          </w:hyperlink>
        </w:p>
        <w:p>
          <w:pPr>
            <w:pStyle w:val="TOC3"/>
            <w:tabs>
              <w:tab w:val="clear" w:pos="8505"/>
              <w:tab w:val="right" w:pos="9071" w:leader="dot"/>
            </w:tabs>
            <w:rPr/>
          </w:pPr>
          <w:hyperlink w:anchor="__RefHeading___Toc2174_2468698496">
            <w:r>
              <w:rPr>
                <w:webHidden/>
                <w:rStyle w:val="IndexLink"/>
              </w:rPr>
              <w:t>4.6.2 MONETA: kritika regulace, zhoršený ukazatel a chybějící cíl</w:t>
              <w:tab/>
              <w:t>48</w:t>
            </w:r>
          </w:hyperlink>
        </w:p>
        <w:p>
          <w:pPr>
            <w:pStyle w:val="TOC3"/>
            <w:tabs>
              <w:tab w:val="clear" w:pos="8505"/>
              <w:tab w:val="right" w:pos="9071" w:leader="dot"/>
            </w:tabs>
            <w:rPr/>
          </w:pPr>
          <w:hyperlink w:anchor="__RefHeading___Toc2176_2468698496">
            <w:r>
              <w:rPr>
                <w:webHidden/>
                <w:rStyle w:val="IndexLink"/>
              </w:rPr>
              <w:t>4.6.3 O2: přechod zachycený i s jeho nedokončenými částmi</w:t>
              <w:tab/>
              <w:t>49</w:t>
            </w:r>
          </w:hyperlink>
        </w:p>
        <w:p>
          <w:pPr>
            <w:pStyle w:val="TOC3"/>
            <w:tabs>
              <w:tab w:val="clear" w:pos="8505"/>
              <w:tab w:val="right" w:pos="9071" w:leader="dot"/>
            </w:tabs>
            <w:rPr/>
          </w:pPr>
          <w:hyperlink w:anchor="__RefHeading___Toc2178_2468698496">
            <w:r>
              <w:rPr>
                <w:webHidden/>
                <w:rStyle w:val="IndexLink"/>
              </w:rPr>
              <w:t>4.6.4 Škoda Auto: hranice ukryté v klasifikaci a skupinové atribuci</w:t>
              <w:tab/>
              <w:t>49</w:t>
            </w:r>
          </w:hyperlink>
        </w:p>
        <w:p>
          <w:pPr>
            <w:pStyle w:val="TOC3"/>
            <w:tabs>
              <w:tab w:val="clear" w:pos="8505"/>
              <w:tab w:val="right" w:pos="9071" w:leader="dot"/>
            </w:tabs>
            <w:rPr/>
          </w:pPr>
          <w:hyperlink w:anchor="__RefHeading___Toc2180_2468698496">
            <w:r>
              <w:rPr>
                <w:webHidden/>
                <w:rStyle w:val="IndexLink"/>
              </w:rPr>
              <w:t>4.6.5 Negativní údaj není automaticky negativním hodnocením</w:t>
              <w:tab/>
              <w:t>49</w:t>
            </w:r>
          </w:hyperlink>
        </w:p>
        <w:p>
          <w:pPr>
            <w:pStyle w:val="TOC2"/>
            <w:tabs>
              <w:tab w:val="clear" w:pos="8789"/>
              <w:tab w:val="right" w:pos="9071" w:leader="dot"/>
            </w:tabs>
            <w:rPr/>
          </w:pPr>
          <w:hyperlink w:anchor="__RefHeading___Toc2182_2468698496">
            <w:r>
              <w:rPr>
                <w:webHidden/>
                <w:rStyle w:val="IndexLink"/>
              </w:rPr>
              <w:t>4.7 Mezipřípadová typologie zveřejněné implementace</w:t>
              <w:tab/>
              <w:t>50</w:t>
            </w:r>
          </w:hyperlink>
        </w:p>
        <w:p>
          <w:pPr>
            <w:pStyle w:val="TOC2"/>
            <w:tabs>
              <w:tab w:val="clear" w:pos="8789"/>
              <w:tab w:val="right" w:pos="9071" w:leader="dot"/>
            </w:tabs>
            <w:rPr/>
          </w:pPr>
          <w:hyperlink w:anchor="__RefHeading___Toc2184_2468698496">
            <w:r>
              <w:rPr>
                <w:webHidden/>
                <w:rStyle w:val="IndexLink"/>
              </w:rPr>
              <w:t>4.8 Odpovědi na dílčí výzkumné otázky</w:t>
              <w:tab/>
              <w:t>50</w:t>
            </w:r>
          </w:hyperlink>
        </w:p>
        <w:p>
          <w:pPr>
            <w:pStyle w:val="TOC3"/>
            <w:tabs>
              <w:tab w:val="clear" w:pos="8505"/>
              <w:tab w:val="right" w:pos="9071" w:leader="dot"/>
            </w:tabs>
            <w:rPr/>
          </w:pPr>
          <w:hyperlink w:anchor="__RefHeading___Toc2186_2468698496">
            <w:r>
              <w:rPr>
                <w:webHidden/>
                <w:rStyle w:val="IndexLink"/>
              </w:rPr>
              <w:t>4.8.1 Materialita a podnikatelský model</w:t>
              <w:tab/>
              <w:t>50</w:t>
            </w:r>
          </w:hyperlink>
        </w:p>
        <w:p>
          <w:pPr>
            <w:pStyle w:val="TOC3"/>
            <w:tabs>
              <w:tab w:val="clear" w:pos="8505"/>
              <w:tab w:val="right" w:pos="9071" w:leader="dot"/>
            </w:tabs>
            <w:rPr/>
          </w:pPr>
          <w:hyperlink w:anchor="__RefHeading___Toc2188_2468698496">
            <w:r>
              <w:rPr>
                <w:webHidden/>
                <w:rStyle w:val="IndexLink"/>
              </w:rPr>
              <w:t>4.8.2 Odpovědnost a koordinace</w:t>
              <w:tab/>
              <w:t>50</w:t>
            </w:r>
          </w:hyperlink>
        </w:p>
        <w:p>
          <w:pPr>
            <w:pStyle w:val="TOC3"/>
            <w:tabs>
              <w:tab w:val="clear" w:pos="8505"/>
              <w:tab w:val="right" w:pos="9071" w:leader="dot"/>
            </w:tabs>
            <w:rPr/>
          </w:pPr>
          <w:hyperlink w:anchor="__RefHeading___Toc2190_2468698496">
            <w:r>
              <w:rPr>
                <w:webHidden/>
                <w:rStyle w:val="IndexLink"/>
              </w:rPr>
              <w:t>4.8.3 Rozhodovací vazba</w:t>
              <w:tab/>
              <w:t>51</w:t>
            </w:r>
          </w:hyperlink>
        </w:p>
        <w:p>
          <w:pPr>
            <w:pStyle w:val="TOC3"/>
            <w:tabs>
              <w:tab w:val="clear" w:pos="8505"/>
              <w:tab w:val="right" w:pos="9071" w:leader="dot"/>
            </w:tabs>
            <w:rPr/>
          </w:pPr>
          <w:hyperlink w:anchor="__RefHeading___Toc2192_2468698496">
            <w:r>
              <w:rPr>
                <w:webHidden/>
                <w:rStyle w:val="IndexLink"/>
              </w:rPr>
              <w:t>4.8.4 Evidenční síla cílů a metrik</w:t>
              <w:tab/>
              <w:t>51</w:t>
            </w:r>
          </w:hyperlink>
        </w:p>
        <w:p>
          <w:pPr>
            <w:pStyle w:val="TOC3"/>
            <w:tabs>
              <w:tab w:val="clear" w:pos="8505"/>
              <w:tab w:val="right" w:pos="9071" w:leader="dot"/>
            </w:tabs>
            <w:rPr/>
          </w:pPr>
          <w:hyperlink w:anchor="__RefHeading___Toc2194_2468698496">
            <w:r>
              <w:rPr>
                <w:webHidden/>
                <w:rStyle w:val="IndexLink"/>
              </w:rPr>
              <w:t>4.8.5 Negativní informace a trade-offy</w:t>
              <w:tab/>
              <w:t>51</w:t>
            </w:r>
          </w:hyperlink>
        </w:p>
        <w:p>
          <w:pPr>
            <w:pStyle w:val="TOC3"/>
            <w:tabs>
              <w:tab w:val="clear" w:pos="8505"/>
              <w:tab w:val="right" w:pos="9071" w:leader="dot"/>
            </w:tabs>
            <w:rPr/>
          </w:pPr>
          <w:hyperlink w:anchor="__RefHeading___Toc2196_2468698496">
            <w:r>
              <w:rPr>
                <w:webHidden/>
                <w:rStyle w:val="IndexLink"/>
              </w:rPr>
              <w:t>4.8.6 Sektorové rozdíly</w:t>
              <w:tab/>
              <w:t>51</w:t>
            </w:r>
          </w:hyperlink>
        </w:p>
        <w:p>
          <w:pPr>
            <w:pStyle w:val="TOC2"/>
            <w:tabs>
              <w:tab w:val="clear" w:pos="8789"/>
              <w:tab w:val="right" w:pos="9071" w:leader="dot"/>
            </w:tabs>
            <w:rPr/>
          </w:pPr>
          <w:hyperlink w:anchor="__RefHeading___Toc2198_2468698496">
            <w:r>
              <w:rPr>
                <w:webHidden/>
                <w:rStyle w:val="IndexLink"/>
              </w:rPr>
              <w:t>4.9 Shrnutí výsledků</w:t>
              <w:tab/>
              <w:t>51</w:t>
            </w:r>
          </w:hyperlink>
        </w:p>
        <w:p>
          <w:pPr>
            <w:pStyle w:val="TOC1"/>
            <w:tabs>
              <w:tab w:val="clear" w:pos="9072"/>
              <w:tab w:val="right" w:pos="9071" w:leader="dot"/>
            </w:tabs>
            <w:rPr/>
          </w:pPr>
          <w:hyperlink w:anchor="__RefHeading___Toc2200_2468698496">
            <w:r>
              <w:rPr>
                <w:webHidden/>
                <w:rStyle w:val="IndexLink"/>
              </w:rPr>
              <w:t>5 Diskuse</w:t>
              <w:tab/>
              <w:t>53</w:t>
            </w:r>
          </w:hyperlink>
        </w:p>
        <w:p>
          <w:pPr>
            <w:pStyle w:val="TOC2"/>
            <w:tabs>
              <w:tab w:val="clear" w:pos="8789"/>
              <w:tab w:val="right" w:pos="9071" w:leader="dot"/>
            </w:tabs>
            <w:rPr/>
          </w:pPr>
          <w:hyperlink w:anchor="__RefHeading___Toc2202_2468698496">
            <w:r>
              <w:rPr>
                <w:webHidden/>
                <w:rStyle w:val="IndexLink"/>
              </w:rPr>
              <w:t>5.1 Odpověď na hlavní výzkumnou otázku</w:t>
              <w:tab/>
              <w:t>53</w:t>
            </w:r>
          </w:hyperlink>
        </w:p>
        <w:p>
          <w:pPr>
            <w:pStyle w:val="TOC2"/>
            <w:tabs>
              <w:tab w:val="clear" w:pos="8789"/>
              <w:tab w:val="right" w:pos="9071" w:leader="dot"/>
            </w:tabs>
            <w:rPr/>
          </w:pPr>
          <w:hyperlink w:anchor="__RefHeading___Toc2204_2468698496">
            <w:r>
              <w:rPr>
                <w:webHidden/>
                <w:rStyle w:val="IndexLink"/>
              </w:rPr>
              <w:t>5.2 Institucionální izomorfismus: stejná forma, různé napojení na řízení</w:t>
              <w:tab/>
              <w:t>54</w:t>
            </w:r>
          </w:hyperlink>
        </w:p>
        <w:p>
          <w:pPr>
            <w:pStyle w:val="TOC2"/>
            <w:tabs>
              <w:tab w:val="clear" w:pos="8789"/>
              <w:tab w:val="right" w:pos="9071" w:leader="dot"/>
            </w:tabs>
            <w:rPr/>
          </w:pPr>
          <w:hyperlink w:anchor="__RefHeading___Toc2206_2468698496">
            <w:r>
              <w:rPr>
                <w:webHidden/>
                <w:rStyle w:val="IndexLink"/>
              </w:rPr>
              <w:t>5.3 Materialita: od diagnostiky k alokaci</w:t>
              <w:tab/>
              <w:t>54</w:t>
            </w:r>
          </w:hyperlink>
        </w:p>
        <w:p>
          <w:pPr>
            <w:pStyle w:val="TOC2"/>
            <w:tabs>
              <w:tab w:val="clear" w:pos="8789"/>
              <w:tab w:val="right" w:pos="9071" w:leader="dot"/>
            </w:tabs>
            <w:rPr/>
          </w:pPr>
          <w:hyperlink w:anchor="__RefHeading___Toc2208_2468698496">
            <w:r>
              <w:rPr>
                <w:webHidden/>
                <w:rStyle w:val="IndexLink"/>
              </w:rPr>
              <w:t>5.4 Governance: organigram ještě není schopnost zasáhnout</w:t>
              <w:tab/>
              <w:t>55</w:t>
            </w:r>
          </w:hyperlink>
        </w:p>
        <w:p>
          <w:pPr>
            <w:pStyle w:val="TOC2"/>
            <w:tabs>
              <w:tab w:val="clear" w:pos="8789"/>
              <w:tab w:val="right" w:pos="9071" w:leader="dot"/>
            </w:tabs>
            <w:rPr/>
          </w:pPr>
          <w:hyperlink w:anchor="__RefHeading___Toc2210_2468698496">
            <w:r>
              <w:rPr>
                <w:webHidden/>
                <w:rStyle w:val="IndexLink"/>
              </w:rPr>
              <w:t>5.5 Legitimita a informační hodnota nepříznivých údajů</w:t>
              <w:tab/>
              <w:t>56</w:t>
            </w:r>
          </w:hyperlink>
        </w:p>
        <w:p>
          <w:pPr>
            <w:pStyle w:val="TOC2"/>
            <w:tabs>
              <w:tab w:val="clear" w:pos="8789"/>
              <w:tab w:val="right" w:pos="9071" w:leader="dot"/>
            </w:tabs>
            <w:rPr/>
          </w:pPr>
          <w:hyperlink w:anchor="__RefHeading___Toc2212_2468698496">
            <w:r>
              <w:rPr>
                <w:webHidden/>
                <w:rStyle w:val="IndexLink"/>
              </w:rPr>
              <w:t>5.6 Aktivita, outcome a dopad</w:t>
              <w:tab/>
              <w:t>57</w:t>
            </w:r>
          </w:hyperlink>
        </w:p>
        <w:p>
          <w:pPr>
            <w:pStyle w:val="TOC2"/>
            <w:tabs>
              <w:tab w:val="clear" w:pos="8789"/>
              <w:tab w:val="right" w:pos="9071" w:leader="dot"/>
            </w:tabs>
            <w:rPr/>
          </w:pPr>
          <w:hyperlink w:anchor="__RefHeading___Toc2214_2468698496">
            <w:r>
              <w:rPr>
                <w:webHidden/>
                <w:rStyle w:val="IndexLink"/>
              </w:rPr>
              <w:t>5.7 Externí ujištění bez halo efektu</w:t>
              <w:tab/>
              <w:t>57</w:t>
            </w:r>
          </w:hyperlink>
        </w:p>
        <w:p>
          <w:pPr>
            <w:pStyle w:val="TOC2"/>
            <w:tabs>
              <w:tab w:val="clear" w:pos="8789"/>
              <w:tab w:val="right" w:pos="9071" w:leader="dot"/>
            </w:tabs>
            <w:rPr/>
          </w:pPr>
          <w:hyperlink w:anchor="__RefHeading___Toc2216_2468698496">
            <w:r>
              <w:rPr>
                <w:webHidden/>
                <w:rStyle w:val="IndexLink"/>
              </w:rPr>
              <w:t>5.8 Přínos a limity škály E0–E4</w:t>
              <w:tab/>
              <w:t>58</w:t>
            </w:r>
          </w:hyperlink>
        </w:p>
        <w:p>
          <w:pPr>
            <w:pStyle w:val="TOC2"/>
            <w:tabs>
              <w:tab w:val="clear" w:pos="8789"/>
              <w:tab w:val="right" w:pos="9071" w:leader="dot"/>
            </w:tabs>
            <w:rPr/>
          </w:pPr>
          <w:hyperlink w:anchor="__RefHeading___Toc2218_2468698496">
            <w:r>
              <w:rPr>
                <w:webHidden/>
                <w:rStyle w:val="IndexLink"/>
              </w:rPr>
              <w:t>5.9 Sektorová materialita a nemožnost neutrálního jednotného skóre</w:t>
              <w:tab/>
              <w:t>58</w:t>
            </w:r>
          </w:hyperlink>
        </w:p>
        <w:p>
          <w:pPr>
            <w:pStyle w:val="TOC2"/>
            <w:tabs>
              <w:tab w:val="clear" w:pos="8789"/>
              <w:tab w:val="right" w:pos="9071" w:leader="dot"/>
            </w:tabs>
            <w:rPr/>
          </w:pPr>
          <w:hyperlink w:anchor="__RefHeading___Toc2220_2468698496">
            <w:r>
              <w:rPr>
                <w:webHidden/>
                <w:rStyle w:val="IndexLink"/>
              </w:rPr>
              <w:t>5.10 Praktická doporučení pro podniky</w:t>
              <w:tab/>
              <w:t>59</w:t>
            </w:r>
          </w:hyperlink>
        </w:p>
        <w:p>
          <w:pPr>
            <w:pStyle w:val="TOC3"/>
            <w:tabs>
              <w:tab w:val="clear" w:pos="8505"/>
              <w:tab w:val="right" w:pos="9071" w:leader="dot"/>
            </w:tabs>
            <w:rPr/>
          </w:pPr>
          <w:hyperlink w:anchor="__RefHeading___Toc2222_2468698496">
            <w:r>
              <w:rPr>
                <w:webHidden/>
                <w:rStyle w:val="IndexLink"/>
              </w:rPr>
              <w:t>5.10.1 Ukázat rozhodovací mechanismus</w:t>
              <w:tab/>
              <w:t>59</w:t>
            </w:r>
          </w:hyperlink>
        </w:p>
        <w:p>
          <w:pPr>
            <w:pStyle w:val="TOC3"/>
            <w:tabs>
              <w:tab w:val="clear" w:pos="8505"/>
              <w:tab w:val="right" w:pos="9071" w:leader="dot"/>
            </w:tabs>
            <w:rPr/>
          </w:pPr>
          <w:hyperlink w:anchor="__RefHeading___Toc2224_2468698496">
            <w:r>
              <w:rPr>
                <w:webHidden/>
                <w:rStyle w:val="IndexLink"/>
              </w:rPr>
              <w:t>5.10.2 Oddělit aktivitu, outcome a dopad</w:t>
              <w:tab/>
              <w:t>59</w:t>
            </w:r>
          </w:hyperlink>
        </w:p>
        <w:p>
          <w:pPr>
            <w:pStyle w:val="TOC3"/>
            <w:tabs>
              <w:tab w:val="clear" w:pos="8505"/>
              <w:tab w:val="right" w:pos="9071" w:leader="dot"/>
            </w:tabs>
            <w:rPr/>
          </w:pPr>
          <w:hyperlink w:anchor="__RefHeading___Toc2226_2468698496">
            <w:r>
              <w:rPr>
                <w:webHidden/>
                <w:rStyle w:val="IndexLink"/>
              </w:rPr>
              <w:t>5.10.3 Vysvětlit hranice a změny metodiky</w:t>
              <w:tab/>
              <w:t>59</w:t>
            </w:r>
          </w:hyperlink>
        </w:p>
        <w:p>
          <w:pPr>
            <w:pStyle w:val="TOC3"/>
            <w:tabs>
              <w:tab w:val="clear" w:pos="8505"/>
              <w:tab w:val="right" w:pos="9071" w:leader="dot"/>
            </w:tabs>
            <w:rPr/>
          </w:pPr>
          <w:hyperlink w:anchor="__RefHeading___Toc2228_2468698496">
            <w:r>
              <w:rPr>
                <w:webHidden/>
                <w:rStyle w:val="IndexLink"/>
              </w:rPr>
              <w:t>5.10.4 Popsat postup při neplnění</w:t>
              <w:tab/>
              <w:t>59</w:t>
            </w:r>
          </w:hyperlink>
        </w:p>
        <w:p>
          <w:pPr>
            <w:pStyle w:val="TOC3"/>
            <w:tabs>
              <w:tab w:val="clear" w:pos="8505"/>
              <w:tab w:val="right" w:pos="9071" w:leader="dot"/>
            </w:tabs>
            <w:rPr/>
          </w:pPr>
          <w:hyperlink w:anchor="__RefHeading___Toc2230_2468698496">
            <w:r>
              <w:rPr>
                <w:webHidden/>
                <w:rStyle w:val="IndexLink"/>
              </w:rPr>
              <w:t>5.10.5 Nezakrývat neúspěch</w:t>
              <w:tab/>
              <w:t>59</w:t>
            </w:r>
          </w:hyperlink>
        </w:p>
        <w:p>
          <w:pPr>
            <w:pStyle w:val="TOC3"/>
            <w:tabs>
              <w:tab w:val="clear" w:pos="8505"/>
              <w:tab w:val="right" w:pos="9071" w:leader="dot"/>
            </w:tabs>
            <w:rPr/>
          </w:pPr>
          <w:hyperlink w:anchor="__RefHeading___Toc2232_2468698496">
            <w:r>
              <w:rPr>
                <w:webHidden/>
                <w:rStyle w:val="IndexLink"/>
              </w:rPr>
              <w:t>5.10.6 Vymezit rozsah assurance</w:t>
              <w:tab/>
              <w:t>60</w:t>
            </w:r>
          </w:hyperlink>
        </w:p>
        <w:p>
          <w:pPr>
            <w:pStyle w:val="TOC2"/>
            <w:tabs>
              <w:tab w:val="clear" w:pos="8789"/>
              <w:tab w:val="right" w:pos="9071" w:leader="dot"/>
            </w:tabs>
            <w:rPr/>
          </w:pPr>
          <w:hyperlink w:anchor="__RefHeading___Toc2234_2468698496">
            <w:r>
              <w:rPr>
                <w:webHidden/>
                <w:rStyle w:val="IndexLink"/>
              </w:rPr>
              <w:t>5.11 Doporučení pro čtenáře, investory a hodnotitele</w:t>
              <w:tab/>
              <w:t>60</w:t>
            </w:r>
          </w:hyperlink>
        </w:p>
        <w:p>
          <w:pPr>
            <w:pStyle w:val="TOC2"/>
            <w:tabs>
              <w:tab w:val="clear" w:pos="8789"/>
              <w:tab w:val="right" w:pos="9071" w:leader="dot"/>
            </w:tabs>
            <w:rPr/>
          </w:pPr>
          <w:hyperlink w:anchor="__RefHeading___Toc2236_2468698496">
            <w:r>
              <w:rPr>
                <w:webHidden/>
                <w:rStyle w:val="IndexLink"/>
              </w:rPr>
              <w:t>5.12 Doporučení pro další výzkum</w:t>
              <w:tab/>
              <w:t>60</w:t>
            </w:r>
          </w:hyperlink>
        </w:p>
        <w:p>
          <w:pPr>
            <w:pStyle w:val="TOC2"/>
            <w:tabs>
              <w:tab w:val="clear" w:pos="8789"/>
              <w:tab w:val="right" w:pos="9071" w:leader="dot"/>
            </w:tabs>
            <w:rPr/>
          </w:pPr>
          <w:hyperlink w:anchor="__RefHeading___Toc2238_2468698496">
            <w:r>
              <w:rPr>
                <w:webHidden/>
                <w:rStyle w:val="IndexLink"/>
              </w:rPr>
              <w:t>5.13 Limity interpretace výsledků</w:t>
              <w:tab/>
              <w:t>61</w:t>
            </w:r>
          </w:hyperlink>
        </w:p>
        <w:p>
          <w:pPr>
            <w:pStyle w:val="TOC2"/>
            <w:tabs>
              <w:tab w:val="clear" w:pos="8789"/>
              <w:tab w:val="right" w:pos="9071" w:leader="dot"/>
            </w:tabs>
            <w:rPr/>
          </w:pPr>
          <w:hyperlink w:anchor="__RefHeading___Toc2240_2468698496">
            <w:r>
              <w:rPr>
                <w:webHidden/>
                <w:rStyle w:val="IndexLink"/>
              </w:rPr>
              <w:t>5.14 Shrnutí diskuse</w:t>
              <w:tab/>
              <w:t>61</w:t>
            </w:r>
          </w:hyperlink>
        </w:p>
        <w:p>
          <w:pPr>
            <w:pStyle w:val="TOC1"/>
            <w:tabs>
              <w:tab w:val="clear" w:pos="9072"/>
              <w:tab w:val="right" w:pos="9071" w:leader="dot"/>
            </w:tabs>
            <w:rPr/>
          </w:pPr>
          <w:hyperlink w:anchor="__RefHeading___Toc2242_2468698496">
            <w:r>
              <w:rPr>
                <w:webHidden/>
                <w:rStyle w:val="IndexLink"/>
              </w:rPr>
              <w:t>Závěr</w:t>
              <w:tab/>
              <w:t>62</w:t>
            </w:r>
          </w:hyperlink>
        </w:p>
        <w:p>
          <w:pPr>
            <w:pStyle w:val="TOC1"/>
            <w:tabs>
              <w:tab w:val="clear" w:pos="9072"/>
              <w:tab w:val="right" w:pos="9071" w:leader="dot"/>
            </w:tabs>
            <w:rPr/>
          </w:pPr>
          <w:hyperlink w:anchor="__RefHeading___Toc2244_2468698496">
            <w:r>
              <w:rPr>
                <w:webHidden/>
                <w:rStyle w:val="IndexLink"/>
              </w:rPr>
              <w:t>Seznam použitých zdrojů</w:t>
              <w:tab/>
              <w:t>65</w:t>
            </w:r>
          </w:hyperlink>
        </w:p>
        <w:p>
          <w:pPr>
            <w:pStyle w:val="TOC2"/>
            <w:tabs>
              <w:tab w:val="clear" w:pos="8789"/>
              <w:tab w:val="right" w:pos="9071" w:leader="dot"/>
            </w:tabs>
            <w:rPr/>
          </w:pPr>
          <w:hyperlink w:anchor="__RefHeading___Toc2246_2468698496">
            <w:r>
              <w:rPr>
                <w:webHidden/>
                <w:rStyle w:val="IndexLink"/>
              </w:rPr>
              <w:t>Akademická literatura</w:t>
              <w:tab/>
              <w:t>65</w:t>
            </w:r>
          </w:hyperlink>
        </w:p>
        <w:p>
          <w:pPr>
            <w:pStyle w:val="TOC2"/>
            <w:tabs>
              <w:tab w:val="clear" w:pos="8789"/>
              <w:tab w:val="right" w:pos="9071" w:leader="dot"/>
            </w:tabs>
            <w:rPr/>
          </w:pPr>
          <w:hyperlink w:anchor="__RefHeading___Toc2248_2468698496">
            <w:r>
              <w:rPr>
                <w:webHidden/>
                <w:rStyle w:val="IndexLink"/>
              </w:rPr>
              <w:t>Právní a regulatorní prameny</w:t>
              <w:tab/>
              <w:t>66</w:t>
            </w:r>
          </w:hyperlink>
        </w:p>
        <w:p>
          <w:pPr>
            <w:pStyle w:val="TOC2"/>
            <w:tabs>
              <w:tab w:val="clear" w:pos="8789"/>
              <w:tab w:val="right" w:pos="9071" w:leader="dot"/>
            </w:tabs>
            <w:rPr/>
          </w:pPr>
          <w:hyperlink w:anchor="__RefHeading___Toc2250_2468698496">
            <w:r>
              <w:rPr>
                <w:webHidden/>
                <w:rStyle w:val="IndexLink"/>
              </w:rPr>
              <w:t>Analyzované firemní dokumenty</w:t>
              <w:tab/>
              <w:t>66</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04_2468698496"/>
      <w:bookmarkEnd w:id="0"/>
      <w:r>
        <w:rPr/>
        <w:t>Úvod</w:t>
      </w:r>
    </w:p>
    <w:p>
      <w:pPr>
        <w:pStyle w:val="Normal"/>
        <w:widowControl/>
        <w:spacing w:lineRule="auto" w:line="360"/>
        <w:ind w:firstLine="709"/>
        <w:jc w:val="both"/>
        <w:rPr/>
      </w:pPr>
      <w:r>
        <w:rPr/>
        <w:t>Environmentální, sociální a správní témata dnes patří do výročních zpráv, strategií i prezentací velkých podniků téměř stejně samozřejmě jako finanční výsledky nebo investiční plán. Pod společnou zkratkou ESG se však skrývají velmi různé situace. Někde jde o nové pojmenování dlouhodobých provozních opatření, jinde hlavně o systém sběru dat pro povinné zveřejnění. V dalších případech už environmentální nebo sociální informace vstupují do řízení rizik, výběru dodavatelů, odměňování nebo kapitálových rozhodnutí. Samotná přítomnost strategie, výboru a několika desítek ukazatelů proto ještě neodpovídá na otázku, jak hluboko je téma v organizaci skutečně zakotveno.</w:t>
      </w:r>
    </w:p>
    <w:p>
      <w:pPr>
        <w:pStyle w:val="Normal"/>
        <w:widowControl/>
        <w:spacing w:lineRule="auto" w:line="360"/>
        <w:ind w:firstLine="709"/>
        <w:jc w:val="both"/>
        <w:rPr/>
      </w:pPr>
      <w:r>
        <w:rPr/>
        <w:t>Tento rozdíl je zvlášť důležitý v období nástupu směrnice o podávání zpráv podniků o udržitelnosti (Corporate Sustainability Reporting Directive, CSRD) a evropských standardů pro podávání zpráv o udržitelnosti (European Sustainability Reporting Standards, ESRS). Nový rámec požaduje podstatně podrobnější informace o správě, strategii, dopadech, rizicích a příležitostech, politikách, opatřeních, cílech a metrikách. Pro čtenáře je to nesporná výhoda: dokumenty mají srovnatelnější strukturu a některé dříve skryté procesy jsou najednou viditelné. Zároveň však vzniká riziko, že podobně uspořádané reporty začnou působit jako důkaz podobně fungujících podniků.</w:t>
      </w:r>
    </w:p>
    <w:p>
      <w:pPr>
        <w:pStyle w:val="Normal"/>
        <w:widowControl/>
        <w:spacing w:lineRule="auto" w:line="360"/>
        <w:ind w:firstLine="709"/>
        <w:jc w:val="both"/>
        <w:rPr/>
      </w:pPr>
      <w:r>
        <w:rPr/>
        <w:t xml:space="preserve">Právě tady se otevírá výzkumný problém práce. </w:t>
      </w:r>
      <w:r>
        <w:rPr>
          <w:b/>
        </w:rPr>
        <w:t>Co veřejný ESG report skutečně dokazuje?</w:t>
      </w:r>
      <w:r>
        <w:rPr/>
        <w:t xml:space="preserve"> Rozsáhlý dokument může obsahovat stovky datových bodů, aniž ukáže, zda některý z nich změnil investiční rozhodnutí. Cíl může mít atraktivní formulaci, ale chybí mu výchozí hodnota, vlastník nebo postup při neplnění. Naopak jediná stručná informace může mít vysokou evidenční hodnotu, pokud propojí materiální téma, odpovědnost, zdroje a konkrétní rozhodovací pravidlo. Objem zveřejnění a síla důkazu nejsou totéž.</w:t>
      </w:r>
    </w:p>
    <w:p>
      <w:pPr>
        <w:pStyle w:val="Normal"/>
        <w:widowControl/>
        <w:spacing w:lineRule="auto" w:line="360"/>
        <w:ind w:firstLine="709"/>
        <w:jc w:val="both"/>
        <w:rPr/>
      </w:pPr>
      <w:r>
        <w:rPr/>
        <w:t>Firemní report má navíc dvojí povahu. Je zdrojem informací o oficiálně přijatých procesech, cílech a výsledcích, současně však vzniká jako promyšlená veřejná komunikace. Podnik vybírá, co zveřejní, jak vymezí hranice a jak jednotlivé údaje zasadí do příběhu o své strategii. To neznamená, že je každé pozitivní tvrzení marketing nebo že dokument nelze použít jako empirický zdroj. Znamená to pouze, že musí být čten s vědomím svého účelu. Dokumentová analýza nemůže nahradit audit provozu, rozhovor se zaměstnanci ani měření skutečných dopadů. Může ale poměrně přesně ukázat, jaký mechanismus podnik zveřejňuje, jak jej dokládá a kde už možnosti externího čtenáře končí.</w:t>
      </w:r>
    </w:p>
    <w:p>
      <w:pPr>
        <w:pStyle w:val="Heading2"/>
        <w:keepNext w:val="true"/>
        <w:widowControl/>
        <w:ind w:hanging="0"/>
        <w:rPr/>
      </w:pPr>
      <w:bookmarkStart w:id="1" w:name="__RefHeading___Toc2006_2468698496"/>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tedy nevytváří žebříček „nejvíce udržitelných“ firem. Takové srovnání by bylo zavádějící už kvůli rozdílným podnikatelským modelům. Přímé emise energetické skupiny, financované emise banky, spotřeba digitální infrastruktury a životní cyklus automobilu nejsou čtyři podoby jedné snadno zaměnitelné veličiny. Smyslem srovnání je něco jiného: zachytit, jak veřejné dokumenty ukazují přechod od obecné deklarace k formalizovanému řízení a odtud k vazbě na rozhodování.</w:t>
      </w:r>
    </w:p>
    <w:p>
      <w:pPr>
        <w:pStyle w:val="Heading2"/>
        <w:keepNext w:val="true"/>
        <w:widowControl/>
        <w:ind w:hanging="0"/>
        <w:rPr/>
      </w:pPr>
      <w:bookmarkStart w:id="2" w:name="__RefHeading___Toc2008_2468698496"/>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jsou formulovány tak, aby zůstaly uvnitř možností dokumentového designu. Netýkají se skutečného stavu každého provozu ani morálního hodnocení organizací. Sledují to, co lze doložit z veřejných zdrojů, a stejně důsledně i to, co z nich doložit nelze.</w:t>
      </w:r>
    </w:p>
    <w:p>
      <w:pPr>
        <w:pStyle w:val="Heading2"/>
        <w:keepNext w:val="true"/>
        <w:widowControl/>
        <w:ind w:hanging="0"/>
        <w:rPr/>
      </w:pPr>
      <w:bookmarkStart w:id="3" w:name="__RefHeading___Toc2010_2468698496"/>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Nejde o reprezentativní vzorek české ekonomiky, ale o soubor kontrastů, na němž lze sledovat různé cesty propojení ESG s řízením.</w:t>
      </w:r>
    </w:p>
    <w:p>
      <w:pPr>
        <w:pStyle w:val="Normal"/>
        <w:widowControl/>
        <w:spacing w:lineRule="auto" w:line="360"/>
        <w:ind w:firstLine="709"/>
        <w:jc w:val="both"/>
        <w:rPr/>
      </w:pPr>
      <w:r>
        <w:rPr/>
        <w:t>ČEZ představuje kapitálově náročnou energetiku. Udržitelnost se zde neoddělitelně spojuje s výrobním portfoliem, dlouhodobými investicemi, bezpečností dodávek a sociálními důsledky útlumu uhlí. U MONETA je potřeba rozlišit relativně omezené provozní emise banky od dopadů financovaného portfolia; nejzajímavější vazby proto vedou přes risk management, úvěrování a pobídky. O2 umožňuje sledovat energetickou náročnost digitální infrastruktury, kyberbezpečnost, dostupnost služeb, digitální kompetence i vztah k dodavatelům elektroniky. Škoda Auto přináší průmyslovou perspektivu, v níž se environmentální a sociální témata promítají do produktu, výroby, kapitálových výdajů a globálního dodavatelského řetězce.</w:t>
      </w:r>
    </w:p>
    <w:p>
      <w:pPr>
        <w:pStyle w:val="Normal"/>
        <w:widowControl/>
        <w:spacing w:lineRule="auto" w:line="360"/>
        <w:ind w:firstLine="709"/>
        <w:jc w:val="both"/>
        <w:rPr/>
      </w:pPr>
      <w:r>
        <w:rPr/>
        <w:t>Společným časovým řezem je rok 2024. U části podniků šlo o první rozsáhlejší zveřejnění podle CSRD a ESRS, zatímco jiné dokumenty ještě kombinovaly GRI, vlastní skupinové standardy a přípravu na nový režim. Právě tento přechod je analyticky zajímavý. Umožňuje sledovat nejen obsah jednotlivých témat, ale i proměnu samotné reportovací infrastruktury. Pozdější změny evropské legislativy jsou v práci uvedeny jako kontext, nikoli jako důvod zpětně přepisovat význam dokumentů vytvořených za rok 2024.</w:t>
      </w:r>
    </w:p>
    <w:p>
      <w:pPr>
        <w:pStyle w:val="Heading2"/>
        <w:keepNext w:val="true"/>
        <w:widowControl/>
        <w:ind w:hanging="0"/>
        <w:rPr/>
      </w:pPr>
      <w:bookmarkStart w:id="4" w:name="__RefHeading___Toc2012_2468698496"/>
      <w:bookmarkEnd w:id="4"/>
      <w:r>
        <w:rPr/>
        <w:t>Teoretické a metodické vymezení</w:t>
      </w:r>
    </w:p>
    <w:p>
      <w:pPr>
        <w:pStyle w:val="Normal"/>
        <w:widowControl/>
        <w:spacing w:lineRule="auto" w:line="360"/>
        <w:ind w:firstLine="709"/>
        <w:jc w:val="both"/>
        <w:rPr/>
      </w:pPr>
      <w:r>
        <w:rPr/>
        <w:t>Teoretická část propojuje několik perspektiv, z nichž každá vysvětluje jiný kus problému. Stakeholderový pohled pomáhá sledovat, kdo na podnik působí a jakou má možnost dostat svůj požadavek do rozhodování. Institucionální teorie objasňuje, proč se organizace pod společným tlakem regulace, profesních norem a napodobování začínají podobat (DiMaggio &amp; Powell, 1983). Teorie legitimity připomíná, že zveřejnění není jen přenos dat, ale také způsob, jak organizace vysvětluje a obhajuje své jednání (Suchman, 1995). Literatura o materialitě, reportingu a organizačních procesech pak pomáhá odlišit dobře popsané téma od tématu, které skutečně získalo odpovědnost a rozhodovací důsledek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během pilotu byl upraven podle toho, co se v dokumentech skutečně objevovalo. Jednotkou kódování je významově ucelený segment: tvrzení o cíli, odpovědnosti, procesu, rozhodnutí, metrice, výsledku, negativním dopadu nebo ověření. Každý klíčový segment má přesný lokátor a je u něj odlišeno, zda jde o firemní tvrzení, metriku, externí ujištění, analytickou interpretaci nebo výslovně uvedenou hranici.</w:t>
      </w:r>
    </w:p>
    <w:p>
      <w:pPr>
        <w:pStyle w:val="Normal"/>
        <w:widowControl/>
        <w:spacing w:lineRule="auto" w:line="360"/>
        <w:ind w:firstLine="709"/>
        <w:jc w:val="both"/>
        <w:rPr/>
      </w:pPr>
      <w:r>
        <w:rPr/>
        <w:t>Pro srovnání různých typů důkazů byla vytvořena škála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bez přesvědčivého dokladu změny stavu;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kontrola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informace vstupuje do kapitálové alokace, řízení rizik, produktu, nákupu, odměny nebo provozního pravidla;</w:t>
      </w:r>
    </w:p>
    <w:p>
      <w:pPr>
        <w:pStyle w:val="ListBullet"/>
        <w:widowControl/>
        <w:numPr>
          <w:ilvl w:val="0"/>
          <w:numId w:val="1"/>
        </w:numPr>
        <w:spacing w:lineRule="auto" w:line="360" w:before="0" w:after="0"/>
        <w:ind w:hanging="142" w:start="425"/>
        <w:contextualSpacing/>
        <w:rPr/>
      </w:pPr>
      <w:r>
        <w:rPr>
          <w:b/>
        </w:rPr>
        <w:t>E4 – externě podpořený výsledek:</w:t>
      </w:r>
      <w:r>
        <w:rPr/>
        <w:t xml:space="preserve"> konkrétní výsledek s jasnou hranicí a metodikou, který má silnou nezávislou podporu nebo triangulaci.</w:t>
      </w:r>
    </w:p>
    <w:p>
      <w:pPr>
        <w:pStyle w:val="Normal"/>
        <w:widowControl/>
        <w:spacing w:lineRule="auto" w:line="360"/>
        <w:ind w:firstLine="709"/>
        <w:jc w:val="both"/>
        <w:rPr/>
      </w:pPr>
      <w:r>
        <w:rPr/>
        <w:t>Škála se nepřiřazuje firmě jako celku. V jednom reportu mohou vedle sebe existovat obecné deklarace, dobře změřené aktivity i silně integrované rozhodovací mechanismy. Toto rozhodnutí je důležité: zabraňuje tomu, aby vysoký rating, přítomnost assurance nebo velké množství dat vytvořily automatický pozitivní soud nad celou organizací.</w:t>
      </w:r>
    </w:p>
    <w:p>
      <w:pPr>
        <w:pStyle w:val="Heading2"/>
        <w:keepNext w:val="true"/>
        <w:widowControl/>
        <w:ind w:hanging="0"/>
        <w:rPr/>
      </w:pPr>
      <w:bookmarkStart w:id="5" w:name="__RefHeading___Toc2014_2468698496"/>
      <w:bookmarkEnd w:id="5"/>
      <w:r>
        <w:rPr/>
        <w:t>Přínos práce</w:t>
      </w:r>
    </w:p>
    <w:p>
      <w:pPr>
        <w:pStyle w:val="Normal"/>
        <w:widowControl/>
        <w:spacing w:lineRule="auto" w:line="360"/>
        <w:ind w:firstLine="709"/>
        <w:jc w:val="both"/>
        <w:rPr/>
      </w:pPr>
      <w:r>
        <w:rPr/>
        <w:t>Prvním přínosem je přesnější rozlišení čtyř jevů, které se v běžné debatě často směšují: jazyk ESG, konkrétní praxe, formalizace a manažerská integrace. Report může být kvalitně připravený, a přesto popisovat systém s omezeným vlivem na rozhodování. Stejně tak může podnik dlouhodobě řídit důležité provozní téma bez toho, aby je označoval současným ESG slovníkem. Toto rozlišení proto není jen terminologické; určuje, jak opatrně lze z dokumentu vyvozovat závěry.</w:t>
      </w:r>
    </w:p>
    <w:p>
      <w:pPr>
        <w:pStyle w:val="Normal"/>
        <w:widowControl/>
        <w:spacing w:lineRule="auto" w:line="360"/>
        <w:ind w:firstLine="709"/>
        <w:jc w:val="both"/>
        <w:rPr/>
      </w:pPr>
      <w:r>
        <w:rPr/>
        <w:t>Druhým přínosem je operacionalizace síly konkrétního tvrzení. Škála E0–E4 nenahrazuje standardizovaný rating a nemá vytvářet další univerzální skóre. Slouží jako disciplína při čtení: nutí oddělit aktivitu od výsledku, výsledek od dopadu a externí ověření od manažerské integrace. Počet proškolených osob může být přesně změřený, ale stále nemusí ukazovat změnu chování. Naopak rozhodovací pravidlo může být silným dokladem integrace, i když výsledná metrika zatím není externě ověřena.</w:t>
      </w:r>
    </w:p>
    <w:p>
      <w:pPr>
        <w:pStyle w:val="Normal"/>
        <w:widowControl/>
        <w:spacing w:lineRule="auto" w:line="360"/>
        <w:ind w:firstLine="709"/>
        <w:jc w:val="both"/>
        <w:rPr/>
      </w:pPr>
      <w:r>
        <w:rPr/>
        <w:t>Třetím přínosem je mezipřípadové srovnání bez předstírání, že všechny sektory mají stejný materiální problém. U energetiky se rozhodovací vazba objevuje především v přechodovém a investičním plánu. V bance vede přes riziko, portfolio a pobídky. Telekomunikace ji ukazují v provozu infrastruktury, bezpečnosti a dodavatelích, automobilový průmysl v produktu, výrobě, CapEx a nákupním řetězci. Společným jmenovatelem tedy není jedna metrika, ale otázka, zda a jak může zveřejněná informace změnit rozhodnutí.</w:t>
      </w:r>
    </w:p>
    <w:p>
      <w:pPr>
        <w:pStyle w:val="Heading2"/>
        <w:keepNext w:val="true"/>
        <w:widowControl/>
        <w:ind w:hanging="0"/>
        <w:rPr/>
      </w:pPr>
      <w:bookmarkStart w:id="6" w:name="__RefHeading___Toc2016_2468698496"/>
      <w:bookmarkEnd w:id="6"/>
      <w:r>
        <w:rPr/>
        <w:t>Struktura práce</w:t>
      </w:r>
    </w:p>
    <w:p>
      <w:pPr>
        <w:pStyle w:val="Normal"/>
        <w:widowControl/>
        <w:spacing w:lineRule="auto" w:line="360"/>
        <w:ind w:firstLine="709"/>
        <w:jc w:val="both"/>
        <w:rPr/>
      </w:pPr>
      <w:r>
        <w:rPr/>
        <w:t>První kapitola vymezuje vztah CSR a ESG a postupně rozvíjí stakeholderovou, institucionální a legitimizační perspektivu. Dále se věnuje materialitě, organizační implementaci, vztahu k podnikové výkonnosti, ratingům, povinnému reportingu, kvalitě zveřejnění a hranicím assurance. Kapitolu uzavírá pracovní model zveřejněné implementace.</w:t>
      </w:r>
    </w:p>
    <w:p>
      <w:pPr>
        <w:pStyle w:val="Normal"/>
        <w:widowControl/>
        <w:spacing w:lineRule="auto" w:line="360"/>
        <w:ind w:firstLine="709"/>
        <w:jc w:val="both"/>
        <w:rPr/>
      </w:pPr>
      <w:r>
        <w:rPr/>
        <w:t>Druhá kapitola zasazuje výzkum do regulatorního rámce CSRD, ESRS a EU Taxonomie. Zvláštní pozornost věnuje dvojí materialitě, rozlišení dopadů, rizik a příležitostí a tomu, co omezené ujištění potvrzuje a co už ne. Třetí kapitola popisuje výběr případů, konstrukci korpusu, jednotky analýzy, kódovací rámec, kontrolní postupy a limity designu.</w:t>
      </w:r>
    </w:p>
    <w:p>
      <w:pPr>
        <w:pStyle w:val="Normal"/>
        <w:widowControl/>
        <w:spacing w:lineRule="auto" w:line="360"/>
        <w:ind w:firstLine="709"/>
        <w:jc w:val="both"/>
        <w:rPr/>
      </w:pPr>
      <w:r>
        <w:rPr/>
        <w:t>Čtvrtá kapitola představuje výsledky v pěti mezipřípadových tématech. Sleduje napětí mezi standardizovanou strukturou a rozdílnou manažerskou hloubkou, sektorově specifické provozní a finanční kotvy, skutečnou výpovědní hodnotu governance, rozdíl mezi aktivitou, výsledkem a dopadem a také význam přiznaných neúspěchů, revizí a negativních informací. Pátá kapitola tato zjištění interpretuje ve vztahu k teorii a formuluje doporučení pro podniky, čtenáře reportů i další výzkum. Závěr se vrací ke všem výzkumným otázkám a shrnuje hranici mezi tím, co veřejný report důvodně dokládá, a tím, co zůstává otevřené.</w:t>
      </w:r>
    </w:p>
    <w:p>
      <w:pPr>
        <w:pStyle w:val="Normal"/>
        <w:rPr/>
      </w:pPr>
      <w:r>
        <w:rPr/>
      </w:r>
      <w:r>
        <w:br w:type="page"/>
      </w:r>
    </w:p>
    <w:p>
      <w:pPr>
        <w:pStyle w:val="Heading1"/>
        <w:keepNext w:val="true"/>
        <w:widowControl/>
        <w:spacing w:before="0" w:after="180"/>
        <w:ind w:hanging="0"/>
        <w:rPr/>
      </w:pPr>
      <w:bookmarkStart w:id="7" w:name="__RefHeading___Toc2018_2468698496"/>
      <w:bookmarkEnd w:id="7"/>
      <w:r>
        <w:rPr/>
        <w:t>1 Teoretická východiska</w:t>
      </w:r>
    </w:p>
    <w:p>
      <w:pPr>
        <w:pStyle w:val="Heading2"/>
        <w:keepNext w:val="true"/>
        <w:widowControl/>
        <w:ind w:hanging="0"/>
        <w:rPr/>
      </w:pPr>
      <w:bookmarkStart w:id="8" w:name="__RefHeading___Toc2020_2468698496"/>
      <w:bookmarkEnd w:id="8"/>
      <w:r>
        <w:rPr/>
        <w:t>1.1 Od společenské odpovědnosti k ESG</w:t>
      </w:r>
    </w:p>
    <w:p>
      <w:pPr>
        <w:pStyle w:val="Normal"/>
        <w:widowControl/>
        <w:spacing w:lineRule="auto" w:line="360"/>
        <w:ind w:firstLine="709"/>
        <w:jc w:val="both"/>
        <w:rPr/>
      </w:pPr>
      <w:r>
        <w:rPr/>
        <w:t>Zkratka ESG dnes ve firemních zprávách působí skoro samozřejmě. Je v názvech výborů, v přehledech rizik, mezi ukazateli odměňování i v investičních plánech. Právě tato samozřejmost je ale trochu zrádná: dvě firmy mohou pod stejným označením popisovat velmi odlišnou věc. U jedné jde hlavně o nový název pro dlouhodobou agendu společenské odpovědnosti, u druhé o technický systém sběru dat pro report a u třetí o pravidla, která skutečně vstupují do výběru projektů nebo dodavatelů. Hledat jednu definitivní definici ESG by proto pro tuto práci nebylo příliš užitečné. Potřebuji spíše rozlišit, co se za tímto označením v konkrétním dokumentu děje.</w:t>
      </w:r>
    </w:p>
    <w:p>
      <w:pPr>
        <w:pStyle w:val="Normal"/>
        <w:widowControl/>
        <w:spacing w:lineRule="auto" w:line="360"/>
        <w:ind w:firstLine="709"/>
        <w:jc w:val="both"/>
        <w:rPr/>
      </w:pPr>
      <w:r>
        <w:rPr/>
        <w:t>Debata o odpovědnosti podniku je samozřejmě starší. Carroll (1991) ji zachytil pomocí ekonomické, právní, etické a filantropické odpovědnosti. Jeho model bývá kreslen jako pyramida, což může vyvolávat dojem, že podnik nejprve splní ekonomické povinnosti a teprve potom přidává dobrovolné společenské aktivity. Tak jednoduché to není. Jednotlivá očekávání existují souběžně, přicházejí od různých skupin a v praxi se často dostávají do konfliktu. Rozhodnutí, které je ekonomicky výhodné, může být současně právně sporné nebo společensky obtížně přijatelné.</w:t>
      </w:r>
    </w:p>
    <w:p>
      <w:pPr>
        <w:pStyle w:val="Normal"/>
        <w:widowControl/>
        <w:spacing w:lineRule="auto" w:line="360"/>
        <w:ind w:firstLine="709"/>
        <w:jc w:val="both"/>
        <w:rPr/>
      </w:pPr>
      <w:r>
        <w:rPr/>
        <w:t>ESG tuto starší debatu neruší, ale převádí ji do jiného členění. Environmentální, sociální a správní témata lze spojit s dopady, riziky, cíli a ukazateli, které jsou srozumitelné investorům i managementu. Gillan, Koch a Starks (2021) právě v tomto smyslu ukazují návaznost ESG na výzkum CSR a zároveň posun k měřitelnosti, finanční materialitě, ratingům a podnikovým financím. Nejde tedy jen o novější nálepku pro filantropii. ESG se pokouší udělat z obecné odpovědnosti něco, co lze sledovat, porovnávat a někdy i zahrnout do rozhodnutí.</w:t>
      </w:r>
    </w:p>
    <w:p>
      <w:pPr>
        <w:pStyle w:val="Normal"/>
        <w:widowControl/>
        <w:spacing w:lineRule="auto" w:line="360"/>
        <w:ind w:firstLine="709"/>
        <w:jc w:val="both"/>
        <w:rPr/>
      </w:pPr>
      <w:r>
        <w:rPr/>
        <w:t>Tady je však potřeba být opatrný. Metrika není prostým otiskem reality. Už samotné rozhodnutí, co se bude měřit, za jakou část skupiny a v jakém období, zvýrazní některé jevy a jiné nechá stranou. V analýze proto nepoužívám otázku, zda firma „má ESG“. Taková otázka by do jedné odpovědi smíchala pojmenování, konkrétní činnost, způsob řízení i kvalitu zveřejnění.</w:t>
      </w:r>
    </w:p>
    <w:p>
      <w:pPr>
        <w:pStyle w:val="Normal"/>
        <w:widowControl/>
        <w:spacing w:lineRule="auto" w:line="360"/>
        <w:ind w:firstLine="709"/>
        <w:jc w:val="both"/>
        <w:rPr/>
      </w:pPr>
      <w:r>
        <w:rPr/>
        <w:t>Rozlišuji čtyři vrstvy. První je jazyk, tedy zda podnik používá označení ESG nebo udržitelnost. Druhou tvoří samotná praxe, například energetická úspora, pravidla bezpečnosti práce nebo protikorupční kontrola. Ve třetí vrstvě už má aktivita vlastníka, postup, cíl a metriku; zde mluvím o formalizaci. Manažerská integrace začíná až ve čtvrté vrstvě, kdy informace ovlivní investici, rizikové pravidlo, produkt, dodavatele nebo odměnu. Externí report a jeho ověření stojí částečně vedle této posloupnosti. Podnik může výborně popsat systém, který má jen omezený vliv na rozhodování, a stejně tak může dlouhodobě řídit významné provozní téma, aniž je pojmenuje současným ESG slovníkem.</w:t>
      </w:r>
    </w:p>
    <w:p>
      <w:pPr>
        <w:pStyle w:val="Normal"/>
        <w:widowControl/>
        <w:spacing w:lineRule="auto" w:line="360"/>
        <w:ind w:firstLine="709"/>
        <w:jc w:val="both"/>
        <w:rPr/>
      </w:pPr>
      <w:r>
        <w:rPr/>
        <w:t>To není drobný terminologický rozdíl. Určuje hranici toho, co lze z veřejného reportu tvrdit. Výbor na organizačním schématu dokládá, že určitá struktura existuje; bez informace o pravomoci a konkrétních rozhodnutích ještě neříká, zda něco změnila. Podobně cíl bez vlastníka, zdrojů a postupu při neplnění potvrzuje spíše záměr než řízení. V dalších kapitolách se proto vracím hlavně k okamžiku, kdy se zveřejněná informace propojí s rozhodnutím.</w:t>
      </w:r>
    </w:p>
    <w:p>
      <w:pPr>
        <w:pStyle w:val="Heading2"/>
        <w:keepNext w:val="true"/>
        <w:widowControl/>
        <w:ind w:hanging="0"/>
        <w:rPr/>
      </w:pPr>
      <w:bookmarkStart w:id="9" w:name="__RefHeading___Toc2022_2468698496"/>
      <w:bookmarkEnd w:id="9"/>
      <w:r>
        <w:rPr/>
        <w:t>1.2 Stakeholderová perspektiva</w:t>
      </w:r>
    </w:p>
    <w:p>
      <w:pPr>
        <w:pStyle w:val="Normal"/>
        <w:widowControl/>
        <w:spacing w:lineRule="auto" w:line="360"/>
        <w:ind w:firstLine="709"/>
        <w:jc w:val="both"/>
        <w:rPr/>
      </w:pPr>
      <w:r>
        <w:rPr/>
        <w:t>Jakmile oddělíme pojmenování od skutečného mechanismu, je možné se ptát, odkud tlak na ESG přichází. Podnik neodpovídá jen vlastníkům. Zaměstnanci, zákazníci, dodavatelé, věřitelé, regulátoři, místní komunity i občanská společnost mají odlišná očekávání a především odlišnou schopnost je prosadit. Carroll (1991) s těmito skupinami pracuje jako s adresáty několika vrstev odpovědnosti. Gillan et al. (2021) ukazují finanční cestu, kterou se jejich požadavky mohou projevit: přes cenu kapitálu, reputační riziko, vztah k pracovní síle nebo zákaznickou poptávku.</w:t>
      </w:r>
    </w:p>
    <w:p>
      <w:pPr>
        <w:pStyle w:val="Normal"/>
        <w:widowControl/>
        <w:spacing w:lineRule="auto" w:line="360"/>
        <w:ind w:firstLine="709"/>
        <w:jc w:val="both"/>
        <w:rPr/>
      </w:pPr>
      <w:r>
        <w:rPr/>
        <w:t>V reportech se stakeholderové často objeví jako dlouhý seznam. Ten sám o sobě mnoho nevysvětluje. Investor může požadovat podrobnější data, ale provoz firmy se nezmění; velký odběratel naopak prosadí nové smluvní podmínky a zasáhne do fungování dodavatele, přestože na něj přímo nedopadá stejná regulace. Odbory mohou změnit sociální část transformačního plánu. Regulátor zase může vynutit vznik dat, která původně slouží pro zveřejnění, později se však stanou součástí interního porovnávání projektů. Stejný pojem „tlak stakeholderů“ tak pokrývá několik velmi různých cest.</w:t>
      </w:r>
    </w:p>
    <w:p>
      <w:pPr>
        <w:pStyle w:val="Normal"/>
        <w:widowControl/>
        <w:spacing w:lineRule="auto" w:line="360"/>
        <w:ind w:firstLine="709"/>
        <w:jc w:val="both"/>
        <w:rPr/>
      </w:pPr>
      <w:r>
        <w:rPr/>
        <w:t>Proto sleduji nejen to, kdo byl konzultován, ale co se s jeho požadavkem stalo. Kdo jej uvnitř organizace převzal? Do jakého procesu vstoupil? Změnil prioritu, rozpočet, metriku nebo rozhodovací pravidlo? Teprve taková informace dovoluje odlišit skutečný mechanismus od obecné formulace o dialogu.</w:t>
      </w:r>
    </w:p>
    <w:p>
      <w:pPr>
        <w:pStyle w:val="Normal"/>
        <w:widowControl/>
        <w:spacing w:lineRule="auto" w:line="360"/>
        <w:ind w:firstLine="709"/>
        <w:jc w:val="both"/>
        <w:rPr/>
      </w:pPr>
      <w:r>
        <w:rPr/>
        <w:t>Zvolená stakeholderová perspektiva má jednu vědomou hranici. Akademický korpus práce neobsahuje kanonický primární text Freemanovy teorie, a nebylo by poctivé vytvářet zdání její úplné aplikace jen doplněním známého jména. Používám ji proto v užším smyslu: jako způsob, jak v dokumentech sledovat aktéry, jejich moc a cestu požadavku do rozhodování. Podrobnou Freemanovu typologii práce neuplatňuje.</w:t>
      </w:r>
    </w:p>
    <w:p>
      <w:pPr>
        <w:pStyle w:val="Heading2"/>
        <w:keepNext w:val="true"/>
        <w:widowControl/>
        <w:ind w:hanging="0"/>
        <w:rPr/>
      </w:pPr>
      <w:bookmarkStart w:id="10" w:name="__RefHeading___Toc2024_2468698496"/>
      <w:bookmarkEnd w:id="10"/>
      <w:r>
        <w:rPr/>
        <w:t>1.3 Institucionální tlaky a organizační podobnost</w:t>
      </w:r>
    </w:p>
    <w:p>
      <w:pPr>
        <w:pStyle w:val="Normal"/>
        <w:widowControl/>
        <w:spacing w:lineRule="auto" w:line="360"/>
        <w:ind w:firstLine="709"/>
        <w:jc w:val="both"/>
        <w:rPr/>
      </w:pPr>
      <w:r>
        <w:rPr/>
        <w:t>Stakeholdeři vysvětlují, proč na podnik někdo tlačí. Nevysvětlují však úplně, proč si výsledné reporty bývají tak podobné. K tomu je užitečnější institucionální teorie DiMaggia a Powella (1983), která rozlišuje donucovací, normativní a mimetický izomorfismus. První vychází z práva a závislosti na mocných aktérech, druhý z profesních standardů a expertních komunit. Třetí nastupuje při nejistotě: organizace napodobí řešení, které už někde viděly a které působí legitimně.</w:t>
      </w:r>
    </w:p>
    <w:p>
      <w:pPr>
        <w:pStyle w:val="Normal"/>
        <w:widowControl/>
        <w:spacing w:lineRule="auto" w:line="360"/>
        <w:ind w:firstLine="709"/>
        <w:jc w:val="both"/>
        <w:rPr/>
      </w:pPr>
      <w:r>
        <w:rPr/>
        <w:t>V ESG reportingu se tyto mechanismy překrývají. CSRD a ESRS určují společnou architekturu zveřejnění, auditoři a poradci přenášejí představu o „správném“ materialitním procesu a podniky současně sledují zprávy konkurentů. V prvních letech nového režimu je to pochopitelné. Nikdo nemá dlouhou provozní zkušenost, takže převzetí viditelného řešení nemusí být známkou prázdné formality; často jde o nejméně riskantní způsob, jak se s nejistým požadavkem vyrovnat.</w:t>
      </w:r>
    </w:p>
    <w:p>
      <w:pPr>
        <w:pStyle w:val="Normal"/>
        <w:widowControl/>
        <w:spacing w:lineRule="auto" w:line="360"/>
        <w:ind w:firstLine="709"/>
        <w:jc w:val="both"/>
        <w:rPr/>
      </w:pPr>
      <w:r>
        <w:rPr/>
        <w:t>Výsledkem jsou podobné tabulky, diagramy governance i kategorie dopadů, rizik a příležitostí. Pro čtenáře je to výhoda. Srovnání je snazší. Zároveň však vzniká zvláštní interpretační past: stejná forma začíná působit jako důkaz stejné praxe.</w:t>
      </w:r>
    </w:p>
    <w:p>
      <w:pPr>
        <w:pStyle w:val="Normal"/>
        <w:widowControl/>
        <w:spacing w:lineRule="auto" w:line="360"/>
        <w:ind w:firstLine="709"/>
        <w:jc w:val="both"/>
        <w:rPr/>
      </w:pPr>
      <w:r>
        <w:rPr/>
        <w:t>Přitom výbor uvedený ve dvou reportech může mít zcela jinou roli. V jednom případě schvaluje změny investičního plánu, ve druhém jednou ročně přijme informaci o hotovém výkazu. Materialitní proces může otevřít dosud přehlížené riziko v dodavatelském řetězci, nebo pouze seřadit témata do povinné kapitoly. Institucionální teorie zde neposkytuje jednoduchý verdikt, ale důvod, proč začínat otázkou po mechanismu. Standardizovaná položka je vstup do analýzy, nikoli její výsledek.</w:t>
      </w:r>
    </w:p>
    <w:p>
      <w:pPr>
        <w:pStyle w:val="Heading2"/>
        <w:keepNext w:val="true"/>
        <w:widowControl/>
        <w:ind w:hanging="0"/>
        <w:rPr/>
      </w:pPr>
      <w:bookmarkStart w:id="11" w:name="__RefHeading___Toc2026_2468698496"/>
      <w:bookmarkEnd w:id="11"/>
      <w:r>
        <w:rPr/>
        <w:t>1.4 Legitimita a firemní zveřejnění</w:t>
      </w:r>
    </w:p>
    <w:p>
      <w:pPr>
        <w:pStyle w:val="Normal"/>
        <w:widowControl/>
        <w:spacing w:lineRule="auto" w:line="360"/>
        <w:ind w:firstLine="709"/>
        <w:jc w:val="both"/>
        <w:rPr/>
      </w:pPr>
      <w:r>
        <w:rPr/>
        <w:t>Firemní report je současně informační dokument a způsob, jak organizace vysvětluje sama sebe. Suchman (1995) chápe legitimitu jako obecné přesvědčení, že jednání organizace odpovídá společensky vytvořeným normám a hodnotám. Z tohoto pohledu dává smysl, že podnik ve zprávě nejen zveřejňuje data, ale také ukazuje soulad s pravidly, reaguje na kritiku a skládá příběh o tom, kam směřuje.</w:t>
      </w:r>
    </w:p>
    <w:p>
      <w:pPr>
        <w:pStyle w:val="Normal"/>
        <w:widowControl/>
        <w:spacing w:lineRule="auto" w:line="360"/>
        <w:ind w:firstLine="709"/>
        <w:jc w:val="both"/>
        <w:rPr/>
      </w:pPr>
      <w:r>
        <w:rPr/>
        <w:t>To ještě neznamená manipulaci. Organizace musí být schopna své jednání obhájit a snaha získat důvěru není sama o sobě podezřelá. Problém nastává ve chvíli, kdy čtenář zamění přesvědčivou komunikaci za důkaz změny podkladové praxe. Dobře napsaná kapitola o klimatu může přesně popsat ambici podniku, aniž současně ukáže, že se podle ní skutečně rozhoduje o kapitálu.</w:t>
      </w:r>
    </w:p>
    <w:p>
      <w:pPr>
        <w:pStyle w:val="Normal"/>
        <w:widowControl/>
        <w:spacing w:lineRule="auto" w:line="360"/>
        <w:ind w:firstLine="709"/>
        <w:jc w:val="both"/>
        <w:rPr/>
      </w:pPr>
      <w:r>
        <w:rPr/>
        <w:t>Delmas a Burbano (2011) rozlišují vnější, organizační a individuální faktory greenwashingu. Vnější prostředí vytváří poptávku po pozitivních environmentálních tvrzeních; uvnitř firmy mohou nesoulad posilovat roztříštěná data, nejasná odpovědnost nebo pobídky, které zvýhodní obraz před výsledkem. Na individuální úrovni může autor přecenit význam dílčí aktivity. Tato typologie nabízí několik realistických vysvětlení, z veřejného reportu však zpravidla nelze zjistit úmysl konkrétního člověka.</w:t>
      </w:r>
    </w:p>
    <w:p>
      <w:pPr>
        <w:pStyle w:val="Normal"/>
        <w:widowControl/>
        <w:spacing w:lineRule="auto" w:line="360"/>
        <w:ind w:firstLine="709"/>
        <w:jc w:val="both"/>
        <w:rPr/>
      </w:pPr>
      <w:r>
        <w:rPr/>
        <w:t>V práci proto nepoužívám greenwashing jako rychlou nálepku pro pozitivní text. Dokumentová analýza k tomu nemá dostatečný přístup k interní praxi. Může ovšem popsat něco užšího a kontrolovatelného: tvrzení bez metriky, cíl bez vlastníka, aktivitu bez výsledku, výsledek bez hranice nebo rating vydávaný za důkaz dopadu. Důležitá je i absence nepříznivých trendů tam, kde by je vzhledem k povaze podnikání bylo možné očekávat.</w:t>
      </w:r>
    </w:p>
    <w:p>
      <w:pPr>
        <w:pStyle w:val="Normal"/>
        <w:widowControl/>
        <w:spacing w:lineRule="auto" w:line="360"/>
        <w:ind w:firstLine="709"/>
        <w:jc w:val="both"/>
        <w:rPr/>
      </w:pPr>
      <w:r>
        <w:rPr/>
        <w:t>Takové znaky stále nemají jediný výklad. Mohou souviset se symbolickou implementací, ranou fází systému, nedostupností dat nebo prostě s jiným účelem dokumentu. Přesně v tom spočívá hranice analýzy. Neříká, co si podnik „ve skutečnosti myslí“. Říká, co jeho veřejný text dokládá — a kde už důkaz končí.</w:t>
      </w:r>
    </w:p>
    <w:p>
      <w:pPr>
        <w:pStyle w:val="Heading2"/>
        <w:keepNext w:val="true"/>
        <w:widowControl/>
        <w:ind w:hanging="0"/>
        <w:rPr/>
      </w:pPr>
      <w:bookmarkStart w:id="12" w:name="__RefHeading___Toc2028_2468698496"/>
      <w:bookmarkEnd w:id="12"/>
      <w:r>
        <w:rPr/>
        <w:t>1.5 Materialita jako rozhodnutí o prioritách</w:t>
      </w:r>
    </w:p>
    <w:p>
      <w:pPr>
        <w:pStyle w:val="Normal"/>
        <w:widowControl/>
        <w:spacing w:lineRule="auto" w:line="360"/>
        <w:ind w:firstLine="709"/>
        <w:jc w:val="both"/>
        <w:rPr/>
      </w:pPr>
      <w:r>
        <w:rPr/>
        <w:t>Žádný podnik nemůže věnovat stejnou pozornost všem environmentálním a sociálním otázkám, které se jeho činnosti nějak dotýkají. Materialita je způsob, jak z širokého pole možných témat vybrat ta, která mají vstoupit do řízení a zveřejnění. Nejde tedy jen o techniku pro sestavení obsahu zprávy. V dobře fungujícím systému je to rozhodnutí o tom, kam organizace zaměří pozornost, odpovědnost a zdroje.</w:t>
      </w:r>
    </w:p>
    <w:p>
      <w:pPr>
        <w:pStyle w:val="Normal"/>
        <w:widowControl/>
        <w:spacing w:lineRule="auto" w:line="360"/>
        <w:ind w:firstLine="709"/>
        <w:jc w:val="both"/>
        <w:rPr/>
      </w:pPr>
      <w:r>
        <w:rPr/>
        <w:t>Khan, Serafeim a Yoon (2016) rozlišují materiální a nemateriální témata podle jejich relevance pro finanční výkonnost odvětví. Jejich práce připomíná, že stejné opatření nemusí mít stejný ekonomický význam pro banku, energetiku nebo výrobce automobilů. Současně však vychází převážně z finanční materiality. Evropská dvojí materialita přidává druhý pohled: vedle otázky, co může ovlivnit podnik, sleduje také to, jak podnik působí na lidi a životní prostředí.</w:t>
      </w:r>
    </w:p>
    <w:p>
      <w:pPr>
        <w:pStyle w:val="Normal"/>
        <w:widowControl/>
        <w:spacing w:lineRule="auto" w:line="360"/>
        <w:ind w:firstLine="709"/>
        <w:jc w:val="both"/>
        <w:rPr/>
      </w:pPr>
      <w:r>
        <w:rPr/>
        <w:t>Oba směry se mohou překrývat, ale není vhodné je slévat. Emise výrobku představují dopad bez ohledu na to, zda už se promítly do ceny kapitálu. Naopak nová nízkoemisní technologie může být pro podnik významnou finanční příležitostí, aniž je předem prokázán její čistý přínos po celém životním cyklu. Označení tématu za materiální proto samo neříká, zda jde o riziko, příležitost, negativní dopad nebo jejich kombinaci.</w:t>
      </w:r>
    </w:p>
    <w:p>
      <w:pPr>
        <w:pStyle w:val="Normal"/>
        <w:widowControl/>
        <w:spacing w:lineRule="auto" w:line="360"/>
        <w:ind w:firstLine="709"/>
        <w:jc w:val="both"/>
        <w:rPr/>
      </w:pPr>
      <w:r>
        <w:rPr/>
        <w:t>Při čtení reportu se vyplatí sledovat celý postup, ne pouze výslednou matici. Nejprve musí být dopady, rizika, příležitosti a dotčení stakeholdeři identifikováni. Následuje posouzení závažnosti, pravděpodobnosti a časového horizontu, stanovení hranice a schválení výsledku. Teprve poslední krok ukazuje, zda se z vybrané priority stalo něco řiditelného: politika, cíl, vlastník, rozpočet nebo pravidlo pro rozhodování.</w:t>
      </w:r>
    </w:p>
    <w:p>
      <w:pPr>
        <w:pStyle w:val="Normal"/>
        <w:widowControl/>
        <w:spacing w:lineRule="auto" w:line="360"/>
        <w:ind w:firstLine="709"/>
        <w:jc w:val="both"/>
        <w:rPr/>
      </w:pPr>
      <w:r>
        <w:rPr/>
        <w:t>Právě tento poslední krok je v práci rozhodující. Detailní scoring může dokazovat dobře formalizovaný proces, přesto zůstane převážně reportovacím cvičením, pokud není vidět jeho důsledek. Materialita získává silnější význam ve chvíli, kdy se kvůli ní změní investiční plán, způsob hodnocení úvěru, konstrukce produktu nebo nákupní podmínka. Pak už nejde jen o seznam témat, ale o mechanismus alokace omezených zdrojů.</w:t>
      </w:r>
    </w:p>
    <w:p>
      <w:pPr>
        <w:pStyle w:val="Heading2"/>
        <w:keepNext w:val="true"/>
        <w:widowControl/>
        <w:ind w:hanging="0"/>
        <w:rPr/>
      </w:pPr>
      <w:bookmarkStart w:id="13" w:name="__RefHeading___Toc2030_2468698496"/>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zapojení vedení, měření, časovém horizontu i vnitřních procesech. Studie bývá připomínána především kvůli výsledkům o dlouhodobé výkonnosti. Pro zdejší výzkum je ale zajímavější něco jiného: udržitelnost se nestává součástí organizace tím, že je uvedena ve strategii, nýbrž prostřednictvím opakovaných procesů, odpovědnosti a rozhodnutí.</w:t>
      </w:r>
    </w:p>
    <w:p>
      <w:pPr>
        <w:pStyle w:val="Normal"/>
        <w:widowControl/>
        <w:spacing w:lineRule="auto" w:line="360"/>
        <w:ind w:firstLine="709"/>
        <w:jc w:val="both"/>
        <w:rPr/>
      </w:pPr>
      <w:r>
        <w:rPr/>
        <w:t>Od pouhého označení k takové integraci vede několik odlišných kroků. Podnik může nejprve přijmout závazek a používat nový jazyk. Může současně provádět konkrétní praxi, například modernizovat technologii, školit zaměstnance nebo upravit sociální program. Formalizace nastává tehdy, když činnost získá vlastníka, politiku, metriku a pravidelnou kontrolu. Ani zde však cesta nekončí. V této práci mluvím o manažerské integraci až tehdy, když se informace může promítnout do rozhodnutí, které má pro fungování podniku skutečný důsledek.</w:t>
      </w:r>
    </w:p>
    <w:p>
      <w:pPr>
        <w:pStyle w:val="Normal"/>
        <w:widowControl/>
        <w:spacing w:lineRule="auto" w:line="360"/>
        <w:ind w:firstLine="709"/>
        <w:jc w:val="both"/>
        <w:rPr/>
      </w:pPr>
      <w:r>
        <w:rPr/>
        <w:t>Tím důsledkem nemusí být vždy nový investiční projekt. Rozhodovací vazba může být kapitálová, pokud přechodový plán ovlivňuje investiční portfolio. Může být riziková, když klimatický nebo sociální faktor vstoupí do kreditního, underwritingového či provozního limitu. Produktová vazba mění konstrukci výrobku nebo financovaného portfolia; nákupní vazba podmínky výběru a nápravného plánu dodavatele. Pobídkový mechanismus spojuje dosažení cíle s odměnou, provozní mechanismus například s obnovou zařízení nebo způsobem údržby.</w:t>
      </w:r>
    </w:p>
    <w:p>
      <w:pPr>
        <w:pStyle w:val="Normal"/>
        <w:widowControl/>
        <w:spacing w:lineRule="auto" w:line="360"/>
        <w:ind w:firstLine="709"/>
        <w:jc w:val="both"/>
        <w:rPr/>
      </w:pPr>
      <w:r>
        <w:rPr/>
        <w:t>Tyto podoby nejsou seřazeny do jednoduchého žebříčku, který by dovolil ohodnotit celou firmu jedním stupněm. Organizace může mít výborně ověřený report a současně slabé propojení s rozhodováním. Jiná může dlouhodobě snižovat spotřebu z ekonomických důvodů, i když její dokumenty používají jen minimum ESG terminologie. Klasifikace se proto vztahuje ke konkrétnímu tvrzení, nikoli k údajné „vyspělosti“ celého podniku.</w:t>
      </w:r>
    </w:p>
    <w:p>
      <w:pPr>
        <w:pStyle w:val="Normal"/>
        <w:widowControl/>
        <w:spacing w:lineRule="auto" w:line="360"/>
        <w:ind w:firstLine="709"/>
        <w:jc w:val="both"/>
        <w:rPr/>
      </w:pPr>
      <w:r>
        <w:rPr/>
        <w:t>Ani jasná rozhodovací vazba neříká, že zvolené rozhodnutí je dostatečně ambiciózní nebo že přinese očekávaný dopad. Dokládá však podstatnou věc: informace má v organizaci místo, kde může něco změnit. To je hranice, kterou samotný seznam aktivit, cílů nebo výborů překročit nemusí.</w:t>
      </w:r>
    </w:p>
    <w:p>
      <w:pPr>
        <w:pStyle w:val="Heading2"/>
        <w:keepNext w:val="true"/>
        <w:widowControl/>
        <w:ind w:hanging="0"/>
        <w:rPr/>
      </w:pPr>
      <w:bookmarkStart w:id="14" w:name="__RefHeading___Toc2032_2468698496"/>
      <w:bookmarkEnd w:id="14"/>
      <w:r>
        <w:rPr/>
        <w:t>1.7 ESG a podniková výkonnost</w:t>
      </w:r>
    </w:p>
    <w:p>
      <w:pPr>
        <w:pStyle w:val="Normal"/>
        <w:widowControl/>
        <w:spacing w:lineRule="auto" w:line="360"/>
        <w:ind w:firstLine="709"/>
        <w:jc w:val="both"/>
        <w:rPr/>
      </w:pPr>
      <w:r>
        <w:rPr/>
        <w:t>Vztah mezi ESG a finanční výkonností bývá v manažerské komunikaci shrnován větou, že „udržitelnost se vyplácí“. Akademická literatura je opatrnější. Friede, Busch a Bassen (2015) spojili výsledky více než dvou tisíc empirických studií a zjistili převážně nezáporný vztah. Eccles et al. (2014) popsali rozdíly mezi skupinami podniků s odlišnými organizačními charakteristikami udržitelnosti. Khan et al. (2016) pak ukázali, že pro interpretaci výsledků je důležité, zda se podnik soustředí na materiální témata svého odvětví.</w:t>
      </w:r>
    </w:p>
    <w:p>
      <w:pPr>
        <w:pStyle w:val="Normal"/>
        <w:widowControl/>
        <w:spacing w:lineRule="auto" w:line="360"/>
        <w:ind w:firstLine="709"/>
        <w:jc w:val="both"/>
        <w:rPr/>
      </w:pPr>
      <w:r>
        <w:rPr/>
        <w:t>Z těchto prací ale nelze odvodit univerzální kauzální pravidlo. Gillan et al. (2021) upozorňují, že výzkumy používají různá vymezení ESG, ratingy, časové horizonty i vzorky a potýkají se s endogenitou. Výkonnější podnik může mít jednoduše více zdrojů na sběr dat, lepší governance i rozsáhlejší zveřejnění. Stejná organizační kvalita může současně podporovat finanční i nefinanční výsledky, takže není snadné oddělit směr působení.</w:t>
      </w:r>
    </w:p>
    <w:p>
      <w:pPr>
        <w:pStyle w:val="Normal"/>
        <w:widowControl/>
        <w:spacing w:lineRule="auto" w:line="360"/>
        <w:ind w:firstLine="709"/>
        <w:jc w:val="both"/>
        <w:rPr/>
      </w:pPr>
      <w:r>
        <w:rPr/>
        <w:t>Zvolený dokumentový design tuto kauzalitu netestuje. Když podnik uvádí úsporu energie, nižší náklady nebo obchodní příležitost, jde nejprve o firemní tvrzení. Jeho síla závisí na hranici, metodě, časové řadě a případném ověření. Proto rozlišuji pozorovaný provozní výsledek, manažerské vnímání přínosu, očekávaný budoucí efekt a širší dopad, jehož příčinu report zpravidla nedokáže izolovat.</w:t>
      </w:r>
    </w:p>
    <w:p>
      <w:pPr>
        <w:pStyle w:val="Normal"/>
        <w:widowControl/>
        <w:spacing w:lineRule="auto" w:line="360"/>
        <w:ind w:firstLine="709"/>
        <w:jc w:val="both"/>
        <w:rPr/>
      </w:pPr>
      <w:r>
        <w:rPr/>
        <w:t>Toto rozlišení chrání analýzu před dvěma zkratkami. Počet aktivit se nemění automaticky v důkaz zisku a dobrý rating není sám o sobě potvrzením společenského přínosu. Stejně tak absence finančního výsledku v reportu neznamená, že žádný neexistuje; pouze jej z dostupného dokumentu nelze doložit.</w:t>
      </w:r>
    </w:p>
    <w:p>
      <w:pPr>
        <w:pStyle w:val="Heading2"/>
        <w:keepNext w:val="true"/>
        <w:widowControl/>
        <w:ind w:hanging="0"/>
        <w:rPr/>
      </w:pPr>
      <w:bookmarkStart w:id="15" w:name="__RefHeading___Toc2034_2468698496"/>
      <w:bookmarkEnd w:id="15"/>
      <w:r>
        <w:rPr/>
        <w:t>1.8 Ratingy a problém agregace</w:t>
      </w:r>
    </w:p>
    <w:p>
      <w:pPr>
        <w:pStyle w:val="Normal"/>
        <w:widowControl/>
        <w:spacing w:lineRule="auto" w:line="360"/>
        <w:ind w:firstLine="709"/>
        <w:jc w:val="both"/>
        <w:rPr/>
      </w:pPr>
      <w:r>
        <w:rPr/>
        <w:t>Rating má velkou praktickou výhodu: složitý soubor údajů převádí na číslo nebo kategorii, kterou lze rychle porovnat. Právě tato jednoduchost je zároveň jeho slabinou. Berg, Kölbel a Rigobon (2022) ukazují, že poskytovatelé ESG ratingů se rozcházejí v tom, jaká témata zahrnou, jak je měří a jakou jim dají váhu. Jedna firma tak může dostat výrazně odlišná hodnocení, i když se její reálná činnost mezitím nezměnila.</w:t>
      </w:r>
    </w:p>
    <w:p>
      <w:pPr>
        <w:pStyle w:val="Normal"/>
        <w:widowControl/>
        <w:spacing w:lineRule="auto" w:line="360"/>
        <w:ind w:firstLine="709"/>
        <w:jc w:val="both"/>
        <w:rPr/>
      </w:pPr>
      <w:r>
        <w:rPr/>
        <w:t>Rozdíl není jen technický šum. Každý rating v sobě obsahuje rozhodnutí o tom, co je důležité. Pokud jeden poskytovatel více váží zveřejnění a jiný skutečný výkon, nevytvářejí dvě nedokonalá měření téže vlastnosti, ale částečně měří něco jiného. Drempetic, Klein a Zwergel (2020) navíc upozorňují na vztah mezi velikostí podniku a dosaženým ESG skóre. Velké organizace mají více lidí, dat i kapacity odpovídat na dotazníky, což může zvýhodnit dokumentovanost před samotnou praxí.</w:t>
      </w:r>
    </w:p>
    <w:p>
      <w:pPr>
        <w:pStyle w:val="Normal"/>
        <w:widowControl/>
        <w:spacing w:lineRule="auto" w:line="360"/>
        <w:ind w:firstLine="709"/>
        <w:jc w:val="both"/>
        <w:rPr/>
      </w:pPr>
      <w:r>
        <w:rPr/>
        <w:t>Tento problém se týká i analyzovaného korpusu, který tvoří výhradně velké podniky. Jejich reportovací infrastruktura je nadstandardní už z povahy výběru. Vysoký rating může být důležitým signálem pro investory nebo interním KPI managementu, nelze jej však použít jako náhradu za čtení konkrétního mechanismu. V analýze mě zajímá, zda rating vyvolal doplnění dat, ovlivnil odměnu nebo sloužil jako benchmark. Samotná hodnota skóre neprokazuje změnu investice, produktu ani dopadu.</w:t>
      </w:r>
    </w:p>
    <w:p>
      <w:pPr>
        <w:pStyle w:val="Heading2"/>
        <w:keepNext w:val="true"/>
        <w:widowControl/>
        <w:ind w:hanging="0"/>
        <w:rPr/>
      </w:pPr>
      <w:bookmarkStart w:id="16" w:name="__RefHeading___Toc2036_2468698496"/>
      <w:bookmarkEnd w:id="16"/>
      <w:r>
        <w:rPr/>
        <w:t>1.9 Povinný reporting jako možný impuls organizační změny</w:t>
      </w:r>
    </w:p>
    <w:p>
      <w:pPr>
        <w:pStyle w:val="Normal"/>
        <w:widowControl/>
        <w:spacing w:lineRule="auto" w:line="360"/>
        <w:ind w:firstLine="709"/>
        <w:jc w:val="both"/>
        <w:rPr/>
      </w:pPr>
      <w:r>
        <w:rPr/>
        <w:t>Povinnost zveřejňovat nefinanční informace může na první pohled působit jako čistě komunikační zásah. Christensen, Hail a Leuz (2021) však ukazují širší ekonomické mechanismy. Standardizované zveřejnění může snížit informační asymetrii, usnadnit srovnání a vytvořit reputační nebo regulační tlak. Zároveň přináší náklady, problémy s měřením a riziko šablonovitých formulací. Účinek závisí na kvalitě standardu, vymahatelnosti, ověření i na tom, zda informace někdo skutečně používá.</w:t>
      </w:r>
    </w:p>
    <w:p>
      <w:pPr>
        <w:pStyle w:val="Normal"/>
        <w:widowControl/>
        <w:spacing w:lineRule="auto" w:line="360"/>
        <w:ind w:firstLine="709"/>
        <w:jc w:val="both"/>
        <w:rPr/>
      </w:pPr>
      <w:r>
        <w:rPr/>
        <w:t>Hahn a Kühnen (2013) ve své rešerši připomínají, že rozsah a kvalitu reportingu ovlivňují velikost, sektor, viditelnost a institucionální prostředí. Proto by bylo zavádějící porovnávat energetickou skupinu, banku, telekomunikační společnost a výrobce automobilů jen podle počtu environmentálních ukazatelů. Každý z těchto podniků má jinou strukturu dopadů a jiný způsob, jak se informace mohou dostat do řízení.</w:t>
      </w:r>
    </w:p>
    <w:p>
      <w:pPr>
        <w:pStyle w:val="Normal"/>
        <w:widowControl/>
        <w:spacing w:lineRule="auto" w:line="360"/>
        <w:ind w:firstLine="709"/>
        <w:jc w:val="both"/>
        <w:rPr/>
      </w:pPr>
      <w:r>
        <w:rPr/>
        <w:t>Povinný report může změnit i vnitřní fungování. Když organizace musí doložit datový bod, někdo dostane odpovědnost za jeho definici, sběr a kontrolu. Posouzení dvojí materiality může přivést ke společnému jednání útvary, které předtím pracovaly odděleně. Externí ujištění zesílí požadavek na auditní stopu. Takové vedlejší účinky regulace mohou vytvořit užitečnou infrastrukturu.</w:t>
      </w:r>
    </w:p>
    <w:p>
      <w:pPr>
        <w:pStyle w:val="Normal"/>
        <w:widowControl/>
        <w:spacing w:lineRule="auto" w:line="360"/>
        <w:ind w:firstLine="709"/>
        <w:jc w:val="both"/>
        <w:rPr/>
      </w:pPr>
      <w:r>
        <w:rPr/>
        <w:t>Není to však automatické. Stejné požadavky lze obsloužit paralelní reportingovou vrstvou, která každoročně sesbírá informace, aniž významně zasáhne do rozpočtu, rizikových limitů nebo produktového řízení. Z veřejného dokumentu proto nelze předpokládat organizační změnu jen proto, že má správně uspořádané kapitoly. Je nutné hledat, zda nová informační infrastruktura překročila hranici zveřejnění.</w:t>
      </w:r>
    </w:p>
    <w:p>
      <w:pPr>
        <w:pStyle w:val="Heading2"/>
        <w:keepNext w:val="true"/>
        <w:widowControl/>
        <w:ind w:hanging="0"/>
        <w:rPr/>
      </w:pPr>
      <w:bookmarkStart w:id="17" w:name="__RefHeading___Toc2038_2468698496"/>
      <w:bookmarkEnd w:id="17"/>
      <w:r>
        <w:rPr/>
        <w:t>1.10 Kvalita zveřejnění: více dat ještě neznamená více informace</w:t>
      </w:r>
    </w:p>
    <w:p>
      <w:pPr>
        <w:pStyle w:val="Normal"/>
        <w:widowControl/>
        <w:spacing w:lineRule="auto" w:line="360"/>
        <w:ind w:firstLine="709"/>
        <w:jc w:val="both"/>
        <w:rPr/>
      </w:pPr>
      <w:r>
        <w:rPr/>
        <w:t>Michelon, Pilonato a Ricceri (2015) rozlišují obsah, způsob prezentace a manažerskou orientaci zveřejnění. Jejich závěry zpochybňují jednoduchý předpoklad, že samostatná zpráva, použití GRI nebo externí assurance automaticky zvyšují kvalitu. Stejný nástroj může podpořit substantivní odpovědnost, ale také jen dodat pozitivnímu sdělení formálně důvěryhodnou podobu.</w:t>
      </w:r>
    </w:p>
    <w:p>
      <w:pPr>
        <w:pStyle w:val="Normal"/>
        <w:widowControl/>
        <w:spacing w:lineRule="auto" w:line="360"/>
        <w:ind w:firstLine="709"/>
        <w:jc w:val="both"/>
        <w:rPr/>
      </w:pPr>
      <w:r>
        <w:rPr/>
        <w:t>Boiral (2013) ukazuje podobný problém na vysoce hodnocených GRI reportech. Organizace v nich často vytvářejí idealizovaný obraz a upozadí konflikty, negativní události nebo zkušenost stakeholderů, která se do oficiálního příběhu nehodí. Pro posouzení kvality proto nestačí sečíst, kolik témat zpráva pokrývá. Důležitá je i možnost pochopit nepříznivý trend, změnu hranice nebo nevyřešený dopad.</w:t>
      </w:r>
    </w:p>
    <w:p>
      <w:pPr>
        <w:pStyle w:val="Normal"/>
        <w:widowControl/>
        <w:spacing w:lineRule="auto" w:line="360"/>
        <w:ind w:firstLine="709"/>
        <w:jc w:val="both"/>
        <w:rPr/>
      </w:pPr>
      <w:r>
        <w:rPr/>
        <w:t>Negativní údaj ovšem nemá jednoznačný význam. Zhoršení ukazatele může souviset s horším výkonem, ale také s akvizicí, rozšířením reportovací hranice nebo přesnější metodou. Restatement může poškodit zdánlivou časovou řadu a současně zvýšit její věrohodnost. Zrušený cíl může být oportunistický ústup, případně korekce špatně navrženého KPI. Proto se v analýze nepříznivá informace čte vždy spolu s vysvětlením a omezením.</w:t>
      </w:r>
    </w:p>
    <w:p>
      <w:pPr>
        <w:pStyle w:val="Normal"/>
        <w:widowControl/>
        <w:spacing w:lineRule="auto" w:line="360"/>
        <w:ind w:firstLine="709"/>
        <w:jc w:val="both"/>
        <w:rPr/>
      </w:pPr>
      <w:r>
        <w:rPr/>
        <w:t>Za informačně silnější považuji tvrzení, u kterého lze zjistit, kdo za něj odpovídá, jaká je hranice metriky a podle jaké metody vznikla. Cíl má větší výpovědní hodnotu, pokud uvádí výchozí stav, termín a vlastníka. Výsledek má být oddělen od aktivity i od širšího dopadu; metodická změna má být přiznána. A konečně, externí ujištění musí být čteno jen v rozsahu, který skutečně pokrývá. Teprve kombinace těchto znaků umožňuje posoudit, co zpráva opravdu nabízí, nikoli pouze kolik stran má.</w:t>
      </w:r>
    </w:p>
    <w:p>
      <w:pPr>
        <w:pStyle w:val="Heading2"/>
        <w:keepNext w:val="true"/>
        <w:widowControl/>
        <w:ind w:hanging="0"/>
        <w:rPr/>
      </w:pPr>
      <w:bookmarkStart w:id="18" w:name="__RefHeading___Toc2040_2468698496"/>
      <w:bookmarkEnd w:id="18"/>
      <w:r>
        <w:rPr/>
        <w:t>1.11 Assurance a hranice ověření</w:t>
      </w:r>
    </w:p>
    <w:p>
      <w:pPr>
        <w:pStyle w:val="Normal"/>
        <w:widowControl/>
        <w:spacing w:lineRule="auto" w:line="360"/>
        <w:ind w:firstLine="709"/>
        <w:jc w:val="both"/>
        <w:rPr/>
      </w:pPr>
      <w:r>
        <w:rPr/>
        <w:t>Externí ujištění je důležitou součástí důvěryhodnosti, ale slovo „ověřeno“ bývá vykládáno příliš široce. Omezené ujištění používá menší rozsah postupů a poskytuje nižší míru jistoty než ujištění přiměřené. Ověřovatel může posoudit, zda vykázané informace neobsahují významnou nesprávnost a zda byl popsaný proces v souladu s příslušným rámcem, aniž hodnotí účinnost strategie nebo přiměřenost samotného cíle.</w:t>
      </w:r>
    </w:p>
    <w:p>
      <w:pPr>
        <w:pStyle w:val="Normal"/>
        <w:widowControl/>
        <w:spacing w:lineRule="auto" w:line="360"/>
        <w:ind w:firstLine="709"/>
        <w:jc w:val="both"/>
        <w:rPr/>
      </w:pPr>
      <w:r>
        <w:rPr/>
        <w:t>Proto se u každého odkazu na assurance ptám na čtyři věci. Je konkrétní metrika součástí rozsahu? Jaká úroveň ujištění byla použita? Ověřoval se výpočet, popis procesu, nebo skutečný výsledek? A nepřekračuje následná interpretace závěr, který praktik vydal?</w:t>
      </w:r>
    </w:p>
    <w:p>
      <w:pPr>
        <w:pStyle w:val="Normal"/>
        <w:widowControl/>
        <w:spacing w:lineRule="auto" w:line="360"/>
        <w:ind w:firstLine="709"/>
        <w:jc w:val="both"/>
        <w:rPr/>
      </w:pPr>
      <w:r>
        <w:rPr/>
        <w:t>Rozdíl je dobře vidět na financovaných emisích. Přesně vymezená metodika může projít silným nezávislým ověřením, což významně podporuje spolehlivost výpočtu. Stále však neprokazuje, že se úvěrové portfolio dekarbonizuje. Stejně tak ověření popisu přechodového plánu neříká, že budou budoucí investice provedeny včas a povedou k očekávanému výsledku.</w:t>
      </w:r>
    </w:p>
    <w:p>
      <w:pPr>
        <w:pStyle w:val="Normal"/>
        <w:widowControl/>
        <w:spacing w:lineRule="auto" w:line="360"/>
        <w:ind w:firstLine="709"/>
        <w:jc w:val="both"/>
        <w:rPr/>
      </w:pPr>
      <w:r>
        <w:rPr/>
        <w:t>Z toho plyne restriktivní pravidlo: assurance se váže ke konkrétnímu tvrzení, nikoli k celé firmě. Přítomnost zprávy o ujištění nepovyšuje automaticky všechny výroky na nejvyšší evidenční stupeň a neměla by nad dokumentem vytvářet halo efekt.</w:t>
      </w:r>
    </w:p>
    <w:p>
      <w:pPr>
        <w:pStyle w:val="Heading2"/>
        <w:keepNext w:val="true"/>
        <w:widowControl/>
        <w:ind w:hanging="0"/>
        <w:rPr/>
      </w:pPr>
      <w:bookmarkStart w:id="19" w:name="__RefHeading___Toc2042_2468698496"/>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Pro tento výzkum má několik praktických výhod. Zdroje jsou stabilní, lze se k nim opakovaně vracet a jejich obsah se nemění podle přítomnosti výzkumníka. Současně zachycují oficiální procesy, role a metriky, které by v rozhovoru mohly být podány méně přesně.</w:t>
      </w:r>
    </w:p>
    <w:p>
      <w:pPr>
        <w:pStyle w:val="Normal"/>
        <w:widowControl/>
        <w:spacing w:lineRule="auto" w:line="360"/>
        <w:ind w:firstLine="709"/>
        <w:jc w:val="both"/>
        <w:rPr/>
      </w:pPr>
      <w:r>
        <w:rPr/>
        <w:t>Cena za tuto stabilitu je selektivita. Firemní zpráva nevznikla kvůli výzkumné otázce, ale pro regulátory, investory, zákazníky a další publika. Organizace rozhodla, co zahrne, jak stanoví hranici a jaký příběh z údajů vystaví. Dokument proto není neutrálním oknem do podniku; je jedním z jeho veřejných výstupů.</w:t>
      </w:r>
    </w:p>
    <w:p>
      <w:pPr>
        <w:pStyle w:val="Normal"/>
        <w:widowControl/>
        <w:spacing w:lineRule="auto" w:line="360"/>
        <w:ind w:firstLine="709"/>
        <w:jc w:val="both"/>
        <w:rPr/>
      </w:pPr>
      <w:r>
        <w:rPr/>
        <w:t>Hsieh a Shannon (2005) rozlišují konvenční, řízenou a sumativní obsahovou analýzu. Zde použitý řízený přístup začíná teoretickými kategoriemi, což usnadňuje srovnání, ale přináší riziko, že analytik uvidí jen očekávané jevy. Proto byly ukládány negativní případy, připouštěny nové kódy a u každého výsledkového tématu hledán alternativní výklad nebo hranice.</w:t>
      </w:r>
    </w:p>
    <w:p>
      <w:pPr>
        <w:pStyle w:val="Normal"/>
        <w:widowControl/>
        <w:spacing w:lineRule="auto" w:line="360"/>
        <w:ind w:firstLine="709"/>
        <w:jc w:val="both"/>
        <w:rPr/>
      </w:pPr>
      <w:r>
        <w:rPr/>
        <w:t>Schreier (2012) zdůrazňuje význam kódovacího rámce, segmentace a zkušebního kódování. U firemních reportů je obzvlášť důležité odlišit jednotku kódování od kontextové jednotky. Jediné číslo může v tabulce vypadat jednoznačně, jeho význam se však změní po přečtení poznámky o akvizici, přepočtu historických hodnot nebo omezeném rozsahu. Segment proto nebyl hodnocen bez okolního oddílu, metodické poznámky a případného assurance reportu.</w:t>
      </w:r>
    </w:p>
    <w:p>
      <w:pPr>
        <w:pStyle w:val="Heading2"/>
        <w:keepNext w:val="true"/>
        <w:widowControl/>
        <w:ind w:hanging="0"/>
        <w:rPr/>
      </w:pPr>
      <w:bookmarkStart w:id="20" w:name="__RefHeading___Toc2044_2468698496"/>
      <w:bookmarkEnd w:id="20"/>
      <w:r>
        <w:rPr/>
        <w:t>1.13 Pracovní model zveřejněné implementace</w:t>
      </w:r>
    </w:p>
    <w:p>
      <w:pPr>
        <w:pStyle w:val="Normal"/>
        <w:widowControl/>
        <w:spacing w:lineRule="auto" w:line="360"/>
        <w:ind w:firstLine="709"/>
        <w:jc w:val="both"/>
        <w:rPr/>
      </w:pPr>
      <w:r>
        <w:rPr/>
        <w:t>Z uvedené literatury vychází pracovní model, který propojuje hlavní kroky analýzy:</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Šipky nevyjadřují pevnou kauzální posloupnost. Provozní úspora může vzniknout dávno předtím, než dostane ESG označení. Externí tlak může působit přímo přes smlouvu nebo úvěrovou podmínku a obejít formální strategii. Zpětná vazba zase může změnit původní materialitu, cíl i způsob zveřejnění. Model slouží jako sada otázek, nikoli jako tvrzení, že všechny podniky procházejí stejnou cestou.</w:t>
      </w:r>
    </w:p>
    <w:p>
      <w:pPr>
        <w:pStyle w:val="Normal"/>
        <w:widowControl/>
        <w:spacing w:lineRule="auto" w:line="360"/>
        <w:ind w:firstLine="709"/>
        <w:jc w:val="both"/>
        <w:rPr/>
      </w:pPr>
      <w:r>
        <w:rPr/>
        <w:t>Pro hodnocení jednotlivých segmentů používám škálu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Nejvyšší třída je záměrně výjimečná a vztahuje se jen k přesně vymezenému výsledku. Stejně důležité je, že E3 a E4 zachycují dvě různé vlastnosti. E3 ukazuje napojení na rozhodování, zatímco E4 sílu nezávislé podpory konkrétního výsledku. Jedno nemusí automaticky obsahovat druhé.</w:t>
      </w:r>
    </w:p>
    <w:p>
      <w:pPr>
        <w:pStyle w:val="Heading2"/>
        <w:keepNext w:val="true"/>
        <w:widowControl/>
        <w:ind w:hanging="0"/>
        <w:rPr/>
      </w:pPr>
      <w:bookmarkStart w:id="21" w:name="__RefHeading___Toc2046_2468698496"/>
      <w:bookmarkEnd w:id="21"/>
      <w:r>
        <w:rPr/>
        <w:t>1.14 Shrnutí teoretické kapitoly</w:t>
      </w:r>
    </w:p>
    <w:p>
      <w:pPr>
        <w:pStyle w:val="Normal"/>
        <w:widowControl/>
        <w:spacing w:lineRule="auto" w:line="360"/>
        <w:ind w:firstLine="709"/>
        <w:jc w:val="both"/>
        <w:rPr/>
      </w:pPr>
      <w:r>
        <w:rPr/>
        <w:t>Teoretická část postupně posunula pozornost od obecného označení ESG k tomu, co lze z reportu skutečně vyčíst. Stakeholderová a institucionální perspektiva vysvětlují, proč podniky téma přijímají a proč jejich dokumenty začínají vypadat podobně. Teorie legitimity připomíná, že zveřejnění je zároveň informačním i strategickým jednáním. Materialita ukazuje, jak organizace vybírá priority; organizační literatura pak klade otázku, zda tyto priority získaly vlastníka, kontrolu a vazbu na rozhodnutí.</w:t>
      </w:r>
    </w:p>
    <w:p>
      <w:pPr>
        <w:pStyle w:val="Normal"/>
        <w:widowControl/>
        <w:spacing w:lineRule="auto" w:line="360"/>
        <w:ind w:firstLine="709"/>
        <w:jc w:val="both"/>
        <w:rPr/>
      </w:pPr>
      <w:r>
        <w:rPr/>
        <w:t>Zároveň se ukázalo, proč nelze kvalitu odvozovat z jednoduchých zástupných znaků. Rating agreguje rozdílné volby o rozsahu a vahách. Velký objem dat může odrážet reportovací kapacitu. Assurance podporuje pouze vymezené informace a samo neověřuje účinnost strategie. Ani negativní výsledek nemá bez znalosti hranice a metodiky jednoznačný význam.</w:t>
      </w:r>
    </w:p>
    <w:p>
      <w:pPr>
        <w:pStyle w:val="Normal"/>
        <w:widowControl/>
        <w:spacing w:lineRule="auto" w:line="360"/>
        <w:ind w:firstLine="709"/>
        <w:jc w:val="both"/>
        <w:rPr/>
      </w:pPr>
      <w:r>
        <w:rPr/>
        <w:t>Pro empirickou část je tedy klíčové sledovat konkrétní řetězec. Deklarace se mění ve formalizaci, když dostane vlastníka, proces, cíl a metriku. O manažerské integraci lze mluvit tehdy, když se informace propojí s kapitálem, rizikem, produktem, nákupem, odměnou nebo provozním pravidlem. Ani tento krok ještě nedokazuje konečný dopad, ale poskytuje podstatně silnější informaci než samotná existence strategie či výboru. Právě oddělení mechanismu, výsledku a dopadu umožňuje porovnat velmi rozdílné podniky bez předstírání, že je lze převést na jedno univerzální ESG skóre.</w:t>
      </w:r>
    </w:p>
    <w:p>
      <w:pPr>
        <w:pStyle w:val="Normal"/>
        <w:rPr/>
      </w:pPr>
      <w:r>
        <w:rPr/>
      </w:r>
      <w:r>
        <w:br w:type="page"/>
      </w:r>
    </w:p>
    <w:p>
      <w:pPr>
        <w:pStyle w:val="Heading1"/>
        <w:keepNext w:val="true"/>
        <w:widowControl/>
        <w:spacing w:before="0" w:after="180"/>
        <w:ind w:hanging="0"/>
        <w:rPr/>
      </w:pPr>
      <w:bookmarkStart w:id="22" w:name="__RefHeading___Toc2048_2468698496"/>
      <w:bookmarkEnd w:id="22"/>
      <w:r>
        <w:rPr/>
        <w:t>2 Regulatorní a reportovací kontext</w:t>
      </w:r>
    </w:p>
    <w:p>
      <w:pPr>
        <w:pStyle w:val="Heading2"/>
        <w:keepNext w:val="true"/>
        <w:widowControl/>
        <w:ind w:hanging="0"/>
        <w:rPr/>
      </w:pPr>
      <w:bookmarkStart w:id="23" w:name="__RefHeading___Toc2050_2468698496"/>
      <w:bookmarkEnd w:id="23"/>
      <w:r>
        <w:rPr/>
        <w:t>2.1 Proč je regulace součástí analýzy</w:t>
      </w:r>
    </w:p>
    <w:p>
      <w:pPr>
        <w:pStyle w:val="Normal"/>
        <w:widowControl/>
        <w:spacing w:lineRule="auto" w:line="360"/>
        <w:ind w:firstLine="709"/>
        <w:jc w:val="both"/>
        <w:rPr/>
      </w:pPr>
      <w:r>
        <w:rPr/>
        <w:t>Právní rámec zde nevystupuje jako samostatné téma právního rozboru. Je důležitý proto, že podstatně ovlivňuje podobu dokumentů, které tvoří empirický korpus. Když regulace stanoví, jaké informace má podnik zveřejnit, mění nejen výsledný report. Často vyvolá i potřebu určit vlastníky dat, sjednotit definice, zavést kontrolu a propojit dosud oddělené útvary. Stejný tlak však může vést i k opačnému výsledku: vznikne dobře organizovaná reportingová vrstva, která splní formální požadavky, ale do běžného rozhodování zasáhne jen omezeně.</w:t>
      </w:r>
    </w:p>
    <w:p>
      <w:pPr>
        <w:pStyle w:val="Normal"/>
        <w:widowControl/>
        <w:spacing w:lineRule="auto" w:line="360"/>
        <w:ind w:firstLine="709"/>
        <w:jc w:val="both"/>
        <w:rPr/>
      </w:pPr>
      <w:r>
        <w:rPr/>
        <w:t>Pro interpretaci dokumentů za rok 2024 je nutné udržet tři časové roviny oddělené. První představuje rámec, podle něhož podniky informace připravovaly. Druhá zachycuje konkrétní způsob, jakým jej jednotlivé organizace aplikovaly, případně jak se na něj teprve připravovaly. Třetí tvoří pozdější změny evropského a českého práva. Ty mohou ovlivnit další reportovací období, nemění však zpětně obsah zprávy, která už byla sestavena a zveřejněna.</w:t>
      </w:r>
    </w:p>
    <w:p>
      <w:pPr>
        <w:pStyle w:val="Normal"/>
        <w:widowControl/>
        <w:spacing w:lineRule="auto" w:line="360"/>
        <w:ind w:firstLine="709"/>
        <w:jc w:val="both"/>
        <w:rPr/>
      </w:pPr>
      <w:r>
        <w:rPr/>
        <w:t>Práce proto neprovádí test právního souladu. Neověřuje, zda konkrétní podnik správně určil svou působnost, zveřejnil každý povinný datový bod nebo přesně splnil všechny požadavky na ujištění. Regulatorní kapitola má jinou úlohu: vysvětlit, proč se v reportech opakují určité kategorie a co z jejich přítomnosti lze — a nelze — analyticky vyvodit.</w:t>
      </w:r>
    </w:p>
    <w:p>
      <w:pPr>
        <w:pStyle w:val="Heading2"/>
        <w:keepNext w:val="true"/>
        <w:widowControl/>
        <w:ind w:hanging="0"/>
        <w:rPr/>
      </w:pPr>
      <w:bookmarkStart w:id="24" w:name="__RefHeading___Toc2052_2468698496"/>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běžně označovaná jako CSRD, změnila zejména účetní směrnici 2013/34/EU. Jejím cílem bylo rozšířit a standardizovat zveřejňované informace o udržitelnosti a přiblížit jejich institucionální postavení finančnímu výkaznictví. Informace byly začleněny do zprávy vedení a směrnice s nimi spojila i povinné externí ujištění (Evropský parlament a Rada EU, 2022).</w:t>
      </w:r>
    </w:p>
    <w:p>
      <w:pPr>
        <w:pStyle w:val="Normal"/>
        <w:widowControl/>
        <w:spacing w:lineRule="auto" w:line="360"/>
        <w:ind w:firstLine="709"/>
        <w:jc w:val="both"/>
        <w:rPr/>
      </w:pPr>
      <w:r>
        <w:rPr/>
        <w:t>Pro tuto práci jsou podstatné čtyři důsledky.</w:t>
      </w:r>
    </w:p>
    <w:p>
      <w:pPr>
        <w:pStyle w:val="Normal"/>
        <w:widowControl/>
        <w:spacing w:lineRule="auto" w:line="360"/>
        <w:ind w:firstLine="709"/>
        <w:jc w:val="both"/>
        <w:rPr/>
      </w:pPr>
      <w:r>
        <w:rPr/>
        <w:t>První se týká samotného směru informace. Podnik má vysvětlit nejen to, jak udržitelnostní otázky ovlivňují jeho vývoj, výkonnost a postavení, ale také jak jeho činnost působí na lidi a životní prostředí. Tím vzniká právní základ dvojí materiality. Obě perspektivy se mohou potkat v jednom tématu, přesto nejsou zaměnitelné: finanční riziko podniku a negativní dopad podniku představují dvě různé otázky.</w:t>
      </w:r>
    </w:p>
    <w:p>
      <w:pPr>
        <w:pStyle w:val="Normal"/>
        <w:widowControl/>
        <w:spacing w:lineRule="auto" w:line="360"/>
        <w:ind w:firstLine="709"/>
        <w:jc w:val="both"/>
        <w:rPr/>
      </w:pPr>
      <w:r>
        <w:rPr/>
        <w:t>Druhým důsledkem je rozsah požadovaného vysvětlení. Zpráva nemá být jen souborem výsledkových ukazatelů. Má popsat podnikatelský model a strategii, jejich odolnost, významné dopady, rizika a příležitosti, roli správních, řídicích a dozorčích orgánů, politiky, due diligence, opatření, zdroje, cíle i způsob sledování pokroku. Pro analýzu je to důležité, protože standard vytváří předpoklad sledovat celý řetězec od identifikovaného tématu až po metriku a odpovědnost.</w:t>
      </w:r>
    </w:p>
    <w:p>
      <w:pPr>
        <w:pStyle w:val="Normal"/>
        <w:widowControl/>
        <w:spacing w:lineRule="auto" w:line="360"/>
        <w:ind w:firstLine="709"/>
        <w:jc w:val="both"/>
        <w:rPr/>
      </w:pPr>
      <w:r>
        <w:rPr/>
        <w:t>Třetí změna rozšiřuje pozornost za hranice vlastní činnosti. Informace mají podle potřeby zahrnovat hodnotový řetězec. U banky může být nejvýznamnější klimatická stopa ve financovaném portfoliu, u automobilky při výrobě komponent a užívání vozidla, u telekomunikační firmy v dodavatelském řetězci elektroniky nebo provozu infrastruktury. Report omezený pouze na kanceláře a služební vozidla by proto mohl přesně měřit okrajovou část problému a minout tu podstatnou.</w:t>
      </w:r>
    </w:p>
    <w:p>
      <w:pPr>
        <w:pStyle w:val="Normal"/>
        <w:widowControl/>
        <w:spacing w:lineRule="auto" w:line="360"/>
        <w:ind w:firstLine="709"/>
        <w:jc w:val="both"/>
        <w:rPr/>
      </w:pPr>
      <w:r>
        <w:rPr/>
        <w:t>Čtvrtým důsledkem je požadavek na auditní stopu. Externí ujištění zvyšuje tlak na stabilní definice, doložitelné hranice, kontrolu zdrojových dat a určení odpovědnosti. Nesmí se však zaměňovat s hodnocením, zda je strategie dostatečně ambiciózní nebo zda skutečně povede k žádoucímu environmentálnímu či sociálnímu výsledku. Ověřovatel pracuje v rozsahu konkrétní zakázky a nad vymezenými informacemi.</w:t>
      </w:r>
    </w:p>
    <w:p>
      <w:pPr>
        <w:pStyle w:val="Normal"/>
        <w:widowControl/>
        <w:spacing w:lineRule="auto" w:line="360"/>
        <w:ind w:firstLine="709"/>
        <w:jc w:val="both"/>
        <w:rPr/>
      </w:pPr>
      <w:r>
        <w:rPr/>
        <w:t>CSRD tak pomáhá vysvětlit, proč mají reporty podobnou konstrukci. Governance schéma, popis dvojí materiality nebo tabulka cílů však samy o sobě nevznikají jako nezávislé důkazy hluboké integrace. Část podobnosti je přímým výsledkem společného regulatorního tlaku.</w:t>
      </w:r>
    </w:p>
    <w:p>
      <w:pPr>
        <w:pStyle w:val="Heading2"/>
        <w:keepNext w:val="true"/>
        <w:widowControl/>
        <w:ind w:hanging="0"/>
        <w:rPr/>
      </w:pPr>
      <w:bookmarkStart w:id="25" w:name="__RefHeading___Toc2054_2468698496"/>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tvoří průřezové požadavky a tematické části věnované environmentálním, sociálním a governance otázkám.</w:t>
      </w:r>
    </w:p>
    <w:p>
      <w:pPr>
        <w:pStyle w:val="Normal"/>
        <w:widowControl/>
        <w:spacing w:lineRule="auto" w:line="360"/>
        <w:ind w:firstLine="709"/>
        <w:jc w:val="both"/>
        <w:rPr/>
      </w:pPr>
      <w:r>
        <w:rPr/>
        <w:t>ESRS 1 stanoví obecné principy, mezi nimi dvojí materialitu, práci s hodnotovým řetězcem, časové horizonty a kvalitativní vlastnosti informací. ESRS 2 požaduje obecná zveřejnění o správě, strategii, řízení dopadů, rizik a příležitostí a také o metrikách a cílech. Tematické standardy pak rozpracovávají například změnu klimatu, znečištění, vodu, biodiverzitu, oběhové hospodářství, vlastní pracovní sílu, pracovníky v hodnotovém řetězci, dotčené komunity, spotřebitele a obchodní jednání.</w:t>
      </w:r>
    </w:p>
    <w:p>
      <w:pPr>
        <w:pStyle w:val="Normal"/>
        <w:widowControl/>
        <w:spacing w:lineRule="auto" w:line="360"/>
        <w:ind w:firstLine="709"/>
        <w:jc w:val="both"/>
        <w:rPr/>
      </w:pPr>
      <w:r>
        <w:rPr/>
        <w:t>Pro analytické účely lze tuto strukturu zjednodušit do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Výhodou takového řetězce je, že zpřístupňuje mezery. Podnik může identifikovat důležité téma, ale neuvést politiku. Může popsat politiku bez zdrojů nebo konkrétního opatření. Cíl může postrádat výchozí hodnotu a metriku; metrika zase rozhodovací vazbu. Povinná architektura proto není potvrzením funkčnosti systému. Je spíše mapou, podle níž lze hledat, které články jsou přítomné a jak jsou mezi sebou propojené.</w:t>
      </w:r>
    </w:p>
    <w:p>
      <w:pPr>
        <w:pStyle w:val="Heading3"/>
        <w:keepNext w:val="true"/>
        <w:widowControl/>
        <w:ind w:hanging="0"/>
        <w:rPr/>
      </w:pPr>
      <w:bookmarkStart w:id="26" w:name="__RefHeading___Toc2056_2468698496"/>
      <w:bookmarkEnd w:id="26"/>
      <w:r>
        <w:rPr/>
        <w:t>2.3.1 Dvojí materialita</w:t>
      </w:r>
    </w:p>
    <w:p>
      <w:pPr>
        <w:pStyle w:val="Normal"/>
        <w:widowControl/>
        <w:spacing w:lineRule="auto" w:line="360"/>
        <w:ind w:firstLine="709"/>
        <w:jc w:val="both"/>
        <w:rPr/>
      </w:pPr>
      <w:r>
        <w:rPr/>
        <w:t>Dvojí materialita určuje, které tematické informace mají být zveřejněny. Dopadová materialita sleduje skutečné a potenciální pozitivní i negativní působení podniku na lidi a životní prostředí. Finanční materialita se soustředí na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V praxi se oba směry často protínají. Negativní dopad se může později změnit v právní, reputační nebo tržní riziko. Finanční příležitost může vzniknout díky nízkoemisnímu produktu. Přesto je nutné udržet pojmy oddělené. Investiční atraktivita určitého řešení ještě neprokazuje jeho pozitivní společenský dopad a existence negativního dopadu nemusí být podmíněna tím, zda jej trh už ocenil.</w:t>
      </w:r>
    </w:p>
    <w:p>
      <w:pPr>
        <w:pStyle w:val="Normal"/>
        <w:widowControl/>
        <w:spacing w:lineRule="auto" w:line="360"/>
        <w:ind w:firstLine="709"/>
        <w:jc w:val="both"/>
        <w:rPr/>
      </w:pPr>
      <w:r>
        <w:rPr/>
        <w:t>Samotná materialitní matice říká poměrně málo. Vyšší výpovědní hodnotu má popis, který ukazuje, odkud organizace čerpala informace, které stakeholdery nebo jejich zástupce zapojila, jak vymezila vlastní operace a hodnotový řetězec, jak pracovala se závažností, pravděpodobností a časovým horizontem a kdo výsledek schválil. Ještě důležitější je poslední krok: zda se z materialitního výsledku stala priorita s vlastníkem, cílem a zdroji.</w:t>
      </w:r>
    </w:p>
    <w:p>
      <w:pPr>
        <w:pStyle w:val="Normal"/>
        <w:widowControl/>
        <w:spacing w:lineRule="auto" w:line="360"/>
        <w:ind w:firstLine="709"/>
        <w:jc w:val="both"/>
        <w:rPr/>
      </w:pPr>
      <w:r>
        <w:rPr/>
        <w:t>Detailní proces může dokazovat vysokou míru formalizace. O manažerské integraci však přesvědčivěji vypovídá až vazba na strategii, kapitál, rizikové pravidlo, produkt nebo nákup. V této práci proto materialitu neposuzuji jen jako správně sestavený seznam, ale jako možný mechanismus, který přesměruje pozornost a zdroje.</w:t>
      </w:r>
    </w:p>
    <w:p>
      <w:pPr>
        <w:pStyle w:val="Heading3"/>
        <w:keepNext w:val="true"/>
        <w:widowControl/>
        <w:ind w:hanging="0"/>
        <w:rPr/>
      </w:pPr>
      <w:bookmarkStart w:id="27" w:name="__RefHeading___Toc2058_2468698496"/>
      <w:bookmarkEnd w:id="27"/>
      <w:r>
        <w:rPr/>
        <w:t>2.3.2 Dopady, rizika a příležitosti</w:t>
      </w:r>
    </w:p>
    <w:p>
      <w:pPr>
        <w:pStyle w:val="Normal"/>
        <w:widowControl/>
        <w:spacing w:lineRule="auto" w:line="360"/>
        <w:ind w:firstLine="709"/>
        <w:jc w:val="both"/>
        <w:rPr/>
      </w:pPr>
      <w:r>
        <w:rPr/>
        <w:t>ESRS používají souhrnné označení IRO pro dopady, rizika a příležitosti. Toto spojení je praktické pro strukturu reportu, ale při interpretaci může svádět ke směšování. Dopad popisuje působení organizace na lidi nebo životní prostředí. Riziko a příležitost se vztahují k možné finanční či strategické konsekvenci pro podnik.</w:t>
      </w:r>
    </w:p>
    <w:p>
      <w:pPr>
        <w:pStyle w:val="Normal"/>
        <w:widowControl/>
        <w:spacing w:lineRule="auto" w:line="360"/>
        <w:ind w:firstLine="709"/>
        <w:jc w:val="both"/>
        <w:rPr/>
      </w:pPr>
      <w:r>
        <w:rPr/>
        <w:t>Jeden jev může mít všechny tři podoby. Emise výrobku představují environmentální dopad, zároveň mohou vytvářet regulatorní a tržní riziko a otevřít příležitost pro nízkoemisní produkt. Z toho však nelze odvodit, že každá investice do takového produktu má automaticky pozitivní čistý dopad. Podobně klimatické řízení úvěrového portfolia může chránit banku před ztrátou, aniž samo o sobě sníží financované emise.</w:t>
      </w:r>
    </w:p>
    <w:p>
      <w:pPr>
        <w:pStyle w:val="Normal"/>
        <w:widowControl/>
        <w:spacing w:lineRule="auto" w:line="360"/>
        <w:ind w:firstLine="709"/>
        <w:jc w:val="both"/>
        <w:rPr/>
      </w:pPr>
      <w:r>
        <w:rPr/>
        <w:t>V empirické části je proto vždy důležité zjistit, o které rovině podnik mluví. Firemní argument může legitimně propojit dopad, riziko a příležitost, ale analytická parafráze nesmí jednu kategorii vydávat za jinou.</w:t>
      </w:r>
    </w:p>
    <w:p>
      <w:pPr>
        <w:pStyle w:val="Heading3"/>
        <w:keepNext w:val="true"/>
        <w:widowControl/>
        <w:ind w:hanging="0"/>
        <w:rPr/>
      </w:pPr>
      <w:bookmarkStart w:id="28" w:name="__RefHeading___Toc2060_2468698496"/>
      <w:bookmarkEnd w:id="28"/>
      <w:r>
        <w:rPr/>
        <w:t>2.3.3 Politiky, opatření, zdroje, cíle a metriky</w:t>
      </w:r>
    </w:p>
    <w:p>
      <w:pPr>
        <w:pStyle w:val="Normal"/>
        <w:widowControl/>
        <w:spacing w:lineRule="auto" w:line="360"/>
        <w:ind w:firstLine="709"/>
        <w:jc w:val="both"/>
        <w:rPr/>
      </w:pPr>
      <w:r>
        <w:rPr/>
        <w:t>Posloupnost politik, opatření, zdrojů, cílů a metrik nabízí jednoduchý způsob, jak posoudit úplnost řídicího mechanismu. Politika vyjadřuje pravidlo a záměr. Opatření ukazuje, co organizace skutečně dělá. Zdroje napovídají, zda je záměr podpořen kapacitou. Cíl vymezuje budoucí stav a metrika umožňuje sledovat, zda se k němu podnik přibližuje.</w:t>
      </w:r>
    </w:p>
    <w:p>
      <w:pPr>
        <w:pStyle w:val="Normal"/>
        <w:widowControl/>
        <w:spacing w:lineRule="auto" w:line="360"/>
        <w:ind w:firstLine="709"/>
        <w:jc w:val="both"/>
        <w:rPr/>
      </w:pPr>
      <w:r>
        <w:rPr/>
        <w:t>V reportech však řetězec často zůstane nedokončený. Počet proškolených osob je přesně změřitelný výstup, ale bez následné outcome metriky neříká, zda se změnilo chování. Cíl emisní intenzity může mít výchozí rok a termín, přesto nemusí ukázat vývoj absolutních emisí. Dodavatelský kodex stanoví pravidlo, ovšem bez kontroly, nápravného plánu nebo důsledku pro nákup ještě nedokládá jeho použití.</w:t>
      </w:r>
    </w:p>
    <w:p>
      <w:pPr>
        <w:pStyle w:val="Normal"/>
        <w:widowControl/>
        <w:spacing w:lineRule="auto" w:line="360"/>
        <w:ind w:firstLine="709"/>
        <w:jc w:val="both"/>
        <w:rPr/>
      </w:pPr>
      <w:r>
        <w:rPr/>
        <w:t>Proto se v analýze nepočítají jen přítomné položky. Sleduje se, zda mezi nimi existuje funkční vazba a jaký závěr taková vazba unese.</w:t>
      </w:r>
    </w:p>
    <w:p>
      <w:pPr>
        <w:pStyle w:val="Heading2"/>
        <w:keepNext w:val="true"/>
        <w:widowControl/>
        <w:ind w:hanging="0"/>
        <w:rPr/>
      </w:pPr>
      <w:bookmarkStart w:id="29" w:name="__RefHeading___Toc2062_2468698496"/>
      <w:bookmarkEnd w:id="29"/>
      <w:r>
        <w:rPr/>
        <w:t>2.4 Zpráva o udržitelnosti a omezené ujištění</w:t>
      </w:r>
    </w:p>
    <w:p>
      <w:pPr>
        <w:pStyle w:val="Normal"/>
        <w:widowControl/>
        <w:spacing w:lineRule="auto" w:line="360"/>
        <w:ind w:firstLine="709"/>
        <w:jc w:val="both"/>
        <w:rPr/>
      </w:pPr>
      <w:r>
        <w:rPr/>
        <w:t>CSRD spojila zveřejňované informace s povinným ověřováním. Pro první fázi jde o omezené ujištění. Závěr je formulován negativně: na základě provedených postupů ověřovatel nezjistil skutečnost, která by jej vedla k závěru, že informace obsahují významnou nesprávnost. Oproti přiměřenému ujištění používanému ve finančním auditu je rozsah postupů menší a míra jistoty nižší.</w:t>
      </w:r>
    </w:p>
    <w:p>
      <w:pPr>
        <w:pStyle w:val="Normal"/>
        <w:widowControl/>
        <w:spacing w:lineRule="auto" w:line="360"/>
        <w:ind w:firstLine="709"/>
        <w:jc w:val="both"/>
        <w:rPr/>
      </w:pPr>
      <w:r>
        <w:rPr/>
        <w:t>Při čtení assurance reportu je třeba odlišit alespoň čtyři možné objekty. Prvním je správnost nebo úplnost konkrétní metriky, druhým soulad zveřejnění se standardem, třetím popis materialitního či kontrolního procesu a čtvrtým účinnost strategie nebo skutečný dopad. První tři mohou být podle podmínek zakázky ověřovány. Čtvrtý z ujištění zpravidla automaticky neplyne.</w:t>
      </w:r>
    </w:p>
    <w:p>
      <w:pPr>
        <w:pStyle w:val="Normal"/>
        <w:widowControl/>
        <w:spacing w:lineRule="auto" w:line="360"/>
        <w:ind w:firstLine="709"/>
        <w:jc w:val="both"/>
        <w:rPr/>
      </w:pPr>
      <w:r>
        <w:rPr/>
        <w:t>Pokud praktik ověřil výpočet emisí, získáváme silnější důvod věřit vymezené metodice a hodnotě. Neznamená to však, že podnik stanovil dostatečný cíl nebo že budou emise klesat. Ověření popisu dvojí materiality zase nepotvrzuje, že všichni stakeholdeři souhlasí s výsledným pořadím témat. Rozsah ujištění musí zůstat spojen s přesně tím tvrzením, kterého se týká.</w:t>
      </w:r>
    </w:p>
    <w:p>
      <w:pPr>
        <w:pStyle w:val="Normal"/>
        <w:widowControl/>
        <w:spacing w:lineRule="auto" w:line="360"/>
        <w:ind w:firstLine="709"/>
        <w:jc w:val="both"/>
        <w:rPr/>
      </w:pPr>
      <w:r>
        <w:rPr/>
        <w:t>Toto omezení je zabudováno i do škály E0–E4. Assurance není vlastností celé firmy a nemění každý výrok v reportu na E4. Silná třída může být přidělena pouze konkrétnímu výsledku, který je v daném rozsahu skutečně podpořen.</w:t>
      </w:r>
    </w:p>
    <w:p>
      <w:pPr>
        <w:pStyle w:val="Heading2"/>
        <w:keepNext w:val="true"/>
        <w:widowControl/>
        <w:ind w:hanging="0"/>
        <w:rPr/>
      </w:pPr>
      <w:bookmarkStart w:id="30" w:name="__RefHeading___Toc2064_2468698496"/>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První důležitý rozdíl vede mezi způsobilostí a sladěností. Činnost je taxonomicky způsobilá, pokud ji popisuje příslušný delegovaný akt. Teprve pro sladěnost musí podstatně přispívat alespoň k jednomu environmentálnímu cíli, významně nepoškozovat ostatní cíle, splnit minimální záruky a příslušná technická screeningová kritéria.</w:t>
      </w:r>
    </w:p>
    <w:p>
      <w:pPr>
        <w:pStyle w:val="Normal"/>
        <w:widowControl/>
        <w:spacing w:lineRule="auto" w:line="360"/>
        <w:ind w:firstLine="709"/>
        <w:jc w:val="both"/>
        <w:rPr/>
      </w:pPr>
      <w:r>
        <w:rPr/>
        <w:t>Nařízení Komise v přenesené pravomoci (EU) 2021/2178 stanoví obsah, podobu a metodiku zveřejnění podle článku 8 Taxonomie (Evropská komise, 2021). Nefinanční podniky vykazují podíly způsobilých a sladěných činností na obratu, kapitálových a provozních výdajích. Finanční podniky používají ukazatele přizpůsobené svému podnikatelskému modelu.</w:t>
      </w:r>
    </w:p>
    <w:p>
      <w:pPr>
        <w:pStyle w:val="Normal"/>
        <w:widowControl/>
        <w:spacing w:lineRule="auto" w:line="360"/>
        <w:ind w:firstLine="709"/>
        <w:jc w:val="both"/>
        <w:rPr/>
      </w:pPr>
      <w:r>
        <w:rPr/>
        <w:t>Taxonomie má v této práci dvě role. První je informační: umožňuje zjistit, zda je činnost vůbec zahrnuta do klasifikačního systému a zda splňuje stanovená kritéria. Druhá může být rozhodovací. Pokud podnik výslovně propojí vysoký podíl sladěného CapEx s investičním plánem, klasifikace už neslouží jen ke zveřejnění, ale stává se součástí kapitálové logiky.</w:t>
      </w:r>
    </w:p>
    <w:p>
      <w:pPr>
        <w:pStyle w:val="Normal"/>
        <w:widowControl/>
        <w:spacing w:lineRule="auto" w:line="360"/>
        <w:ind w:firstLine="709"/>
        <w:jc w:val="both"/>
        <w:rPr/>
      </w:pPr>
      <w:r>
        <w:rPr/>
        <w:t>Ani takový údaj však nelze proměnit v celkové ESG hodnocení. Vysoká způsobilost může být daná strukturou odvětví. Sladěný CapEx se týká vymezených environmentálních podmínek, nikoli automaticky sociálních a governance otázek. A plánovaný budoucí podíl není realizovaným dopadem. V empirické analýze je proto taxonomický ukazatel zařazen jako E3 pouze tam, kde dokument doloží jeho vztah k rozhodování.</w:t>
      </w:r>
    </w:p>
    <w:p>
      <w:pPr>
        <w:pStyle w:val="Heading2"/>
        <w:keepNext w:val="true"/>
        <w:widowControl/>
        <w:ind w:hanging="0"/>
        <w:rPr/>
      </w:pPr>
      <w:bookmarkStart w:id="31" w:name="__RefHeading___Toc2066_2468698496"/>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organizace připravovaly zprávy za rok 2024 a zveřejňovaly je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i vliv udržitelnosti na její vývoj, výkonnost a postavení. Současně upravil konsolidované zprávy a související zveřejnění.</w:t>
      </w:r>
    </w:p>
    <w:p>
      <w:pPr>
        <w:pStyle w:val="Normal"/>
        <w:widowControl/>
        <w:spacing w:lineRule="auto" w:line="360"/>
        <w:ind w:firstLine="709"/>
        <w:jc w:val="both"/>
        <w:rPr/>
      </w:pPr>
      <w:r>
        <w:rPr/>
        <w:t>Z pohledu celého původně plánovaného náběhu šlo v této fázi o částečnou transpozici. Pro analyzovaný korpus je však rozhodující praktický rozdíl mezi podniky. Některé připravovaly report za rok 2024 pod přímou povinností, jiné se na širší režim chystaly, pracovaly s dobrovolnými standardy nebo se řídily požadavky své skupiny. Není tedy možné předpokládat, že všechny čtyři případy měly stejnou právní motivaci a stejnou míru připravenosti.</w:t>
      </w:r>
    </w:p>
    <w:p>
      <w:pPr>
        <w:pStyle w:val="Normal"/>
        <w:widowControl/>
        <w:spacing w:lineRule="auto" w:line="360"/>
        <w:ind w:firstLine="709"/>
        <w:jc w:val="both"/>
        <w:rPr/>
      </w:pPr>
      <w:r>
        <w:rPr/>
        <w:t>Práce tuto působnost sama právně nepřezkoumává. Ve výsledkové kapitole vychází z toho, jak jednotlivé organizace svůj reportovací rámec vymezily ve vlastních dokumentech.</w:t>
      </w:r>
    </w:p>
    <w:p>
      <w:pPr>
        <w:pStyle w:val="Heading2"/>
        <w:keepNext w:val="true"/>
        <w:widowControl/>
        <w:ind w:hanging="0"/>
        <w:rPr/>
      </w:pPr>
      <w:bookmarkStart w:id="32" w:name="__RefHeading___Toc2068_2468698496"/>
      <w:bookmarkEnd w:id="32"/>
      <w:r>
        <w:rPr/>
        <w:t>2.7 GRI, skupinové standardy a přechodné reportování</w:t>
      </w:r>
    </w:p>
    <w:p>
      <w:pPr>
        <w:pStyle w:val="Normal"/>
        <w:widowControl/>
        <w:spacing w:lineRule="auto" w:line="360"/>
        <w:ind w:firstLine="709"/>
        <w:jc w:val="both"/>
        <w:rPr/>
      </w:pPr>
      <w:r>
        <w:rPr/>
        <w:t>Před ESRS využívala řada podniků standardy Global Reporting Initiative (GRI) nebo vlastní skupinové rámce. GRI se soustředí především na dopady organizace na ekonomiku, životní prostředí a lidi. S ESRS sdílí některé pojmy a datové oblasti, ale oba systémy nejsou zaměnitelné.</w:t>
      </w:r>
    </w:p>
    <w:p>
      <w:pPr>
        <w:pStyle w:val="Normal"/>
        <w:widowControl/>
        <w:spacing w:lineRule="auto" w:line="360"/>
        <w:ind w:firstLine="709"/>
        <w:jc w:val="both"/>
        <w:rPr/>
      </w:pPr>
      <w:r>
        <w:rPr/>
        <w:t>V roce 2024 se proto v dokumentech objevují různé přechodové situace. Někde jde o deklarovanou aplikaci ESRS v povinné zprávě. Jinde podnik vedle regulatorního zveřejnění připraví samostatný, čtenářsky orientovaný report, který kombinuje více rámců. Další případ může zůstat u GRI a současně už provést dvojí materialitu nebo připravovat governance pro CSRD.</w:t>
      </w:r>
    </w:p>
    <w:p>
      <w:pPr>
        <w:pStyle w:val="Normal"/>
        <w:widowControl/>
        <w:spacing w:lineRule="auto" w:line="360"/>
        <w:ind w:firstLine="709"/>
        <w:jc w:val="both"/>
        <w:rPr/>
      </w:pPr>
      <w:r>
        <w:rPr/>
        <w:t>Tato nesynchronnost je důležitá. Podnik může mít dlouho zavedenou provozní praxi, ale jeho první ESRS disclosure bude zatím neúplné. Opačně může první formálně velmi rozsáhlá zpráva vzniknout díky intenzivnímu reportingovému projektu, jehož vazba na strategii se teprve vytváří. Regulatorní zralost dokumentu proto není totožná s celkovou zralostí organizace.</w:t>
      </w:r>
    </w:p>
    <w:p>
      <w:pPr>
        <w:pStyle w:val="Normal"/>
        <w:widowControl/>
        <w:spacing w:lineRule="auto" w:line="360"/>
        <w:ind w:firstLine="709"/>
        <w:jc w:val="both"/>
        <w:rPr/>
      </w:pPr>
      <w:r>
        <w:rPr/>
        <w:t>Skupinové standardy přidávají další vrstvu. Politika nebo kodex mohou vzniknout na úrovni mateřské skupiny a být převzaty českou společností. Jejich existence dokládá formální rámec, ne však automaticky stejnou intenzitu aplikace v každé právnické osobě nebo závodě. Při kódování proto musí zůstat zachována organizační hranice, kterou dokument uvádí.</w:t>
      </w:r>
    </w:p>
    <w:p>
      <w:pPr>
        <w:pStyle w:val="Heading2"/>
        <w:keepNext w:val="true"/>
        <w:widowControl/>
        <w:ind w:hanging="0"/>
        <w:rPr/>
      </w:pPr>
      <w:bookmarkStart w:id="33" w:name="__RefHeading___Toc2070_2468698496"/>
      <w:bookmarkEnd w:id="33"/>
      <w:r>
        <w:rPr/>
        <w:t>2.8 Pozdější změny a analytické zmrazení</w:t>
      </w:r>
    </w:p>
    <w:p>
      <w:pPr>
        <w:pStyle w:val="Normal"/>
        <w:widowControl/>
        <w:spacing w:lineRule="auto" w:line="360"/>
        <w:ind w:firstLine="709"/>
        <w:jc w:val="both"/>
        <w:rPr/>
      </w:pPr>
      <w:r>
        <w:rPr/>
        <w:t>Po roce 2024 se evropský rámec dále měnil. Směrnice (EU) 2025/794 odložila některé původně plánované reportovací vlny. Směrnice (EU) 2026/470 následně zúžila budoucí rozsah povinného reportingu a upravila některé požadavky CSRD a souvisejících předpisů. Změny reagovaly zejména na tlak snížit administrativní zátěž a zvýšit proporcionalitu systému (Evropský parlament a Rada EU, 2025; 2026).</w:t>
      </w:r>
    </w:p>
    <w:p>
      <w:pPr>
        <w:pStyle w:val="Normal"/>
        <w:widowControl/>
        <w:spacing w:lineRule="auto" w:line="360"/>
        <w:ind w:firstLine="709"/>
        <w:jc w:val="both"/>
        <w:rPr/>
      </w:pPr>
      <w:r>
        <w:rPr/>
        <w:t>Pro diskusi je tento vývoj relevantní. Ukazuje, že podniky zaváděly nové procesy v prostředí, kde nebyla dlouhodobá stabilita požadavků samozřejmá. Zároveň umožňuje položit důležitou otázku: které prvky vznikly pouze kvůli compliance a které získaly vlastní provozní nebo finanční funkci? Proces napojený na investice, riziko nebo produkt může přetrvat i tehdy, když se rozsah povinného zveřejnění později zmenší.</w:t>
      </w:r>
    </w:p>
    <w:p>
      <w:pPr>
        <w:pStyle w:val="Normal"/>
        <w:widowControl/>
        <w:spacing w:lineRule="auto" w:line="360"/>
        <w:ind w:firstLine="709"/>
        <w:jc w:val="both"/>
        <w:rPr/>
      </w:pPr>
      <w:r>
        <w:rPr/>
        <w:t>Empirické hodnocení za rok 2024 se však podle novějších pravidel nepřepisuje. Dokument je posuzován podle svého času vzniku, deklarovaného rámce a tehdy zveřejněných mechanismů. Práce proto netvrdí, že má každý podnik k 1. září 2026 stejnou právní povinnost nebo že bude v dalších letech používat totožnou strukturu reportu.</w:t>
      </w:r>
    </w:p>
    <w:p>
      <w:pPr>
        <w:pStyle w:val="Heading2"/>
        <w:keepNext w:val="true"/>
        <w:widowControl/>
        <w:ind w:hanging="0"/>
        <w:rPr/>
      </w:pPr>
      <w:bookmarkStart w:id="34" w:name="__RefHeading___Toc2072_2468698496"/>
      <w:bookmarkEnd w:id="34"/>
      <w:r>
        <w:rPr/>
        <w:t>2.9 Co z regulatorního kontextu plyne pro analýzu</w:t>
      </w:r>
    </w:p>
    <w:p>
      <w:pPr>
        <w:pStyle w:val="Normal"/>
        <w:widowControl/>
        <w:spacing w:lineRule="auto" w:line="360"/>
        <w:ind w:firstLine="709"/>
        <w:jc w:val="both"/>
        <w:rPr/>
      </w:pPr>
      <w:r>
        <w:rPr/>
        <w:t>Předchozí části lze převést do šesti praktických pravidel.</w:t>
      </w:r>
    </w:p>
    <w:p>
      <w:pPr>
        <w:pStyle w:val="Normal"/>
        <w:widowControl/>
        <w:spacing w:lineRule="auto" w:line="360" w:before="0" w:after="0"/>
        <w:ind w:hanging="255" w:start="425"/>
        <w:jc w:val="both"/>
        <w:rPr/>
      </w:pPr>
      <w:r>
        <w:rPr/>
        <w:t xml:space="preserve">1. </w:t>
      </w:r>
      <w:r>
        <w:rPr>
          <w:b/>
        </w:rPr>
        <w:t>Podobná struktura neznamená podobný výsledek.</w:t>
      </w:r>
      <w:r>
        <w:rPr/>
        <w:t xml:space="preserve"> ESRS vysvětlují, proč reporty obsahují obdobné oddíly. Neříkají, zda jsou procesy stejně účinné.</w:t>
      </w:r>
    </w:p>
    <w:p>
      <w:pPr>
        <w:pStyle w:val="Normal"/>
        <w:widowControl/>
        <w:spacing w:lineRule="auto" w:line="360" w:before="0" w:after="0"/>
        <w:ind w:hanging="255" w:start="425"/>
        <w:jc w:val="both"/>
        <w:rPr/>
      </w:pPr>
      <w:r>
        <w:rPr/>
        <w:t xml:space="preserve">2. </w:t>
      </w:r>
      <w:r>
        <w:rPr>
          <w:b/>
        </w:rPr>
        <w:t>Materialita není jen seznam témat.</w:t>
      </w:r>
      <w:r>
        <w:rPr/>
        <w:t xml:space="preserve"> Silnější informaci nabízí až propojení vybrané priority s vlastníkem, zdroji a rozhodnutím.</w:t>
      </w:r>
    </w:p>
    <w:p>
      <w:pPr>
        <w:pStyle w:val="Normal"/>
        <w:widowControl/>
        <w:spacing w:lineRule="auto" w:line="360" w:before="0" w:after="0"/>
        <w:ind w:hanging="255" w:start="425"/>
        <w:jc w:val="both"/>
        <w:rPr/>
      </w:pPr>
      <w:r>
        <w:rPr/>
        <w:t xml:space="preserve">3. </w:t>
      </w:r>
      <w:r>
        <w:rPr>
          <w:b/>
        </w:rPr>
        <w:t>Metrika není automaticky dopad.</w:t>
      </w:r>
      <w:r>
        <w:rPr/>
        <w:t xml:space="preserve"> Aktivitu, provozní outcome a širší společenský nebo environmentální efekt je nutné oddělit.</w:t>
      </w:r>
    </w:p>
    <w:p>
      <w:pPr>
        <w:pStyle w:val="Normal"/>
        <w:widowControl/>
        <w:spacing w:lineRule="auto" w:line="360" w:before="0" w:after="0"/>
        <w:ind w:hanging="255" w:start="425"/>
        <w:jc w:val="both"/>
        <w:rPr/>
      </w:pPr>
      <w:r>
        <w:rPr/>
        <w:t xml:space="preserve">4. </w:t>
      </w:r>
      <w:r>
        <w:rPr>
          <w:b/>
        </w:rPr>
        <w:t>Taxonomická sladěnost není celkové ESG skóre.</w:t>
      </w:r>
      <w:r>
        <w:rPr/>
        <w:t xml:space="preserve"> Vždy je třeba číst konkrétní KPI, jeho hranici a případnou vazbu na kapitál.</w:t>
      </w:r>
    </w:p>
    <w:p>
      <w:pPr>
        <w:pStyle w:val="Normal"/>
        <w:widowControl/>
        <w:spacing w:lineRule="auto" w:line="360" w:before="0" w:after="0"/>
        <w:ind w:hanging="255" w:start="425"/>
        <w:jc w:val="both"/>
        <w:rPr/>
      </w:pPr>
      <w:r>
        <w:rPr/>
        <w:t xml:space="preserve">5. </w:t>
      </w:r>
      <w:r>
        <w:rPr>
          <w:b/>
        </w:rPr>
        <w:t>Assurance má přesně vymezený rozsah.</w:t>
      </w:r>
      <w:r>
        <w:rPr/>
        <w:t xml:space="preserve"> Třída E4 může být přiřazena jen tvrzení, které je v daném rozsahu skutečně externě podpořeno.</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zůstává uzavřeným časovým řezem; novější stav je kontext, nikoli zpětné hodnoticí měřítko.</w:t>
      </w:r>
    </w:p>
    <w:p>
      <w:pPr>
        <w:pStyle w:val="Normal"/>
        <w:widowControl/>
        <w:spacing w:lineRule="auto" w:line="360"/>
        <w:ind w:firstLine="709"/>
        <w:jc w:val="both"/>
        <w:rPr/>
      </w:pPr>
      <w:r>
        <w:rPr/>
        <w:t>Regulatorní kapitola tím dostává přímou metodickou funkci. Neslouží jako oddělený katalog legislativy, ale pomáhá rozlišit přítomnost povinné položky od zveřejněného dokladu, že se informace skutečně dostala do řízení.</w:t>
      </w:r>
    </w:p>
    <w:p>
      <w:pPr>
        <w:pStyle w:val="Normal"/>
        <w:rPr/>
      </w:pPr>
      <w:r>
        <w:rPr/>
      </w:r>
      <w:r>
        <w:br w:type="page"/>
      </w:r>
    </w:p>
    <w:p>
      <w:pPr>
        <w:pStyle w:val="Heading1"/>
        <w:keepNext w:val="true"/>
        <w:widowControl/>
        <w:spacing w:before="0" w:after="180"/>
        <w:ind w:hanging="0"/>
        <w:rPr/>
      </w:pPr>
      <w:bookmarkStart w:id="35" w:name="__RefHeading___Toc2074_2468698496"/>
      <w:bookmarkEnd w:id="35"/>
      <w:r>
        <w:rPr/>
        <w:t>3 Metodologie</w:t>
      </w:r>
    </w:p>
    <w:p>
      <w:pPr>
        <w:pStyle w:val="Heading2"/>
        <w:keepNext w:val="true"/>
        <w:widowControl/>
        <w:ind w:hanging="0"/>
        <w:rPr/>
      </w:pPr>
      <w:bookmarkStart w:id="36" w:name="__RefHeading___Toc2076_2468698496"/>
      <w:bookmarkEnd w:id="36"/>
      <w:r>
        <w:rPr/>
        <w:t>3.1 Výzkumný přístup</w:t>
      </w:r>
    </w:p>
    <w:p>
      <w:pPr>
        <w:pStyle w:val="Normal"/>
        <w:widowControl/>
        <w:spacing w:lineRule="auto" w:line="360"/>
        <w:ind w:firstLine="709"/>
        <w:jc w:val="both"/>
        <w:rPr/>
      </w:pPr>
      <w:r>
        <w:rPr/>
        <w:t>Výzkum má kvalitativní, průřezový a komparativní charakter. Vychází z veřejných firemních dokumentů a kombinuje dokumentovou analýzu s řízenou kvalitativní obsahovou analýzou. Dokumentová analýza umožňuje pracovat se zdrojem systematicky: hodnotit jeho původ a účel, hledat relevantní části, rozdělit je na významové segmenty a interpretovat je v institucionálním kontextu (Bowen, 2009). Řízená obsahová analýza naproti tomu poskytuje počáteční kategorie odvozené z teorie, aniž by výzkumníkovi zakazovala doplnit kódy, které se ukážou až při čtení korpusu (Hsieh &amp; Shannon, 2005).</w:t>
      </w:r>
    </w:p>
    <w:p>
      <w:pPr>
        <w:pStyle w:val="Normal"/>
        <w:widowControl/>
        <w:spacing w:lineRule="auto" w:line="360"/>
        <w:ind w:firstLine="709"/>
        <w:jc w:val="both"/>
        <w:rPr/>
      </w:pPr>
      <w:r>
        <w:rPr/>
        <w:t>Volba metody odpovídá tomu, na co se práce ptá. Cílem není sestavit souhrnné pořadí firem, změřit jejich celkovou ESG výkonnost ani testovat kauzální vztah mezi udržitelností a finančními výsledky. Předmětem analýzy jsou zveřejněné doklady implementace: jaký proces podnik popisuje, kdo za něj odpovídá, jaké používá cíle a metriky, zda se informace dostává do rozhodování a kde končí možnosti interpretace.</w:t>
      </w:r>
    </w:p>
    <w:p>
      <w:pPr>
        <w:pStyle w:val="Normal"/>
        <w:widowControl/>
        <w:spacing w:lineRule="auto" w:line="360"/>
        <w:ind w:firstLine="709"/>
        <w:jc w:val="both"/>
        <w:rPr/>
      </w:pPr>
      <w:r>
        <w:rPr/>
        <w:t>Firemní report přitom nelze chápat ani jako čistě neutrální databázi, ani jako pouhý marketing. Je to oficiální dokument, v němž organizace zveřejňuje určité cíle, role, metody a výsledky. Současně vzniká výběrem: podnik rozhoduje, co zahrne, jak stanoví hranici a jak údaje vysvětlí. Během analýzy proto byly oddělovány čtyři roviny:</w:t>
      </w:r>
    </w:p>
    <w:p>
      <w:pPr>
        <w:pStyle w:val="ListBullet"/>
        <w:widowControl/>
        <w:numPr>
          <w:ilvl w:val="0"/>
          <w:numId w:val="1"/>
        </w:numPr>
        <w:spacing w:lineRule="auto" w:line="360" w:before="0" w:after="0"/>
        <w:ind w:hanging="142" w:start="425"/>
        <w:contextualSpacing/>
        <w:rPr/>
      </w:pPr>
      <w:r>
        <w:rPr/>
        <w:t>přímé tvrzení organizace;</w:t>
      </w:r>
    </w:p>
    <w:p>
      <w:pPr>
        <w:pStyle w:val="ListBullet"/>
        <w:widowControl/>
        <w:numPr>
          <w:ilvl w:val="0"/>
          <w:numId w:val="1"/>
        </w:numPr>
        <w:spacing w:lineRule="auto" w:line="360" w:before="0" w:after="0"/>
        <w:ind w:hanging="142" w:start="425"/>
        <w:contextualSpacing/>
        <w:rPr/>
      </w:pPr>
      <w:r>
        <w:rPr/>
        <w:t>zveřejněný proces, pravidlo nebo metrika;</w:t>
      </w:r>
    </w:p>
    <w:p>
      <w:pPr>
        <w:pStyle w:val="ListBullet"/>
        <w:widowControl/>
        <w:numPr>
          <w:ilvl w:val="0"/>
          <w:numId w:val="1"/>
        </w:numPr>
        <w:spacing w:lineRule="auto" w:line="360" w:before="0" w:after="0"/>
        <w:ind w:hanging="142" w:start="425"/>
        <w:contextualSpacing/>
        <w:rPr/>
      </w:pPr>
      <w:r>
        <w:rPr/>
        <w:t>interpretace, kterou lze z dokumentu důvodně odvodit;</w:t>
      </w:r>
    </w:p>
    <w:p>
      <w:pPr>
        <w:pStyle w:val="ListBullet"/>
        <w:widowControl/>
        <w:numPr>
          <w:ilvl w:val="0"/>
          <w:numId w:val="1"/>
        </w:numPr>
        <w:spacing w:lineRule="auto" w:line="360" w:before="0" w:after="0"/>
        <w:ind w:hanging="142" w:start="425"/>
        <w:contextualSpacing/>
        <w:rPr/>
      </w:pPr>
      <w:r>
        <w:rPr/>
        <w:t>skutečnost, kterou dokument neumožňuje ověřit.</w:t>
      </w:r>
    </w:p>
    <w:p>
      <w:pPr>
        <w:pStyle w:val="Normal"/>
        <w:widowControl/>
        <w:spacing w:lineRule="auto" w:line="360"/>
        <w:ind w:firstLine="709"/>
        <w:jc w:val="both"/>
        <w:rPr/>
      </w:pPr>
      <w:r>
        <w:rPr/>
        <w:t>Toto rozlišení je podstatné. Bez něj by se firemní sdělení snadno změnilo v nezávisle potvrzený fakt, případně by bylo předem odmítnuto jen proto, že pochází od analyzované organizace. Ani jeden postup by nebyl pro zvolenou výzkumnou otázku užitečný.</w:t>
      </w:r>
    </w:p>
    <w:p>
      <w:pPr>
        <w:pStyle w:val="Heading2"/>
        <w:keepNext w:val="true"/>
        <w:widowControl/>
        <w:ind w:hanging="0"/>
        <w:rPr/>
      </w:pPr>
      <w:bookmarkStart w:id="37" w:name="__RefHeading___Toc2078_2468698496"/>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Normal"/>
        <w:widowControl/>
        <w:spacing w:lineRule="auto" w:line="360"/>
        <w:ind w:firstLine="709"/>
        <w:jc w:val="both"/>
        <w:rPr/>
      </w:pPr>
      <w:r>
        <w:rPr/>
        <w:t>Otázky byly během výzkumu zachovány beze změny. Způsob jejich operacionalizace se však zpřesňoval při pilotním kódování, zejména u hranice mezi formalizovaným procesem a skutečnou rozhodovací vazbou.</w:t>
      </w:r>
    </w:p>
    <w:p>
      <w:pPr>
        <w:pStyle w:val="Heading2"/>
        <w:keepNext w:val="true"/>
        <w:widowControl/>
        <w:ind w:hanging="0"/>
        <w:rPr/>
      </w:pPr>
      <w:bookmarkStart w:id="38" w:name="__RefHeading___Toc2080_2468698496"/>
      <w:bookmarkEnd w:id="38"/>
      <w:r>
        <w:rPr/>
        <w:t>3.3 Výběr případů</w:t>
      </w:r>
    </w:p>
    <w:p>
      <w:pPr>
        <w:pStyle w:val="Normal"/>
        <w:widowControl/>
        <w:spacing w:lineRule="auto" w:line="360"/>
        <w:ind w:firstLine="709"/>
        <w:jc w:val="both"/>
        <w:rPr/>
      </w:pPr>
      <w:r>
        <w:rPr/>
        <w:t>Případy byly vybrány účelově, s důrazem na kontrast. Nešlo o statistickou reprezentativnost, ale o to, aby se v malém souboru objevily rozdílné mechanismy, jimiž mohou environmentální, sociální a governance informace vstupovat do řízení.</w:t>
      </w:r>
    </w:p>
    <w:p>
      <w:pPr>
        <w:pStyle w:val="Normal"/>
        <w:widowControl/>
        <w:spacing w:lineRule="auto" w:line="360"/>
        <w:ind w:firstLine="709"/>
        <w:jc w:val="both"/>
        <w:rPr/>
      </w:pPr>
      <w:r>
        <w:rPr/>
        <w:t>Pro zařazení musel podnik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přesně identifikovat zdrojové místo jednotlivých tvrzení.</w:t>
      </w:r>
    </w:p>
    <w:p>
      <w:pPr>
        <w:pStyle w:val="Normal"/>
        <w:widowControl/>
        <w:spacing w:lineRule="auto" w:line="360"/>
        <w:ind w:firstLine="709"/>
        <w:jc w:val="both"/>
        <w:rPr/>
      </w:pPr>
      <w:r>
        <w:rPr/>
        <w:t>Konečný soubor tvoří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Tento výběr má zřetelnou hranici. Všechny organizace jsou velké a mají vysokou kapacitu připravovat rozsáhlé reporty. Závěry proto nelze bez dalšího přenášet na malé a střední podniky, u nichž může být provozní praxe podstatně méně formalizovaná i méně veřejná.</w:t>
      </w:r>
    </w:p>
    <w:p>
      <w:pPr>
        <w:pStyle w:val="Normal"/>
        <w:widowControl/>
        <w:spacing w:lineRule="auto" w:line="360"/>
        <w:ind w:firstLine="709"/>
        <w:jc w:val="both"/>
        <w:rPr/>
      </w:pPr>
      <w:r>
        <w:rPr/>
        <w:t>Stejně důležité je, že práce nesrovnává absolutní ekologickou nebo sociální stopu. Přímé emise energetické skupiny, financované emise banky a emise z životního cyklu automobilu nevstupují do jedné společné výkonnostní škály. Srovnávány jsou mechanismy zveřejnění a řízení, nikoli velikost vzájemně nesouměřitelných dopadů.</w:t>
      </w:r>
    </w:p>
    <w:p>
      <w:pPr>
        <w:pStyle w:val="Heading2"/>
        <w:keepNext w:val="true"/>
        <w:widowControl/>
        <w:ind w:hanging="0"/>
        <w:rPr/>
      </w:pPr>
      <w:bookmarkStart w:id="39" w:name="__RefHeading___Toc2082_2468698496"/>
      <w:bookmarkEnd w:id="39"/>
      <w:r>
        <w:rPr/>
        <w:t>3.4 Dokumentový korpus</w:t>
      </w:r>
    </w:p>
    <w:p>
      <w:pPr>
        <w:pStyle w:val="Normal"/>
        <w:widowControl/>
        <w:spacing w:lineRule="auto" w:line="360"/>
        <w:ind w:firstLine="709"/>
        <w:jc w:val="both"/>
        <w:rPr/>
      </w:pPr>
      <w:r>
        <w:rPr/>
        <w:t>Primární korpus tvoří oficiální výroční, udržitelnostní nebo ESG zprávy za období od 1. ledna do 31. prosince 2024. Dokument byl zařazen, pokud pocházel z oficiální domény analyzované organizace, pokrýval sledovaný rok, obsahoval relevantní informace o strategii, správě, materialitě, politikách, opatřeních, cílech nebo metrikách a byl dostupný v úplné podobě s dostatečně stabilním lokátorem.</w:t>
      </w:r>
    </w:p>
    <w:p>
      <w:pPr>
        <w:pStyle w:val="Normal"/>
        <w:widowControl/>
        <w:spacing w:lineRule="auto" w:line="360"/>
        <w:ind w:firstLine="709"/>
        <w:jc w:val="both"/>
        <w:rPr/>
      </w:pPr>
      <w:r>
        <w:rPr/>
        <w:t>Použity byly zejména tyto zdroje:</w:t>
      </w:r>
    </w:p>
    <w:p>
      <w:pPr>
        <w:pStyle w:val="ListBullet"/>
        <w:widowControl/>
        <w:numPr>
          <w:ilvl w:val="0"/>
          <w:numId w:val="1"/>
        </w:numPr>
        <w:spacing w:lineRule="auto" w:line="360" w:before="0" w:after="0"/>
        <w:ind w:hanging="142" w:start="425"/>
        <w:contextualSpacing/>
        <w:rPr/>
      </w:pPr>
      <w:r>
        <w:rPr>
          <w:i/>
        </w:rPr>
        <w:t>CEZ Group Annual Financial Report 2024</w:t>
      </w:r>
      <w:r>
        <w:rPr/>
        <w:t>, jehož součástí je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čtený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komentáře ani tiskové zprávy nebyly použity jako primární empirická data. Odborná literatura sloužila pro teoretické a metodické ukotvení, právní akty pro vysvětlení reportovacího prostředí.</w:t>
      </w:r>
    </w:p>
    <w:p>
      <w:pPr>
        <w:pStyle w:val="Normal"/>
        <w:widowControl/>
        <w:spacing w:lineRule="auto" w:line="360"/>
        <w:ind w:firstLine="709"/>
        <w:jc w:val="both"/>
        <w:rPr/>
      </w:pPr>
      <w:r>
        <w:rPr/>
        <w:t>Registr dokumentů byl uzavřen před hlavní syntézou. Každý zdroj získal stabilní identifikátor, údaj o vydavateli a období, odkaz, datum přístupu a popis role v analýze. U Škoda Auto sloužilo online rozhraní jako hlavní citační rozcestník, protože dovolovalo odkazovat na konkrétní tematické sekce; úplný PDF report byl používán k doplnění metodického a skupinového kontextu.</w:t>
      </w:r>
    </w:p>
    <w:p>
      <w:pPr>
        <w:pStyle w:val="Normal"/>
        <w:widowControl/>
        <w:spacing w:lineRule="auto" w:line="360"/>
        <w:ind w:firstLine="709"/>
        <w:jc w:val="both"/>
        <w:rPr/>
      </w:pPr>
      <w:r>
        <w:rPr/>
        <w:t>Rozdílná podoba zdrojů byla přijata jako vlastnost korpusu, ne jako chyba, kterou by bylo možné beze zbytku odstranit. Integrovaná zpráva, samostatný čtenářský report a online výroční zpráva mají odlišnou informační architekturu. Tato odlišnost byla zaznamenána a později zahrnuta mezi limity srovnání.</w:t>
      </w:r>
    </w:p>
    <w:p>
      <w:pPr>
        <w:pStyle w:val="Heading2"/>
        <w:keepNext w:val="true"/>
        <w:widowControl/>
        <w:ind w:hanging="0"/>
        <w:rPr/>
      </w:pPr>
      <w:bookmarkStart w:id="40" w:name="__RefHeading___Toc2084_2468698496"/>
      <w:bookmarkEnd w:id="40"/>
      <w:r>
        <w:rPr/>
        <w:t>3.5 Strategie čtení a extrakce</w:t>
      </w:r>
    </w:p>
    <w:p>
      <w:pPr>
        <w:pStyle w:val="Normal"/>
        <w:widowControl/>
        <w:spacing w:lineRule="auto" w:line="360"/>
        <w:ind w:firstLine="709"/>
        <w:jc w:val="both"/>
        <w:rPr/>
      </w:pPr>
      <w:r>
        <w:rPr/>
        <w:t>Analýza nezačínala vyhledáním několika klíčových slov a automatickým vytažením okolních vět. Nejprve byla přečtena struktura každého dokumentu: jeho rozsah, deklarovaný standard, reportovací hranice, materialitní témata, assurance a způsob navigace. Teprve potom následovalo detailní čtení relevantních oddílů. Rejstříky ESRS a GRI, obsah a textové vyhledávání sloužily jako navigace, nikoli jako samostatné kritérium pro zařazení segmentu.</w:t>
      </w:r>
    </w:p>
    <w:p>
      <w:pPr>
        <w:pStyle w:val="Normal"/>
        <w:widowControl/>
        <w:spacing w:lineRule="auto" w:line="360"/>
        <w:ind w:firstLine="709"/>
        <w:jc w:val="both"/>
        <w:rPr/>
      </w:pPr>
      <w:r>
        <w:rPr/>
        <w:t>Práce probíhala ve třech průchodech:</w:t>
      </w:r>
    </w:p>
    <w:p>
      <w:pPr>
        <w:pStyle w:val="Normal"/>
        <w:widowControl/>
        <w:spacing w:lineRule="auto" w:line="360" w:before="0" w:after="0"/>
        <w:ind w:hanging="255" w:start="425"/>
        <w:jc w:val="both"/>
        <w:rPr/>
      </w:pPr>
      <w:r>
        <w:rPr/>
        <w:t xml:space="preserve">1. </w:t>
      </w:r>
      <w:r>
        <w:rPr>
          <w:b/>
        </w:rPr>
        <w:t>Orientační průchod</w:t>
      </w:r>
      <w:r>
        <w:rPr/>
        <w:t xml:space="preserve"> zachytil typ dokumentu, hranice, použitý standard, rozsah ujištění, strukturu a hlavní materialitní oblasti.</w:t>
      </w:r>
    </w:p>
    <w:p>
      <w:pPr>
        <w:pStyle w:val="Normal"/>
        <w:widowControl/>
        <w:spacing w:lineRule="auto" w:line="360" w:before="0" w:after="0"/>
        <w:ind w:hanging="255" w:start="425"/>
        <w:jc w:val="both"/>
        <w:rPr/>
      </w:pPr>
      <w:r>
        <w:rPr/>
        <w:t xml:space="preserve">2. </w:t>
      </w:r>
      <w:r>
        <w:rPr>
          <w:b/>
        </w:rPr>
        <w:t>Analytický průchod</w:t>
      </w:r>
      <w:r>
        <w:rPr/>
        <w:t xml:space="preserve"> vyhledával významově ucelená tvrzení o odpovědnosti, procesu, rozhodnutí, cíli, metrice, výsledku, negativním vývoji nebo omezení.</w:t>
      </w:r>
    </w:p>
    <w:p>
      <w:pPr>
        <w:pStyle w:val="Normal"/>
        <w:widowControl/>
        <w:spacing w:lineRule="auto" w:line="360" w:before="0" w:after="0"/>
        <w:ind w:hanging="255" w:start="425"/>
        <w:jc w:val="both"/>
        <w:rPr/>
      </w:pPr>
      <w:r>
        <w:rPr/>
        <w:t xml:space="preserve">3. </w:t>
      </w:r>
      <w:r>
        <w:rPr>
          <w:b/>
        </w:rPr>
        <w:t>Kontrolní průchod</w:t>
      </w:r>
      <w:r>
        <w:rPr/>
        <w:t xml:space="preserve"> znovu ověřoval lokátory, hranice metrik, všechny rozhodovací vazby a položky s nejvyšší evidenční silou.</w:t>
      </w:r>
    </w:p>
    <w:p>
      <w:pPr>
        <w:pStyle w:val="Normal"/>
        <w:widowControl/>
        <w:spacing w:lineRule="auto" w:line="360"/>
        <w:ind w:firstLine="709"/>
        <w:jc w:val="both"/>
        <w:rPr/>
      </w:pPr>
      <w:r>
        <w:rPr/>
        <w:t>Do hlavního korpusu se dostaly jen segmenty přímo relevantní alespoň k jedné výzkumné otázce. Musely přinést nový mechanismus, podstatný kontrast nebo důležitou hranici interpretace. Opakované obecné formulace, duplikované KPI a rozsáhlé seznamy aktivit bez nové analytické informace byly ponechány mimo hlavní evidenční soubor.</w:t>
      </w:r>
    </w:p>
    <w:p>
      <w:pPr>
        <w:pStyle w:val="Normal"/>
        <w:widowControl/>
        <w:spacing w:lineRule="auto" w:line="360"/>
        <w:ind w:firstLine="709"/>
        <w:jc w:val="both"/>
        <w:rPr/>
      </w:pPr>
      <w:r>
        <w:rPr/>
        <w:t xml:space="preserve">Výsledný korpus obsahuje </w:t>
      </w:r>
      <w:r>
        <w:rPr>
          <w:b/>
        </w:rPr>
        <w:t>45 klíčových segmentů</w:t>
      </w:r>
      <w:r>
        <w:rPr/>
        <w:t>: 11 pro ČEZ, 12 pro MONETA, 11 pro O2 a 11 pro Škoda Auto. Nejde o všechny výskyty ESG témat ani o úplný katalog zveřejněných aktivit. Je to záměrně zúžený soubor důkazních jednotek, na kterých stojí hlavní argumentace. Další popisné informace byly zachyceny v pracovních poznámkách, ale nevstupovaly do výsledků jako samostatné důkazy.</w:t>
      </w:r>
    </w:p>
    <w:p>
      <w:pPr>
        <w:pStyle w:val="Heading2"/>
        <w:keepNext w:val="true"/>
        <w:widowControl/>
        <w:ind w:hanging="0"/>
        <w:rPr/>
      </w:pPr>
      <w:bookmarkStart w:id="41" w:name="__RefHeading___Toc2086_2468698496"/>
      <w:bookmarkEnd w:id="41"/>
      <w:r>
        <w:rPr/>
        <w:t>3.6 Jednotky analýzy a segmentace</w:t>
      </w:r>
    </w:p>
    <w:p>
      <w:pPr>
        <w:pStyle w:val="Normal"/>
        <w:widowControl/>
        <w:spacing w:lineRule="auto" w:line="360"/>
        <w:ind w:firstLine="709"/>
        <w:jc w:val="both"/>
        <w:rPr/>
      </w:pPr>
      <w:r>
        <w:rPr/>
        <w:t>V návaznosti na Schreier (2012) byly rozlišeny tři úrovně:</w:t>
      </w:r>
    </w:p>
    <w:p>
      <w:pPr>
        <w:pStyle w:val="ListBullet"/>
        <w:widowControl/>
        <w:numPr>
          <w:ilvl w:val="0"/>
          <w:numId w:val="1"/>
        </w:numPr>
        <w:spacing w:lineRule="auto" w:line="360" w:before="0" w:after="0"/>
        <w:ind w:hanging="142" w:start="425"/>
        <w:contextualSpacing/>
        <w:rPr/>
      </w:pPr>
      <w:r>
        <w:rPr>
          <w:b/>
        </w:rPr>
        <w:t>jednotkou analýzy</w:t>
      </w:r>
      <w:r>
        <w:rPr/>
        <w:t xml:space="preserve"> je jeden podnik a uzavřený soubor jeho dokumentů za rok 2024;</w:t>
      </w:r>
    </w:p>
    <w:p>
      <w:pPr>
        <w:pStyle w:val="ListBullet"/>
        <w:widowControl/>
        <w:numPr>
          <w:ilvl w:val="0"/>
          <w:numId w:val="1"/>
        </w:numPr>
        <w:spacing w:lineRule="auto" w:line="360" w:before="0" w:after="0"/>
        <w:ind w:hanging="142" w:start="425"/>
        <w:contextualSpacing/>
        <w:rPr/>
      </w:pPr>
      <w:r>
        <w:rPr>
          <w:b/>
        </w:rPr>
        <w:t>jednotkou kódování</w:t>
      </w:r>
      <w:r>
        <w:rPr/>
        <w:t xml:space="preserve"> je významově ucelený segment s tvrzením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kontextovou jednotku</w:t>
      </w:r>
      <w:r>
        <w:rPr/>
        <w:t xml:space="preserve"> tvoří celý související oddíl, tabulka, metodická poznámka a případně assurance report.</w:t>
      </w:r>
    </w:p>
    <w:p>
      <w:pPr>
        <w:pStyle w:val="Normal"/>
        <w:widowControl/>
        <w:spacing w:lineRule="auto" w:line="360"/>
        <w:ind w:firstLine="709"/>
        <w:jc w:val="both"/>
        <w:rPr/>
      </w:pPr>
      <w:r>
        <w:rPr/>
        <w:t>Kódovací jednotka mohla mít podobu jednoho odstavce, několika souvisejících vět nebo tabulkové položky. Nebyla však čtena bez nadpisu a poznámek. To je důležité například u časových řad emisí. Samotná meziroční změna může vypadat jednoznačně, ale její význam se změní, pokud podnik současně rozšířil organizační hranici nebo přepočítal historická data.</w:t>
      </w:r>
    </w:p>
    <w:p>
      <w:pPr>
        <w:pStyle w:val="Normal"/>
        <w:widowControl/>
        <w:spacing w:lineRule="auto" w:line="360"/>
        <w:ind w:firstLine="709"/>
        <w:jc w:val="both"/>
        <w:rPr/>
      </w:pPr>
      <w:r>
        <w:rPr/>
        <w:t>Jeden segment mohl nést více tematických kódů. Tvrzení, že představenstvo schvaluje přechodový plán prostřednictvím investičního plánu, patří současně do governance, strategické vazby i kapitálové alokace a může být klasifikováno jako E3. Vícenásobné kódování bylo přijato tam, kde zachycovalo rozdílné analytické funkce téhož tvrzení, nikoli jen jako mechanické násobení kategorií.</w:t>
      </w:r>
    </w:p>
    <w:p>
      <w:pPr>
        <w:pStyle w:val="Heading2"/>
        <w:keepNext w:val="true"/>
        <w:widowControl/>
        <w:ind w:hanging="0"/>
        <w:rPr/>
      </w:pPr>
      <w:bookmarkStart w:id="42" w:name="__RefHeading___Toc2088_2468698496"/>
      <w:bookmarkEnd w:id="42"/>
      <w:r>
        <w:rPr/>
        <w:t>3.7 Kódovací rámec</w:t>
      </w:r>
    </w:p>
    <w:p>
      <w:pPr>
        <w:pStyle w:val="Normal"/>
        <w:widowControl/>
        <w:spacing w:lineRule="auto" w:line="360"/>
        <w:ind w:firstLine="709"/>
        <w:jc w:val="both"/>
        <w:rPr/>
      </w:pPr>
      <w:r>
        <w:rPr/>
        <w:t>Počáteční rámec vycházel z teoretické kapitoly a výzkumných otázek. Během pilotu se ukázalo, že některé kategorie jsou příliš široké, zatímco jiné v původním návrhu chyběly. Finální kódy byly uspořádány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Každý kód měl definici, pravidlo zahrnutí a vyloučení, příklad a vztah k evidenční síle. Nová kategorie byla doplněna jen tehdy, pokud se jev opakoval nebo zásadně narušoval původní rámec. Takto zesílila zejména rodina </w:t>
      </w:r>
      <w:r>
        <w:rPr>
          <w:b/>
        </w:rPr>
        <w:t>negativní informace a revize</w:t>
      </w:r>
      <w:r>
        <w:rPr/>
        <w:t>. Počáteční návrh se soustředil hlavně na governance a rozhodovací vazby, ale během čtení se ukázalo, že přiznaný restatement, zhoršený KPI, změna cíle nebo chybějící outcome metrika výrazně ovlivňují informační hodnotu reportu.</w:t>
      </w:r>
    </w:p>
    <w:p>
      <w:pPr>
        <w:pStyle w:val="Normal"/>
        <w:widowControl/>
        <w:spacing w:lineRule="auto" w:line="360"/>
        <w:ind w:firstLine="709"/>
        <w:jc w:val="both"/>
        <w:rPr/>
      </w:pPr>
      <w:r>
        <w:rPr/>
        <w:t>Kódovací rámec proto nesloužil jen k označení toho, co organizace má. Stejně důležitou funkcí bylo zachytit místa, kde je systém neúplný, v přechodu nebo kde dokument sám omezuje příliš pozitivní interpretaci.</w:t>
      </w:r>
    </w:p>
    <w:p>
      <w:pPr>
        <w:pStyle w:val="Heading2"/>
        <w:keepNext w:val="true"/>
        <w:widowControl/>
        <w:ind w:hanging="0"/>
        <w:rPr/>
      </w:pPr>
      <w:bookmarkStart w:id="43" w:name="__RefHeading___Toc2090_2468698496"/>
      <w:bookmarkEnd w:id="43"/>
      <w:r>
        <w:rPr/>
        <w:t>3.8 Škála evidenční síly E0–E4</w:t>
      </w:r>
    </w:p>
    <w:p>
      <w:pPr>
        <w:pStyle w:val="Normal"/>
        <w:widowControl/>
        <w:spacing w:lineRule="auto" w:line="360"/>
        <w:ind w:firstLine="709"/>
        <w:jc w:val="both"/>
        <w:rPr/>
      </w:pPr>
      <w:r>
        <w:rPr/>
        <w:t>Pro porovnání odlišných typů tvrzení byla použita škála evidenční síly. Hodnocenou jednotkou je vždy konkrétní segment, nikoli podnik jako celek.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netvoří pořadí „dobrých“ a „špatných“ firem. E3 zachycuje silný znak manažerské integrace, i když výsledná metrika nemusí být externě ověřena. E4 naproti tomu vypovídá o síle podpory konkrétního výsledku; sama neříká, jak hluboko je téma zapojeno do rozhodování. Status assurance a evidenční třída jsou proto zaznamenány odděleně.</w:t>
      </w:r>
    </w:p>
    <w:p>
      <w:pPr>
        <w:pStyle w:val="Normal"/>
        <w:widowControl/>
        <w:spacing w:lineRule="auto" w:line="360"/>
        <w:ind w:firstLine="709"/>
        <w:jc w:val="both"/>
        <w:rPr/>
      </w:pPr>
      <w:r>
        <w:rPr/>
        <w:t>Rozdíl lze ukázat na jednoduchých příkladech. Počet účastníků programu digitální gramotnosti je E1, pokud dokládá rozsah aktivity. Meziroční změna spotřeby s jasnou hranicí a metodikou patří do E2. Informace, že energetická účinnost vstupuje do výběru technologie datového centra, je E3. Externě ověřený výpočet přesně vymezené metriky může být E4, ale ani tehdy nemusí dokládat širší společenský dopad programu.</w:t>
      </w:r>
    </w:p>
    <w:p>
      <w:pPr>
        <w:pStyle w:val="Normal"/>
        <w:widowControl/>
        <w:spacing w:lineRule="auto" w:line="360"/>
        <w:ind w:firstLine="709"/>
        <w:jc w:val="both"/>
        <w:rPr/>
      </w:pPr>
      <w:r>
        <w:rPr/>
        <w:t>Při klasifikaci se vždy zapisovalo také omezení. Tím se mělo zabránit tomu, aby stručné označení třídy nahradilo interpretaci konkrétního tvrzení.</w:t>
      </w:r>
    </w:p>
    <w:p>
      <w:pPr>
        <w:pStyle w:val="Heading2"/>
        <w:keepNext w:val="true"/>
        <w:widowControl/>
        <w:ind w:hanging="0"/>
        <w:rPr/>
      </w:pPr>
      <w:bookmarkStart w:id="44" w:name="__RefHeading___Toc2092_2468698496"/>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druhý na metriky a výsledky. Jeho účelem nebylo předběžně „potvrdit“ očekávaná témata, ale ověřit, zda navržené kategorie skutečně fungují na různých typech dokumentů.</w:t>
      </w:r>
    </w:p>
    <w:p>
      <w:pPr>
        <w:pStyle w:val="Normal"/>
        <w:widowControl/>
        <w:spacing w:lineRule="auto" w:line="360"/>
        <w:ind w:firstLine="709"/>
        <w:jc w:val="both"/>
        <w:rPr/>
      </w:pPr>
      <w:r>
        <w:rPr/>
        <w:t>Kontrolovalo se pět problémů:</w:t>
      </w:r>
    </w:p>
    <w:p>
      <w:pPr>
        <w:pStyle w:val="Normal"/>
        <w:widowControl/>
        <w:spacing w:lineRule="auto" w:line="360" w:before="0" w:after="0"/>
        <w:ind w:hanging="255" w:start="425"/>
        <w:jc w:val="both"/>
        <w:rPr/>
      </w:pPr>
      <w:r>
        <w:rPr/>
        <w:t>1. zda se kódy nepřekrývají bez analytického přínosu;</w:t>
      </w:r>
    </w:p>
    <w:p>
      <w:pPr>
        <w:pStyle w:val="Normal"/>
        <w:widowControl/>
        <w:spacing w:lineRule="auto" w:line="360" w:before="0" w:after="0"/>
        <w:ind w:hanging="255" w:start="425"/>
        <w:jc w:val="both"/>
        <w:rPr/>
      </w:pPr>
      <w:r>
        <w:rPr/>
        <w:t>2. zda je možné konzistentně odlišit aktivitu, výsledek a rozhodovací vazbu;</w:t>
      </w:r>
    </w:p>
    <w:p>
      <w:pPr>
        <w:pStyle w:val="Normal"/>
        <w:widowControl/>
        <w:spacing w:lineRule="auto" w:line="360" w:before="0" w:after="0"/>
        <w:ind w:hanging="255" w:start="425"/>
        <w:jc w:val="both"/>
        <w:rPr/>
      </w:pPr>
      <w:r>
        <w:rPr/>
        <w:t>3. zda lokátor umožňuje segment znovu dohledat v původním kontextu;</w:t>
      </w:r>
    </w:p>
    <w:p>
      <w:pPr>
        <w:pStyle w:val="Normal"/>
        <w:widowControl/>
        <w:spacing w:lineRule="auto" w:line="360" w:before="0" w:after="0"/>
        <w:ind w:hanging="255" w:start="425"/>
        <w:jc w:val="both"/>
        <w:rPr/>
      </w:pPr>
      <w:r>
        <w:rPr/>
        <w:t>4. zda rámec nezvýhodňuje jeden sektor;</w:t>
      </w:r>
    </w:p>
    <w:p>
      <w:pPr>
        <w:pStyle w:val="Normal"/>
        <w:widowControl/>
        <w:spacing w:lineRule="auto" w:line="360" w:before="0" w:after="0"/>
        <w:ind w:hanging="255" w:start="425"/>
        <w:jc w:val="both"/>
        <w:rPr/>
      </w:pPr>
      <w:r>
        <w:rPr/>
        <w:t>5. zda korpus vyžaduje nové induktivní kategorie.</w:t>
      </w:r>
    </w:p>
    <w:p>
      <w:pPr>
        <w:pStyle w:val="Normal"/>
        <w:widowControl/>
        <w:spacing w:lineRule="auto" w:line="360"/>
        <w:ind w:firstLine="709"/>
        <w:jc w:val="both"/>
        <w:rPr/>
      </w:pPr>
      <w:r>
        <w:rPr/>
        <w:t>Pilot vedl ke třem hlavním úpravám. Obecný kód „ESG integrace“ byl rozdělen podle typu rozhodnutí na kapitál, riziko, odměnu, produkt, nákup a provoz. Aktivita, outcome metrika a širší impact claim byly odděleny, protože je původní kategorie nedokázala bezpečně rozlišit. A konečně assurance se stalo samostatnou dimenzí, aby přítomnost externího ujištění automaticky nezvyšovala hodnocení celé zprávy.</w:t>
      </w:r>
    </w:p>
    <w:p>
      <w:pPr>
        <w:pStyle w:val="Normal"/>
        <w:widowControl/>
        <w:spacing w:lineRule="auto" w:line="360"/>
        <w:ind w:firstLine="709"/>
        <w:jc w:val="both"/>
        <w:rPr/>
      </w:pPr>
      <w:r>
        <w:rPr/>
        <w:t>Po uzavření finálního slovníku byly pilotní segmenty znovu posouzeny. Tím se zajistilo, že v korpusu nezůstaly položky klasifikované podle starších a širších definic.</w:t>
      </w:r>
    </w:p>
    <w:p>
      <w:pPr>
        <w:pStyle w:val="Heading2"/>
        <w:keepNext w:val="true"/>
        <w:widowControl/>
        <w:ind w:hanging="0"/>
        <w:rPr/>
      </w:pPr>
      <w:bookmarkStart w:id="45" w:name="__RefHeading___Toc2094_2468698496"/>
      <w:bookmarkEnd w:id="45"/>
      <w:r>
        <w:rPr/>
        <w:t>3.10 Hlavní kódování a případová mema</w:t>
      </w:r>
    </w:p>
    <w:p>
      <w:pPr>
        <w:pStyle w:val="Normal"/>
        <w:widowControl/>
        <w:spacing w:lineRule="auto" w:line="360"/>
        <w:ind w:firstLine="709"/>
        <w:jc w:val="both"/>
        <w:rPr/>
      </w:pPr>
      <w:r>
        <w:rPr/>
        <w:t>Hlavní kódování probíhalo nejprve uvnitř jednotlivých případů. U každého segmentu byl uložen identifikátor firmy a dokumentu, přesný lokátor, neutrální parafráze, tematické kódy, evidenční třída, status zdroje, plánované analytické využití a alternativní výklad nebo omezení.</w:t>
      </w:r>
    </w:p>
    <w:p>
      <w:pPr>
        <w:pStyle w:val="Normal"/>
        <w:widowControl/>
        <w:spacing w:lineRule="auto" w:line="360"/>
        <w:ind w:firstLine="709"/>
        <w:jc w:val="both"/>
        <w:rPr/>
      </w:pPr>
      <w:r>
        <w:rPr/>
        <w:t>Po dokončení jednoho podniku vzniklo případové memo. Jeho účelem nebylo převyprávět celý report. Soustředilo se na vnitřní logiku zveřejněné implementace: která témata jsou skutečně spojena s podnikatelským modelem, jak je popsána governance, kde se objevuje rozhodovací vazba, které metriky mají nejsilnější oporu a co narušuje pozitivní příběh dokumentu.</w:t>
      </w:r>
    </w:p>
    <w:p>
      <w:pPr>
        <w:pStyle w:val="Normal"/>
        <w:widowControl/>
        <w:spacing w:lineRule="auto" w:line="360"/>
        <w:ind w:firstLine="709"/>
        <w:jc w:val="both"/>
        <w:rPr/>
      </w:pPr>
      <w:r>
        <w:rPr/>
        <w:t>Každé memo obsahovalo i část věnovanou tomu, co nesedělo na pracovní očekávání. Tento krok měl omezit konfirmační zkreslení, k němuž je řízená obsahová analýza náchylná. U MONETA se například nepotvrdilo očekávání výhradně pozitivního tónu: report otevřeně kritizoval reportovací zátěž, uváděl chybějící outcome cíl i zhoršený ukazatel. U O2 se zase ukázalo, že vysoký počet KPI a aktivit není automatickým dokladem hluboké integrace.</w:t>
      </w:r>
    </w:p>
    <w:p>
      <w:pPr>
        <w:pStyle w:val="Normal"/>
        <w:widowControl/>
        <w:spacing w:lineRule="auto" w:line="360"/>
        <w:ind w:firstLine="709"/>
        <w:jc w:val="both"/>
        <w:rPr/>
      </w:pPr>
      <w:r>
        <w:rPr/>
        <w:t>Teprve po uzavření všech čtyř případových mem začalo mezipřípadové srovnání. Tím se mělo zabránit tomu, aby první výrazný případ předem určil interpretaci ostatních.</w:t>
      </w:r>
    </w:p>
    <w:p>
      <w:pPr>
        <w:pStyle w:val="Heading2"/>
        <w:keepNext w:val="true"/>
        <w:widowControl/>
        <w:ind w:hanging="0"/>
        <w:rPr/>
      </w:pPr>
      <w:bookmarkStart w:id="46" w:name="__RefHeading___Toc2096_2468698496"/>
      <w:bookmarkEnd w:id="46"/>
      <w:r>
        <w:rPr/>
        <w:t>3.11 Mezipřípadová syntéza</w:t>
      </w:r>
    </w:p>
    <w:p>
      <w:pPr>
        <w:pStyle w:val="Normal"/>
        <w:widowControl/>
        <w:spacing w:lineRule="auto" w:line="360"/>
        <w:ind w:firstLine="709"/>
        <w:jc w:val="both"/>
        <w:rPr/>
      </w:pPr>
      <w:r>
        <w:rPr/>
        <w:t>Kandidátní téma bylo přijato jen tehdy, pokud splnilo čtyři podmínky. Muselo být podloženo více segmenty nebo jedním analyticky zásadním kritickým případem, obsahovat kontrast alespoň mezi dvěma podniky, jasně oddělovat firemní tvrzení od interpretace autora a uvádět negativní případ, hranici nebo alternativní vysvětlení.</w:t>
      </w:r>
    </w:p>
    <w:p>
      <w:pPr>
        <w:pStyle w:val="Normal"/>
        <w:widowControl/>
        <w:spacing w:lineRule="auto" w:line="360"/>
        <w:ind w:firstLine="709"/>
        <w:jc w:val="both"/>
        <w:rPr/>
      </w:pPr>
      <w:r>
        <w:rPr/>
        <w:t>Počty kódů nebyly používány jako statistický důkaz významnosti. Rozsah dokumentů se výrazně lišil a dlouhý integrovaný report by přirozeně vytvořil více výskytů než stručnější zpráva. Samotná četnost by proto snadno zaměnila publikační formát za kvalitu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Normal"/>
        <w:widowControl/>
        <w:spacing w:lineRule="auto" w:line="360"/>
        <w:ind w:firstLine="709"/>
        <w:jc w:val="both"/>
        <w:rPr/>
      </w:pPr>
      <w:r>
        <w:rPr/>
        <w:t>Témata byla dále porovnána s dílčími výzkumnými otázkami. Pokud některá otázka neměla vedle podpůrného materiálu také omezující nebo kontrastní důkaz, byla syntéza znovu otevřena.</w:t>
      </w:r>
    </w:p>
    <w:p>
      <w:pPr>
        <w:pStyle w:val="Heading2"/>
        <w:keepNext w:val="true"/>
        <w:widowControl/>
        <w:ind w:hanging="0"/>
        <w:rPr/>
      </w:pPr>
      <w:bookmarkStart w:id="47" w:name="__RefHeading___Toc2098_2468698496"/>
      <w:bookmarkEnd w:id="47"/>
      <w:r>
        <w:rPr/>
        <w:t>3.12 Kontrola konzistence</w:t>
      </w:r>
    </w:p>
    <w:p>
      <w:pPr>
        <w:pStyle w:val="Normal"/>
        <w:widowControl/>
        <w:spacing w:lineRule="auto" w:line="360"/>
        <w:ind w:firstLine="709"/>
        <w:jc w:val="both"/>
        <w:rPr/>
      </w:pPr>
      <w:r>
        <w:rPr/>
        <w:t>Analýzu provedl jeden autor. Práce proto netvrdí interkodérskou reliabilitu ani nevytváří koeficient shody, který by předstíral nezávislé kódování. Konzistence byla posilována jinými postupy.</w:t>
      </w:r>
    </w:p>
    <w:p>
      <w:pPr>
        <w:pStyle w:val="Normal"/>
        <w:widowControl/>
        <w:spacing w:lineRule="auto" w:line="360"/>
        <w:ind w:firstLine="709"/>
        <w:jc w:val="both"/>
        <w:rPr/>
      </w:pPr>
      <w:r>
        <w:rPr/>
        <w:t>Po uzavření prvního kola byl zvolen stratifikovaný vzorek přibližně deseti procent segmentů. Položky byly znovu klasifikovány bez nahlížení na původně přiřazenou evidenční třídu. Při neshodě se zkoumalo, zda problém vznikl interpretací konkrétního segmentu, nebo nejasnou definicí kategorie. Výsledek kontroly i provedené změny byly zaznamenány v samostatném protokolu.</w:t>
      </w:r>
    </w:p>
    <w:p>
      <w:pPr>
        <w:pStyle w:val="Normal"/>
        <w:widowControl/>
        <w:spacing w:lineRule="auto" w:line="360"/>
        <w:ind w:firstLine="709"/>
        <w:jc w:val="both"/>
        <w:rPr/>
      </w:pPr>
      <w:r>
        <w:rPr/>
        <w:t>Všechny segmenty E3 a E4 byly následně znovu otevřeny v původních dokumentech. Kontrola se zaměřila na pět bodů:</w:t>
      </w:r>
    </w:p>
    <w:p>
      <w:pPr>
        <w:pStyle w:val="ListBullet"/>
        <w:widowControl/>
        <w:numPr>
          <w:ilvl w:val="0"/>
          <w:numId w:val="1"/>
        </w:numPr>
        <w:spacing w:lineRule="auto" w:line="360" w:before="0" w:after="0"/>
        <w:ind w:hanging="142" w:start="425"/>
        <w:contextualSpacing/>
        <w:rPr/>
      </w:pPr>
      <w:r>
        <w:rPr/>
        <w:t>je rozhodovací vazba skutečně uvedena, nebo pouze předpokládána;</w:t>
      </w:r>
    </w:p>
    <w:p>
      <w:pPr>
        <w:pStyle w:val="ListBullet"/>
        <w:widowControl/>
        <w:numPr>
          <w:ilvl w:val="0"/>
          <w:numId w:val="1"/>
        </w:numPr>
        <w:spacing w:lineRule="auto" w:line="360" w:before="0" w:after="0"/>
        <w:ind w:hanging="142" w:start="425"/>
        <w:contextualSpacing/>
        <w:rPr/>
      </w:pPr>
      <w:r>
        <w:rPr/>
        <w:t>vztahuje se tvrzení ke správné organizační hranici;</w:t>
      </w:r>
    </w:p>
    <w:p>
      <w:pPr>
        <w:pStyle w:val="ListBullet"/>
        <w:widowControl/>
        <w:numPr>
          <w:ilvl w:val="0"/>
          <w:numId w:val="1"/>
        </w:numPr>
        <w:spacing w:lineRule="auto" w:line="360" w:before="0" w:after="0"/>
        <w:ind w:hanging="142" w:start="425"/>
        <w:contextualSpacing/>
        <w:rPr/>
      </w:pPr>
      <w:r>
        <w:rPr/>
        <w:t>pokrývá assurance právě danou metriku;</w:t>
      </w:r>
    </w:p>
    <w:p>
      <w:pPr>
        <w:pStyle w:val="ListBullet"/>
        <w:widowControl/>
        <w:numPr>
          <w:ilvl w:val="0"/>
          <w:numId w:val="1"/>
        </w:numPr>
        <w:spacing w:lineRule="auto" w:line="360" w:before="0" w:after="0"/>
        <w:ind w:hanging="142" w:start="425"/>
        <w:contextualSpacing/>
        <w:rPr/>
      </w:pPr>
      <w:r>
        <w:rPr/>
        <w:t>nepřekračuje parafráze rozsah firemního výroku;</w:t>
      </w:r>
    </w:p>
    <w:p>
      <w:pPr>
        <w:pStyle w:val="ListBullet"/>
        <w:widowControl/>
        <w:numPr>
          <w:ilvl w:val="0"/>
          <w:numId w:val="1"/>
        </w:numPr>
        <w:spacing w:lineRule="auto" w:line="360" w:before="0" w:after="0"/>
        <w:ind w:hanging="142" w:start="425"/>
        <w:contextualSpacing/>
        <w:rPr/>
      </w:pPr>
      <w:r>
        <w:rPr/>
        <w:t>zachycuje uvedené omezení realistický alternativní výklad.</w:t>
      </w:r>
    </w:p>
    <w:p>
      <w:pPr>
        <w:pStyle w:val="Normal"/>
        <w:widowControl/>
        <w:spacing w:lineRule="auto" w:line="360"/>
        <w:ind w:firstLine="709"/>
        <w:jc w:val="both"/>
        <w:rPr/>
      </w:pPr>
      <w:r>
        <w:rPr/>
        <w:t>Jedna původně vyšší klasifikace obecného assurance tvrzení byla po této kontrole snížena. Samotná existence omezeného ujištění nad zprávou nedokládala rozhodovací vazbu ani externě potvrzený dopad. Korekce pomohla důsledněji oddělit sílu konkrétního důkazu od obecného statusu ověření dokumentu.</w:t>
      </w:r>
    </w:p>
    <w:p>
      <w:pPr>
        <w:pStyle w:val="Heading2"/>
        <w:keepNext w:val="true"/>
        <w:widowControl/>
        <w:ind w:hanging="0"/>
        <w:rPr/>
      </w:pPr>
      <w:bookmarkStart w:id="48" w:name="__RefHeading___Toc2100_2468698496"/>
      <w:bookmarkEnd w:id="48"/>
      <w:r>
        <w:rPr/>
        <w:t>3.13 Důvěryhodnost a auditní stopa</w:t>
      </w:r>
    </w:p>
    <w:p>
      <w:pPr>
        <w:pStyle w:val="Normal"/>
        <w:widowControl/>
        <w:spacing w:lineRule="auto" w:line="360"/>
        <w:ind w:firstLine="709"/>
        <w:jc w:val="both"/>
        <w:rPr/>
      </w:pPr>
      <w:r>
        <w:rPr/>
        <w:t>Důvěryhodnost analýzy byla podporována několika vzájemně propojenými postupy.</w:t>
      </w:r>
    </w:p>
    <w:p>
      <w:pPr>
        <w:pStyle w:val="Heading3"/>
        <w:keepNext w:val="true"/>
        <w:widowControl/>
        <w:ind w:hanging="0"/>
        <w:rPr/>
      </w:pPr>
      <w:bookmarkStart w:id="49" w:name="__RefHeading___Toc2102_2468698496"/>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tak může otevřít původní zdroj a posoudit, zda parafráze i interpretace odpovídají širšímu kontextu. Dohledatelnost nezaručuje jediný správný výklad, ale umožňuje konkrétní výklad věcně napadnout.</w:t>
      </w:r>
    </w:p>
    <w:p>
      <w:pPr>
        <w:pStyle w:val="Heading3"/>
        <w:keepNext w:val="true"/>
        <w:widowControl/>
        <w:ind w:hanging="0"/>
        <w:rPr/>
      </w:pPr>
      <w:bookmarkStart w:id="50" w:name="__RefHeading___Toc2104_2468698496"/>
      <w:bookmarkEnd w:id="50"/>
      <w:r>
        <w:rPr/>
        <w:t>3.13.2 Negativní případy</w:t>
      </w:r>
    </w:p>
    <w:p>
      <w:pPr>
        <w:pStyle w:val="Normal"/>
        <w:widowControl/>
        <w:spacing w:lineRule="auto" w:line="360"/>
        <w:ind w:firstLine="709"/>
        <w:jc w:val="both"/>
        <w:rPr/>
      </w:pPr>
      <w:r>
        <w:rPr/>
        <w:t>Během čtení byly cíleně vyhledávány zhoršené ukazatele, restatementy, změny hranic, zrušené cíle, chybějící KPI, nevyřešené negativní dopady a explicitní omezení. Taková informace nebyla automaticky hodnocena jako důkaz horšího řízení. V některých situacích naopak zvyšovala vyváženost a kontrolovatelnost reportu.</w:t>
      </w:r>
    </w:p>
    <w:p>
      <w:pPr>
        <w:pStyle w:val="Heading3"/>
        <w:keepNext w:val="true"/>
        <w:widowControl/>
        <w:ind w:hanging="0"/>
        <w:rPr/>
      </w:pPr>
      <w:bookmarkStart w:id="51" w:name="__RefHeading___Toc2106_2468698496"/>
      <w:bookmarkEnd w:id="51"/>
      <w:r>
        <w:rPr/>
        <w:t>3.13.3 Alternativní výklad</w:t>
      </w:r>
    </w:p>
    <w:p>
      <w:pPr>
        <w:pStyle w:val="Normal"/>
        <w:widowControl/>
        <w:spacing w:lineRule="auto" w:line="360"/>
        <w:ind w:firstLine="709"/>
        <w:jc w:val="both"/>
        <w:rPr/>
      </w:pPr>
      <w:r>
        <w:rPr/>
        <w:t>Každý významný segment má zapsanou hranici. Vysoký taxonomicky sladěný CapEx může dokazovat vazbu na investiční plán, nikoli celkovou udržitelnost firmy. Růst emisí může představovat zhoršení provozu, rozšíření hranice nebo přesnější metodu. Výbor může mít formálně silný mandát, ale dokument nemusí ukázat jeho skutečný vliv. Uvedení alternativy mělo zabránit tomu, aby jediná plausibilní interpretace byla vydávána za prokázaný fakt.</w:t>
      </w:r>
    </w:p>
    <w:p>
      <w:pPr>
        <w:pStyle w:val="Heading3"/>
        <w:keepNext w:val="true"/>
        <w:widowControl/>
        <w:ind w:hanging="0"/>
        <w:rPr/>
      </w:pPr>
      <w:bookmarkStart w:id="52" w:name="__RefHeading___Toc2108_2468698496"/>
      <w:bookmarkEnd w:id="52"/>
      <w:r>
        <w:rPr/>
        <w:t>3.13.4 Reflexivita</w:t>
      </w:r>
    </w:p>
    <w:p>
      <w:pPr>
        <w:pStyle w:val="Normal"/>
        <w:widowControl/>
        <w:spacing w:lineRule="auto" w:line="360"/>
        <w:ind w:firstLine="709"/>
        <w:jc w:val="both"/>
        <w:rPr/>
      </w:pPr>
      <w:r>
        <w:rPr/>
        <w:t>Před hlavní analýzou byla zaznamenána očekávání, že ESRS zvýší strukturální podobnost reportů, že nejsilnější integrace se objeví u sektorově materiálních témat a že firemní komunikace bude převážně pozitivní. Případová mema pak zachycovala místa, kde se tato očekávání nepotvrdila nebo byla příliš jednoduchá.</w:t>
      </w:r>
    </w:p>
    <w:p>
      <w:pPr>
        <w:pStyle w:val="Heading3"/>
        <w:keepNext w:val="true"/>
        <w:widowControl/>
        <w:ind w:hanging="0"/>
        <w:rPr/>
      </w:pPr>
      <w:bookmarkStart w:id="53" w:name="__RefHeading___Toc2110_2468698496"/>
      <w:bookmarkEnd w:id="53"/>
      <w:r>
        <w:rPr/>
        <w:t>3.13.5 Verzování</w:t>
      </w:r>
    </w:p>
    <w:p>
      <w:pPr>
        <w:pStyle w:val="Normal"/>
        <w:widowControl/>
        <w:spacing w:lineRule="auto" w:line="360"/>
        <w:ind w:firstLine="709"/>
        <w:jc w:val="both"/>
        <w:rPr/>
      </w:pPr>
      <w:r>
        <w:rPr/>
        <w:t>Registr zdrojů, kódovací rámec, důkazní segmenty, případová mema i mezipřípadová syntéza byly verzovány. Hlavní tvrzení rukopisu jsou propojena s evidenčním ledgerem. Reprodukovatelnost zde neznamená, že jiný analytik musí vytvořit identická témata. Znamená, že může dohledat vstupy, pochopit postup a ukázat, ve kterém konkrétním kroku s interpretací nesouhlasí.</w:t>
      </w:r>
    </w:p>
    <w:p>
      <w:pPr>
        <w:pStyle w:val="Heading2"/>
        <w:keepNext w:val="true"/>
        <w:widowControl/>
        <w:ind w:hanging="0"/>
        <w:rPr/>
      </w:pPr>
      <w:bookmarkStart w:id="54" w:name="__RefHeading___Toc2112_2468698496"/>
      <w:bookmarkEnd w:id="54"/>
      <w:r>
        <w:rPr/>
        <w:t>3.14 Etické aspekty</w:t>
      </w:r>
    </w:p>
    <w:p>
      <w:pPr>
        <w:pStyle w:val="Normal"/>
        <w:widowControl/>
        <w:spacing w:lineRule="auto" w:line="360"/>
        <w:ind w:firstLine="709"/>
        <w:jc w:val="both"/>
        <w:rPr/>
      </w:pPr>
      <w:r>
        <w:rPr/>
        <w:t>Výzkum pracuje s veřejně dostupnými dokumenty právnických osob. Nezahrnuje nábor respondentů, neveřejné osobní údaje ani zásah do fungování analyzovaných podniků. Jména členů vedení nebyla pro výsledkovou argumentaci potřebná; pozornost je věnována funkcím, rolím a governance mechanismům.</w:t>
      </w:r>
    </w:p>
    <w:p>
      <w:pPr>
        <w:pStyle w:val="Normal"/>
        <w:widowControl/>
        <w:spacing w:lineRule="auto" w:line="360"/>
        <w:ind w:firstLine="709"/>
        <w:jc w:val="both"/>
        <w:rPr/>
      </w:pPr>
      <w:r>
        <w:rPr/>
        <w:t>Přímé citace jsou používány střídmě a převládá přesná parafráze s lokátorem. Analýza se vyhýbá tvrzením o úmyslu. Z veřejného textu nelze bezpečně určit, zda určitá formulace vznikla s cílem manipulovat, splnit regulatorní povinnost, koordinovat řízení nebo kombinovat více účelů. Proto práce hovoří o pozorovatelných znacích symbolické a substantivní implementace, nikoli o prokázaném úmyslu greenwashingu.</w:t>
      </w:r>
    </w:p>
    <w:p>
      <w:pPr>
        <w:pStyle w:val="Normal"/>
        <w:widowControl/>
        <w:spacing w:lineRule="auto" w:line="360"/>
        <w:ind w:firstLine="709"/>
        <w:jc w:val="both"/>
        <w:rPr/>
      </w:pPr>
      <w:r>
        <w:rPr/>
        <w:t>Stejná opatrnost se vztahuje k negativním výsledkům. Zhoršený ukazatel není používán jako morální soud nad organizací a absence informace není interpretována jako důkaz, že daná praxe neexistuje.</w:t>
      </w:r>
    </w:p>
    <w:p>
      <w:pPr>
        <w:pStyle w:val="Heading2"/>
        <w:keepNext w:val="true"/>
        <w:widowControl/>
        <w:ind w:hanging="0"/>
        <w:rPr/>
      </w:pPr>
      <w:bookmarkStart w:id="55" w:name="__RefHeading___Toc2114_2468698496"/>
      <w:bookmarkEnd w:id="55"/>
      <w:r>
        <w:rPr/>
        <w:t>3.15 Limity výzkumného designu</w:t>
      </w:r>
    </w:p>
    <w:p>
      <w:pPr>
        <w:pStyle w:val="Normal"/>
        <w:widowControl/>
        <w:spacing w:lineRule="auto" w:line="360"/>
        <w:ind w:firstLine="709"/>
        <w:jc w:val="both"/>
        <w:rPr/>
      </w:pPr>
      <w:r>
        <w:rPr/>
        <w:t>Prvním omezením je sebeprezentační povaha zdrojů. Podnik určuje, které informace zveřejní, jak nastaví hranici a jak výsledek vysvětlí. Dokument může praxi zvýraznit i podhodnotit; mlčení samo o sobě nic definitivního nedokazuje.</w:t>
      </w:r>
    </w:p>
    <w:p>
      <w:pPr>
        <w:pStyle w:val="Normal"/>
        <w:widowControl/>
        <w:spacing w:lineRule="auto" w:line="360"/>
        <w:ind w:firstLine="709"/>
        <w:jc w:val="both"/>
        <w:rPr/>
      </w:pPr>
      <w:r>
        <w:rPr/>
        <w:t>Druhým omezením je nerovný rozsah a forma reportů. Integrovaná zpráva ČEZ má jinou informační hustotu než samostatný report O2 nebo online rozhraní Škoda Auto. Proto nejsou četnosti kódů používány jako přímá míra kvality.</w:t>
      </w:r>
    </w:p>
    <w:p>
      <w:pPr>
        <w:pStyle w:val="Normal"/>
        <w:widowControl/>
        <w:spacing w:lineRule="auto" w:line="360"/>
        <w:ind w:firstLine="709"/>
        <w:jc w:val="both"/>
        <w:rPr/>
      </w:pPr>
      <w:r>
        <w:rPr/>
        <w:t>Třetím omezením je sektorová nesouměřitelnost. Společné kategorie rozhodovací vazby umožňují porovnávat mechanismy, nikoli absolutní velikost dopadů.</w:t>
      </w:r>
    </w:p>
    <w:p>
      <w:pPr>
        <w:pStyle w:val="Normal"/>
        <w:widowControl/>
        <w:spacing w:lineRule="auto" w:line="360"/>
        <w:ind w:firstLine="709"/>
        <w:jc w:val="both"/>
        <w:rPr/>
      </w:pPr>
      <w:r>
        <w:rPr/>
        <w:t>Čtvrtou hranici představují skupinové úrovně. U ČEZ a Škoda Auto se část politik a dat vztahuje ke skupině, jiná k právnické osobě nebo vybraným závodům. Každý závěr proto respektuje hranici uvedenou v konkrétním zdroji.</w:t>
      </w:r>
    </w:p>
    <w:p>
      <w:pPr>
        <w:pStyle w:val="Normal"/>
        <w:widowControl/>
        <w:spacing w:lineRule="auto" w:line="360"/>
        <w:ind w:firstLine="709"/>
        <w:jc w:val="both"/>
        <w:rPr/>
      </w:pPr>
      <w:r>
        <w:rPr/>
        <w:t>Pátým omezením je časový řez. Rok 2024 zachycuje ranou fázi evropského reportovacího režimu. Z těchto dokumentů nelze určit, které procesy přetrvají po pozdějších legislativních změnách ani zda budou dlouhodobé cíle splněny.</w:t>
      </w:r>
    </w:p>
    <w:p>
      <w:pPr>
        <w:pStyle w:val="Normal"/>
        <w:widowControl/>
        <w:spacing w:lineRule="auto" w:line="360"/>
        <w:ind w:firstLine="709"/>
        <w:jc w:val="both"/>
        <w:rPr/>
      </w:pPr>
      <w:r>
        <w:rPr/>
        <w:t>Šestým omezením je absence provozní triangulace. Výzkum nemá přístup k interním zápisům, smlouvám, investičním modelům ani zkušenosti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překódování, přesné lokátory a práce s negativními případy zvyšují transparentnost, ale neodstraňují interpretační perspektivu autora.</w:t>
      </w:r>
    </w:p>
    <w:p>
      <w:pPr>
        <w:pStyle w:val="Heading2"/>
        <w:keepNext w:val="true"/>
        <w:widowControl/>
        <w:ind w:hanging="0"/>
        <w:rPr/>
      </w:pPr>
      <w:bookmarkStart w:id="56" w:name="__RefHeading___Toc2116_2468698496"/>
      <w:bookmarkEnd w:id="56"/>
      <w:r>
        <w:rPr/>
        <w:t>3.16 Kritérium analytické dostatečnosti</w:t>
      </w:r>
    </w:p>
    <w:p>
      <w:pPr>
        <w:pStyle w:val="Normal"/>
        <w:widowControl/>
        <w:spacing w:lineRule="auto" w:line="360"/>
        <w:ind w:firstLine="709"/>
        <w:jc w:val="both"/>
        <w:rPr/>
      </w:pPr>
      <w:r>
        <w:rPr/>
        <w:t>Analýza byla uzavřena ve chvíli, kdy byly dokončeny případové memo pro všechny čtyři podniky, každá výzkumná otázka měla podpůrné i omezující důkazy, všechny položky E3 a E4 byly znovu zkontrolovány v originálu a každé výsledkové téma obsahovalo mezipřípadový kontrast. Hlavní tvrzení musela být současně napojena na evidenční matici.</w:t>
      </w:r>
    </w:p>
    <w:p>
      <w:pPr>
        <w:pStyle w:val="Normal"/>
        <w:widowControl/>
        <w:spacing w:lineRule="auto" w:line="360"/>
        <w:ind w:firstLine="709"/>
        <w:jc w:val="both"/>
        <w:rPr/>
      </w:pPr>
      <w:r>
        <w:rPr/>
        <w:t>Další čtení už nepřinášelo nový typ implementačního mechanismu relevantní k hlavní otázce, ale převážně další příklady již zachycených kategorií. Takto chápané uzavření není statistickou saturací a nemá tuto ambici. Jde o analytickou dostatečnost pro úzce vymezenou dokumentovou otázku a čtyři záměrně kontrastní případy.</w:t>
      </w:r>
    </w:p>
    <w:p>
      <w:pPr>
        <w:pStyle w:val="Normal"/>
        <w:rPr/>
      </w:pPr>
      <w:r>
        <w:rPr/>
      </w:r>
      <w:r>
        <w:br w:type="page"/>
      </w:r>
    </w:p>
    <w:p>
      <w:pPr>
        <w:pStyle w:val="Heading1"/>
        <w:keepNext w:val="true"/>
        <w:widowControl/>
        <w:spacing w:before="0" w:after="180"/>
        <w:ind w:hanging="0"/>
        <w:rPr/>
      </w:pPr>
      <w:bookmarkStart w:id="57" w:name="__RefHeading___Toc2118_2468698496"/>
      <w:bookmarkEnd w:id="57"/>
      <w:r>
        <w:rPr/>
        <w:t>4 Výsledky</w:t>
      </w:r>
    </w:p>
    <w:p>
      <w:pPr>
        <w:pStyle w:val="Heading2"/>
        <w:keepNext w:val="true"/>
        <w:widowControl/>
        <w:ind w:hanging="0"/>
        <w:rPr/>
      </w:pPr>
      <w:bookmarkStart w:id="58" w:name="__RefHeading___Toc2120_2468698496"/>
      <w:bookmarkEnd w:id="58"/>
      <w:r>
        <w:rPr/>
        <w:t>4.1 Charakteristika analytického korpusu</w:t>
      </w:r>
    </w:p>
    <w:p>
      <w:pPr>
        <w:pStyle w:val="Normal"/>
        <w:widowControl/>
        <w:spacing w:lineRule="auto" w:line="360"/>
        <w:ind w:firstLine="709"/>
        <w:jc w:val="both"/>
        <w:rPr/>
      </w:pPr>
      <w:r>
        <w:rPr/>
        <w:t>Výsledková kapitola vychází ze 45 klíčových segmentů ze čtyř podnikových případů. Do tohoto souboru nebyly vybírány pouze „dobré příklady“ ani pouze problematická místa. Rozhodovala relevance k výzkumným otázkám a schopnost konkrétního úryvku ukázat mechanismus, důležitý kontrast nebo hranici interpretace. Každá položka má přesný lokátor, neutrální parafrázi, tematické kódy, evidenční třídu a uvedené omezení.</w:t>
      </w:r>
    </w:p>
    <w:p>
      <w:pPr>
        <w:pStyle w:val="Normal"/>
        <w:widowControl/>
        <w:spacing w:lineRule="auto" w:line="360"/>
        <w:ind w:firstLine="709"/>
        <w:jc w:val="both"/>
        <w:rPr/>
      </w:pPr>
      <w:r>
        <w:rPr/>
        <w:t>Největší část korpusu spadá do třídy E2. Jinými slovy, reporty poměrně často dokládají formalizovaný proces, vlastníka, cíl, metodu nebo sledovaný vývoj. Osm segmentů obsahuje přímou rozhodovací vazbu E3. E4 byla přiřazena pouze jednou, a to přesně vymezenému výsledku, jehož výpočet měl silnou externí podporu. Nejde tedy o potvrzení celkové udržitelnosti dané banky, ale o hodnocení jednoho konkrétního důkazu.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neslouží jako pořadí firem. Dokumenty mají různý rozsah a segmenty byly vybírány analyticky, nikoli náhodně. Tři položky E3 u jednoho podniku proto neznamenají, že je „lepší“ než podnik s jednou takovou položkou. Rozložení pouze ukazuje, jaké typy veřejného důkazu vstoupily do hlavní argumentace.</w:t>
      </w:r>
    </w:p>
    <w:p>
      <w:pPr>
        <w:pStyle w:val="Normal"/>
        <w:widowControl/>
        <w:spacing w:lineRule="auto" w:line="360"/>
        <w:ind w:firstLine="709"/>
        <w:jc w:val="both"/>
        <w:rPr/>
      </w:pPr>
      <w:r>
        <w:rPr/>
        <w:t>Při mezipřípadovém srovnání se postupně ustálilo pět témat. Společná reportovací struktura zakrývá rozdílnou hloubku řízení. ESG získává skutečný organizační význam tam, kde se spojí s provozní nebo finanční kotvou. Governance je přesvědčivější, pokud vedle názvu orgánu ukazuje odpovědnost, pravidelnou kadenci a možnost korekce. Metriky většinou zachycují aktivity a provozní výsledky lépe než širší dopady. A konečně, přiznané neúspěchy, restatementy a nevyřešená napětí často zvyšují informační hodnotu dokumentu více než další pozitivní tvrzení.</w:t>
      </w:r>
    </w:p>
    <w:p>
      <w:pPr>
        <w:pStyle w:val="Heading2"/>
        <w:keepNext w:val="true"/>
        <w:widowControl/>
        <w:ind w:hanging="0"/>
        <w:rPr/>
      </w:pPr>
      <w:bookmarkStart w:id="59" w:name="__RefHeading___Toc2122_2468698496"/>
      <w:bookmarkEnd w:id="59"/>
      <w:r>
        <w:rPr/>
        <w:t>4.2 Téma 1: Standardizovaná architektura reportingu zakrývá rozdílnou manažerskou hloubku</w:t>
      </w:r>
    </w:p>
    <w:p>
      <w:pPr>
        <w:pStyle w:val="Normal"/>
        <w:widowControl/>
        <w:spacing w:lineRule="auto" w:line="360"/>
        <w:ind w:firstLine="709"/>
        <w:jc w:val="both"/>
        <w:rPr/>
      </w:pPr>
      <w:r>
        <w:rPr/>
        <w:t>Ve všech čtyřech případech se opakuje podobný slovník: strategie, materialita, role orgánů, cíle, metriky a stakeholdeři. Tato podobnost není překvapivá. Odpovídá architektuře ESRS i širší standardizaci udržitelnostního reportingu. Teprve při podrobnějším čtení se ukáže, že stejně pojmenovaný oddíl může zastupovat velmi rozdílný proces.</w:t>
      </w:r>
    </w:p>
    <w:p>
      <w:pPr>
        <w:pStyle w:val="Heading3"/>
        <w:keepNext w:val="true"/>
        <w:widowControl/>
        <w:ind w:hanging="0"/>
        <w:rPr/>
      </w:pPr>
      <w:bookmarkStart w:id="60" w:name="__RefHeading___Toc2124_2468698496"/>
      <w:bookmarkEnd w:id="60"/>
      <w:r>
        <w:rPr/>
        <w:t>4.2.1 ČEZ: standardizovaná struktura propojená s investicemi</w:t>
      </w:r>
    </w:p>
    <w:p>
      <w:pPr>
        <w:pStyle w:val="Normal"/>
        <w:widowControl/>
        <w:spacing w:lineRule="auto" w:line="360"/>
        <w:ind w:firstLine="709"/>
        <w:jc w:val="both"/>
        <w:rPr/>
      </w:pPr>
      <w:r>
        <w:rPr/>
        <w:t>ČEZ uvádí dekarbonizaci výrobního portfolia, zákaznická řešení a odpovědný rozvoj podle ESG principů mezi třemi strategickými prioritami VISION 2030 (ČEZ Group, 2025, s. 27). Samostatně by taková formulace představovala především strategickou deklaraci. V dalších částech zprávy se však objevují vazby na governance, dvojí materialitu, přechodový plán a investiční rozhodování.</w:t>
      </w:r>
    </w:p>
    <w:p>
      <w:pPr>
        <w:pStyle w:val="Normal"/>
        <w:widowControl/>
        <w:spacing w:lineRule="auto" w:line="360"/>
        <w:ind w:firstLine="709"/>
        <w:jc w:val="both"/>
        <w:rPr/>
      </w:pPr>
      <w:r>
        <w:rPr/>
        <w:t>Za agendu odpovídá člen představenstva v roli Chief Sustainability Officer, kterého doplňuje poradní výbor a pracovní struktura pro koordinaci (ČEZ Group, 2025, s. 414–415). Posouzení dvojí materiality kombinuje dopady s finančními riziky a příležitostmi a využívá více interních i externích zdrojů (ČEZ Group, 2025, s. 425–426). Nejdůležitější je ale informace o přechodovém plánu: podle reportu je schvalován prostřednictvím podnikatelské koncepce a podnikatelského a investičního plánu (ČEZ Group, 2025, s. 454). V tomto bodě už standardizovaná kapitola nepůsobí jen jako způsob řazení textu. Dokument popisuje propojení klimatické strategie s dlouhodobou alokací kapitálu.</w:t>
      </w:r>
    </w:p>
    <w:p>
      <w:pPr>
        <w:pStyle w:val="Normal"/>
        <w:widowControl/>
        <w:spacing w:lineRule="auto" w:line="360"/>
        <w:ind w:firstLine="709"/>
        <w:jc w:val="both"/>
        <w:rPr/>
      </w:pPr>
      <w:r>
        <w:rPr/>
        <w:t>Ani takto silná vazba nedovoluje tvrdit, že transformace bude účinná nebo dostatečně rychlá. Konsolidovaná zpráva o udržitelnosti má omezené ujištění, které podporuje důvěryhodnost vymezených informací. Závěr ověřovatele však neposuzuje účinnost materialitního procesu ani budoucí úspěch strategie (ČEZ Group, 2025, s. 558–560).</w:t>
      </w:r>
    </w:p>
    <w:p>
      <w:pPr>
        <w:pStyle w:val="Heading3"/>
        <w:keepNext w:val="true"/>
        <w:widowControl/>
        <w:ind w:hanging="0"/>
        <w:rPr/>
      </w:pPr>
      <w:bookmarkStart w:id="61" w:name="__RefHeading___Toc2126_2468698496"/>
      <w:bookmarkEnd w:id="61"/>
      <w:r>
        <w:rPr/>
        <w:t>4.2.2 MONETA: regulované zveřejnění a jeho čtenářský překlad</w:t>
      </w:r>
    </w:p>
    <w:p>
      <w:pPr>
        <w:pStyle w:val="Normal"/>
        <w:widowControl/>
        <w:spacing w:lineRule="auto" w:line="360"/>
        <w:ind w:firstLine="709"/>
        <w:jc w:val="both"/>
        <w:rPr/>
      </w:pPr>
      <w:r>
        <w:rPr/>
        <w:t>MONETA vysvětluje, že s nástupem CSRD byly povinné nefinanční informace přesunuty do výroční zprávy. Současně zachovala samostatný sustainability report pro širší publikum, které nemusí být připravené číst technickou regulatorní část (MONETA Money Bank, 2025, s. 1). Jeden podnik tak vytváří dvě komunikační vrstvy: povinné zveřejnění a jeho stručnější interpretační podobu.</w:t>
      </w:r>
    </w:p>
    <w:p>
      <w:pPr>
        <w:pStyle w:val="Normal"/>
        <w:widowControl/>
        <w:spacing w:lineRule="auto" w:line="360"/>
        <w:ind w:firstLine="709"/>
        <w:jc w:val="both"/>
        <w:rPr/>
      </w:pPr>
      <w:r>
        <w:rPr/>
        <w:t>Proces dvojí materiality je popsán poměrně podrobně. Report uvádí datové zdroje, konzultace se stakeholdery, práci s hodnotovým řetězcem, scoring, prahové hodnoty a validaci managementem. Výsledkem je pět materiálních témat podle ESRS (MONETA Money Bank, 2025, s. 12–14). Dále následuje přehled cílů s výchozími hodnotami a vývojem a detailnější popis governance. Formální struktura tedy stojí na viditelném procesu, nikoli jen na seznamu kapitol.</w:t>
      </w:r>
    </w:p>
    <w:p>
      <w:pPr>
        <w:pStyle w:val="Normal"/>
        <w:widowControl/>
        <w:spacing w:lineRule="auto" w:line="360"/>
        <w:ind w:firstLine="709"/>
        <w:jc w:val="both"/>
        <w:rPr/>
      </w:pPr>
      <w:r>
        <w:rPr/>
        <w:t>Případ zároveň ukazuje, že standardizace není neutrální překlad reality. Management rozhoduje, co z technického reportu přenese do samostatné zprávy, co zjednoduší a jak informace rámuje. CEO otevřeně kritizuje nadměrnou reportovací zátěž a staví proti sobě ESG ambici a konkurenceschopnost (MONETA Money Bank, 2025, s. 2). Regulace zde vytvořila společnou informační strukturu, podnik ji však aktivně interpretuje pro různá publika.</w:t>
      </w:r>
    </w:p>
    <w:p>
      <w:pPr>
        <w:pStyle w:val="Heading3"/>
        <w:keepNext w:val="true"/>
        <w:widowControl/>
        <w:ind w:hanging="0"/>
        <w:rPr/>
      </w:pPr>
      <w:bookmarkStart w:id="62" w:name="__RefHeading___Toc2128_2468698496"/>
      <w:bookmarkEnd w:id="62"/>
      <w:r>
        <w:rPr/>
        <w:t>4.2.3 O2: systém uprostřed přechodu</w:t>
      </w:r>
    </w:p>
    <w:p>
      <w:pPr>
        <w:pStyle w:val="Normal"/>
        <w:widowControl/>
        <w:spacing w:lineRule="auto" w:line="360"/>
        <w:ind w:firstLine="709"/>
        <w:jc w:val="both"/>
        <w:rPr/>
      </w:pPr>
      <w:r>
        <w:rPr/>
        <w:t>O2 v reportu za rok 2024 kombinuje GRI, dvojí materialitu a přípravu na CSRD. Strategické cíle mají být převedeny do KPI a vyhodnocovány čtvrtletně (O2 Czech Republic, 2025, s. 14–15). Současně došlo po změně skupinového uspořádání k přerušení části dříve převzatých závazků a společnost připravovala vlastní cíle pro novou hranici podniku (O2 Czech Republic, 2025, s. 14).</w:t>
      </w:r>
    </w:p>
    <w:p>
      <w:pPr>
        <w:pStyle w:val="Normal"/>
        <w:widowControl/>
        <w:spacing w:lineRule="auto" w:line="360"/>
        <w:ind w:firstLine="709"/>
        <w:jc w:val="both"/>
        <w:rPr/>
      </w:pPr>
      <w:r>
        <w:rPr/>
        <w:t>Jednotlivé prvky systému tedy nevznikají ve stejném okamžiku. Materialitní analýza už používá témata ESRS, některé cíle, baseline a governance se však teprve přestavují. Tuto hranici potvrzuje GRI index: ve sledovaném období nebyly vytvořeny ESG KPI pro hodnocení nejvyššího řídicího orgánu a podrobnější governance systém byl v přípravě (O2 Czech Republic, 2025, s. 81). Strategie a výbor jsou přítomné, ale dokument sám nedovoluje číst je jako dokončenou integraci do odpovědnosti představenstva.</w:t>
      </w:r>
    </w:p>
    <w:p>
      <w:pPr>
        <w:pStyle w:val="Heading3"/>
        <w:keepNext w:val="true"/>
        <w:widowControl/>
        <w:ind w:hanging="0"/>
        <w:rPr/>
      </w:pPr>
      <w:bookmarkStart w:id="63" w:name="__RefHeading___Toc2130_2468698496"/>
      <w:bookmarkEnd w:id="63"/>
      <w:r>
        <w:rPr/>
        <w:t>4.2.4 Škoda Auto: standardizace uvnitř nadnárodní skupiny</w:t>
      </w:r>
    </w:p>
    <w:p>
      <w:pPr>
        <w:pStyle w:val="Normal"/>
        <w:widowControl/>
        <w:spacing w:lineRule="auto" w:line="360"/>
        <w:ind w:firstLine="709"/>
        <w:jc w:val="both"/>
        <w:rPr/>
      </w:pPr>
      <w:r>
        <w:rPr/>
        <w:t>Škoda Auto označuje udržitelnost za jednu z priorit Next Level Škoda Strategy 2030. Cíle jsou rozděleny mezi produkt, výrobu, management, integritu a dodavatelský řetězec (Škoda Auto, 2025a, sekce Sustainability Strategy). Online výroční zpráva má přehlednou strukturu strategie, environmentální, sociální a governance oblasti a propojuje lokální cíle s programy Volkswagen Group.</w:t>
      </w:r>
    </w:p>
    <w:p>
      <w:pPr>
        <w:pStyle w:val="Normal"/>
        <w:widowControl/>
        <w:spacing w:lineRule="auto" w:line="360"/>
        <w:ind w:firstLine="709"/>
        <w:jc w:val="both"/>
        <w:rPr/>
      </w:pPr>
      <w:r>
        <w:rPr/>
        <w:t>Skupinové zakotvení poskytuje rozsáhlou infrastrukturu, současně ale komplikuje atribuci. Některé politiky a kodexy vznikly na úrovni skupiny, zatímco metriky se vztahují k Škoda Auto, vybraným závodům nebo jinak vymezenému reportovacímu celku. Přítomnost skupinového standardu sama neukazuje, jak intenzivně je mechanismus uplatňován v české společnosti. Každé tvrzení proto muselo zůstat omezené na hranici, kterou zdroj skutečně uvádí.</w:t>
      </w:r>
    </w:p>
    <w:p>
      <w:pPr>
        <w:pStyle w:val="Heading3"/>
        <w:keepNext w:val="true"/>
        <w:widowControl/>
        <w:ind w:hanging="0"/>
        <w:rPr/>
      </w:pPr>
      <w:bookmarkStart w:id="64" w:name="__RefHeading___Toc2132_2468698496"/>
      <w:bookmarkEnd w:id="64"/>
      <w:r>
        <w:rPr/>
        <w:t>4.2.5 Co společná architektura umožňuje — a co ne</w:t>
      </w:r>
    </w:p>
    <w:p>
      <w:pPr>
        <w:pStyle w:val="Normal"/>
        <w:widowControl/>
        <w:spacing w:lineRule="auto" w:line="360"/>
        <w:ind w:firstLine="709"/>
        <w:jc w:val="both"/>
        <w:rPr/>
      </w:pPr>
      <w:r>
        <w:rPr/>
        <w:t>Standardizace má pro analýzu reálný přínos. U všech podniků lze hledat materialitu, governance, cíle a metriky v podobných kategoriích. Rozdíly se však ukázaly až ve vazbách mezi těmito částmi. ČEZ spojoval přechodový plán s investicemi, MONETA governance s pobídkami a měřením portfolia, O2 procházelo obnovou cílového a odpovědnostního systému a Škoda Auto propojovala strategii s produktem, výrobou, CapEx a dodavateli.</w:t>
      </w:r>
    </w:p>
    <w:p>
      <w:pPr>
        <w:pStyle w:val="Normal"/>
        <w:widowControl/>
        <w:spacing w:lineRule="auto" w:line="360"/>
        <w:ind w:firstLine="709"/>
        <w:jc w:val="both"/>
        <w:rPr/>
      </w:pPr>
      <w:r>
        <w:rPr/>
        <w:t>Společná struktura tedy vytváří mapu, po které se dá pohybovat. Sama neurčuje, jak daleko po ní jednotlivý podnik došel.</w:t>
      </w:r>
    </w:p>
    <w:p>
      <w:pPr>
        <w:pStyle w:val="Heading2"/>
        <w:keepNext w:val="true"/>
        <w:widowControl/>
        <w:ind w:hanging="0"/>
        <w:rPr/>
      </w:pPr>
      <w:bookmarkStart w:id="65" w:name="__RefHeading___Toc2134_2468698496"/>
      <w:bookmarkEnd w:id="65"/>
      <w:r>
        <w:rPr/>
        <w:t>4.3 Téma 2: ESG se stává řídicí agendou tam, kde získá provozní nebo finanční kotvu</w:t>
      </w:r>
    </w:p>
    <w:p>
      <w:pPr>
        <w:pStyle w:val="Normal"/>
        <w:widowControl/>
        <w:spacing w:lineRule="auto" w:line="360"/>
        <w:ind w:firstLine="709"/>
        <w:jc w:val="both"/>
        <w:rPr/>
      </w:pPr>
      <w:r>
        <w:rPr/>
        <w:t>Nejsilnější položky E3 se neobjevovaly u obecných prohlášení o odpovědnosti. Vždy byly spojeny s procesem, který je pro daný podnik už sám o sobě významný: s kapitálem, rizikem, produktem, technologií, dodavatelem nebo odměnou. Tato vazba měla v každém sektoru jinou podobu.</w:t>
      </w:r>
    </w:p>
    <w:p>
      <w:pPr>
        <w:pStyle w:val="Heading3"/>
        <w:keepNext w:val="true"/>
        <w:widowControl/>
        <w:ind w:hanging="0"/>
        <w:rPr/>
      </w:pPr>
      <w:bookmarkStart w:id="66" w:name="__RefHeading___Toc2136_2468698496"/>
      <w:bookmarkEnd w:id="66"/>
      <w:r>
        <w:rPr/>
        <w:t>4.3.1 ČEZ: transformace ukotvená v kapitálovém plánu</w:t>
      </w:r>
    </w:p>
    <w:p>
      <w:pPr>
        <w:pStyle w:val="Normal"/>
        <w:widowControl/>
        <w:spacing w:lineRule="auto" w:line="360"/>
        <w:ind w:firstLine="709"/>
        <w:jc w:val="both"/>
        <w:rPr/>
      </w:pPr>
      <w:r>
        <w:rPr/>
        <w:t>U energetické skupiny je hlavní kotvou investiční rozhodování. Přechodový plán vstupuje podle reportu do schvalování podnikatelské koncepce a podnikatelského a investičního plánu (ČEZ Group, 2025, s. 454). Plán na období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Budoucí podíl ani plánovaný objem investic samozřejmě nejsou hotovým dopadem. Přesto jde o podstatný posun oproti obecné klimatické deklaraci. V kapitálově náročném odvětví je přímé místo tématu v investičním procesu silnějším dokladem integrace než počet izolovaných projektů.</w:t>
      </w:r>
    </w:p>
    <w:p>
      <w:pPr>
        <w:pStyle w:val="Heading3"/>
        <w:keepNext w:val="true"/>
        <w:widowControl/>
        <w:ind w:hanging="0"/>
        <w:rPr/>
      </w:pPr>
      <w:bookmarkStart w:id="67" w:name="__RefHeading___Toc2138_2468698496"/>
      <w:bookmarkEnd w:id="67"/>
      <w:r>
        <w:rPr/>
        <w:t>4.3.2 MONETA: pobídky, riziko a financované portfolio</w:t>
      </w:r>
    </w:p>
    <w:p>
      <w:pPr>
        <w:pStyle w:val="Normal"/>
        <w:widowControl/>
        <w:spacing w:lineRule="auto" w:line="360"/>
        <w:ind w:firstLine="709"/>
        <w:jc w:val="both"/>
        <w:rPr/>
      </w:pPr>
      <w:r>
        <w:rPr/>
        <w:t>U banky se materialita přesouvá mimo vlastní budovy a vozový park. Provozní emise lze dobře měřit, ale největší klimatická stopa vzniká prostřednictvím financování. MONETA proto rozvíjí metodiku financovaných emisí a postupně do ní zahrnuje další části portfolia (MONETA Money Bank, 2025, s. 21–24). Metodika komerčního portfolia byla podle zprávy ověřena s přiměřeným ujištěním.</w:t>
      </w:r>
    </w:p>
    <w:p>
      <w:pPr>
        <w:pStyle w:val="Normal"/>
        <w:widowControl/>
        <w:spacing w:lineRule="auto" w:line="360"/>
        <w:ind w:firstLine="709"/>
        <w:jc w:val="both"/>
        <w:rPr/>
      </w:pPr>
      <w:r>
        <w:rPr/>
        <w:t>Jinou rozhodovací kotvou je odměňování. ESG KPI materiálně ovlivňují variabilní složku odměny odpovědných členů představenstva a material risk takers; kvalitativní část cílů má souhrnnou váhu 30 % (MONETA Money Bank, 2025, s. 18–19). Samotná pobídka nedokazuje environmentální výsledek. Ukazuje však, že téma získalo přímý organizační důsledek.</w:t>
      </w:r>
    </w:p>
    <w:p>
      <w:pPr>
        <w:pStyle w:val="Normal"/>
        <w:widowControl/>
        <w:spacing w:lineRule="auto" w:line="360"/>
        <w:ind w:firstLine="709"/>
        <w:jc w:val="both"/>
        <w:rPr/>
      </w:pPr>
      <w:r>
        <w:rPr/>
        <w:t>Současně zůstává viditelná mezera. Právě pro financované emise, tedy nejmateriálnější část klimatického otisku banky, zatím nebyl stanoven měřitelný outcome cíl (MONETA Money Bank, 2025, s. 20). Případ proto není jednoduchým příběhem pokročilé integrace. Lze mít rozvinutou metodiku, governance a pobídku, a přesto nemít výsledkový cíl v oblasti, která je pro podnik nejdůležitější.</w:t>
      </w:r>
    </w:p>
    <w:p>
      <w:pPr>
        <w:pStyle w:val="Heading3"/>
        <w:keepNext w:val="true"/>
        <w:widowControl/>
        <w:ind w:hanging="0"/>
        <w:rPr/>
      </w:pPr>
      <w:bookmarkStart w:id="68" w:name="__RefHeading___Toc2140_2468698496"/>
      <w:bookmarkEnd w:id="68"/>
      <w:r>
        <w:rPr/>
        <w:t>4.3.3 O2: energetická účinnost jako provozní kritérium</w:t>
      </w:r>
    </w:p>
    <w:p>
      <w:pPr>
        <w:pStyle w:val="Normal"/>
        <w:widowControl/>
        <w:spacing w:lineRule="auto" w:line="360"/>
        <w:ind w:firstLine="709"/>
        <w:jc w:val="both"/>
        <w:rPr/>
      </w:pPr>
      <w:r>
        <w:rPr/>
        <w:t>U O2 se nejsilnější rozhodovací vazba týká digitální infrastruktury. Report propojuje sledování spotřeby energie s obnovou serverů a datových center a uvádí energetickou účinnost mezi kritérii technických opatření (O2 Czech Republic, 2025, s. 23–25). Právě proto byl segment zařazen do E3: spotřeba není jen vykázaná hodnota, ale podle dokumentu ovlivňuje provozní volbu.</w:t>
      </w:r>
    </w:p>
    <w:p>
      <w:pPr>
        <w:pStyle w:val="Normal"/>
        <w:widowControl/>
        <w:spacing w:lineRule="auto" w:line="360"/>
        <w:ind w:firstLine="709"/>
        <w:jc w:val="both"/>
        <w:rPr/>
      </w:pPr>
      <w:r>
        <w:rPr/>
        <w:t>Jiné oblasti zůstávají na nižší úrovni. Zapojení dvou set hlavních dodavatelů do programu sustainable procurement je konkrétní a měřitelná aktivita. V citovaném místě však není doložen posun ve výkonu dodavatele ani důsledek pro nákup (O2 Czech Republic, 2025, s. 3 a 5). Podobně počet proškolených zaměstnanců ukazuje rozsah zavedení tématu, nikoli to, zda se podle něj změnilo rozhodování.</w:t>
      </w:r>
    </w:p>
    <w:p>
      <w:pPr>
        <w:pStyle w:val="Heading3"/>
        <w:keepNext w:val="true"/>
        <w:widowControl/>
        <w:ind w:hanging="0"/>
        <w:rPr/>
      </w:pPr>
      <w:bookmarkStart w:id="69" w:name="__RefHeading___Toc2142_2468698496"/>
      <w:bookmarkEnd w:id="69"/>
      <w:r>
        <w:rPr/>
        <w:t>4.3.4 Škoda Auto: několik kotev v jednom průmyslovém systému</w:t>
      </w:r>
    </w:p>
    <w:p>
      <w:pPr>
        <w:pStyle w:val="Normal"/>
        <w:widowControl/>
        <w:spacing w:lineRule="auto" w:line="360"/>
        <w:ind w:firstLine="709"/>
        <w:jc w:val="both"/>
        <w:rPr/>
      </w:pPr>
      <w:r>
        <w:rPr/>
        <w:t>Škoda Auto nabízí více paralelních mechanismů. GreenProduct pracuje s životním cyklem vozidla od výroby vlastních i dodavatelských komponent přes užívání až po konec životnosti. GreenFactory sleduje energii, emise, odpad, vodu a těkavé organické látky v závodech (Škoda Auto, 2025b, sekce Environment). Udržitelnost se tak neváže jen na samostatný report, ale na produktovou a výrobní logiku.</w:t>
      </w:r>
    </w:p>
    <w:p>
      <w:pPr>
        <w:pStyle w:val="Normal"/>
        <w:widowControl/>
        <w:spacing w:lineRule="auto" w:line="360"/>
        <w:ind w:firstLine="709"/>
        <w:jc w:val="both"/>
        <w:rPr/>
      </w:pPr>
      <w:r>
        <w:rPr/>
        <w:t>Zajímavý kontrast poskytuje EU Taxonomie. V roce 2024 podnik uváděl 71 % taxonomicky sladěného CapEx, zatímco sladěný podíl tržeb dosahoval 18 % a OpEx 35 % (Škoda Auto, 2025a, sekce EU Taxonomy at Škoda Auto 2024). Investiční tok může naznačovat budoucí proměnu portfolia dříve, než se projeví ve výnosech. Stále však jde o informaci o klasifikaci kapitálu, ne o automaticky prokázaný životní dopad.</w:t>
      </w:r>
    </w:p>
    <w:p>
      <w:pPr>
        <w:pStyle w:val="Normal"/>
        <w:widowControl/>
        <w:spacing w:lineRule="auto" w:line="360"/>
        <w:ind w:firstLine="709"/>
        <w:jc w:val="both"/>
        <w:rPr/>
      </w:pPr>
      <w:r>
        <w:rPr/>
        <w:t>Dodavatelský cíl směřuje k tomu, aby do roku 2030 připadalo 90 % obratu na dodavatele s nejvyšším sustainability A-ratingem (Škoda Auto, 2025a, sekce Goals 2025–2030). Kritérium je tím spojeno s ekonomickou významností dodavatelského vztahu. Pro úplné posouzení síly mechanismu by však bylo potřeba znát detailní metodiku ratingu a konkrétní důsledky neplnění, které online souhrn zachycuje jen částečně.</w:t>
      </w:r>
    </w:p>
    <w:p>
      <w:pPr>
        <w:pStyle w:val="Heading3"/>
        <w:keepNext w:val="true"/>
        <w:widowControl/>
        <w:ind w:hanging="0"/>
        <w:rPr/>
      </w:pPr>
      <w:bookmarkStart w:id="70" w:name="__RefHeading___Toc2144_2468698496"/>
      <w:bookmarkEnd w:id="70"/>
      <w:r>
        <w:rPr/>
        <w:t>4.3.5 Společná logika odlišných sektorů</w:t>
      </w:r>
    </w:p>
    <w:p>
      <w:pPr>
        <w:pStyle w:val="Normal"/>
        <w:widowControl/>
        <w:spacing w:lineRule="auto" w:line="360"/>
        <w:ind w:firstLine="709"/>
        <w:jc w:val="both"/>
        <w:rPr/>
      </w:pPr>
      <w:r>
        <w:rPr/>
        <w:t>Konkrétní kotva se mění podle podnikatelského modelu:</w:t>
      </w:r>
    </w:p>
    <w:p>
      <w:pPr>
        <w:pStyle w:val="ListBullet"/>
        <w:widowControl/>
        <w:numPr>
          <w:ilvl w:val="0"/>
          <w:numId w:val="1"/>
        </w:numPr>
        <w:spacing w:lineRule="auto" w:line="360" w:before="0" w:after="0"/>
        <w:ind w:hanging="142" w:start="425"/>
        <w:contextualSpacing/>
        <w:rPr/>
      </w:pPr>
      <w:r>
        <w:rPr/>
        <w:t>u energetiky jde o výrobní portfolio a CapEx;</w:t>
      </w:r>
    </w:p>
    <w:p>
      <w:pPr>
        <w:pStyle w:val="ListBullet"/>
        <w:widowControl/>
        <w:numPr>
          <w:ilvl w:val="0"/>
          <w:numId w:val="1"/>
        </w:numPr>
        <w:spacing w:lineRule="auto" w:line="360" w:before="0" w:after="0"/>
        <w:ind w:hanging="142" w:start="425"/>
        <w:contextualSpacing/>
        <w:rPr/>
      </w:pPr>
      <w:r>
        <w:rPr/>
        <w:t>u banky o úvěrové portfolio, riziko a odměňování;</w:t>
      </w:r>
    </w:p>
    <w:p>
      <w:pPr>
        <w:pStyle w:val="ListBullet"/>
        <w:widowControl/>
        <w:numPr>
          <w:ilvl w:val="0"/>
          <w:numId w:val="1"/>
        </w:numPr>
        <w:spacing w:lineRule="auto" w:line="360" w:before="0" w:after="0"/>
        <w:ind w:hanging="142" w:start="425"/>
        <w:contextualSpacing/>
        <w:rPr/>
      </w:pPr>
      <w:r>
        <w:rPr/>
        <w:t>u telekomunikací o technologii infrastruktury a bezpečnost;</w:t>
      </w:r>
    </w:p>
    <w:p>
      <w:pPr>
        <w:pStyle w:val="ListBullet"/>
        <w:widowControl/>
        <w:numPr>
          <w:ilvl w:val="0"/>
          <w:numId w:val="1"/>
        </w:numPr>
        <w:spacing w:lineRule="auto" w:line="360" w:before="0" w:after="0"/>
        <w:ind w:hanging="142" w:start="425"/>
        <w:contextualSpacing/>
        <w:rPr/>
      </w:pPr>
      <w:r>
        <w:rPr/>
        <w:t>u automobilového průmyslu o produkt, závod, investice a dodavatele.</w:t>
      </w:r>
    </w:p>
    <w:p>
      <w:pPr>
        <w:pStyle w:val="Normal"/>
        <w:widowControl/>
        <w:spacing w:lineRule="auto" w:line="360"/>
        <w:ind w:firstLine="709"/>
        <w:jc w:val="both"/>
        <w:rPr/>
      </w:pPr>
      <w:r>
        <w:rPr/>
        <w:t>Společný princip je přesto zřetelný. Vlastník, výbor a KPI vytvářejí infrastrukturu. Teprve vazba na rozhodnutí ukazuje, že zveřejněná informace může mít organizační důsledek.</w:t>
      </w:r>
    </w:p>
    <w:p>
      <w:pPr>
        <w:pStyle w:val="Heading2"/>
        <w:keepNext w:val="true"/>
        <w:widowControl/>
        <w:ind w:hanging="0"/>
        <w:rPr/>
      </w:pPr>
      <w:bookmarkStart w:id="71" w:name="__RefHeading___Toc2146_2468698496"/>
      <w:bookmarkEnd w:id="71"/>
      <w:r>
        <w:rPr/>
        <w:t>4.4 Téma 3: Governance je přesvědčivá tehdy, když ukazuje odpovědnost, rytmus a korekci</w:t>
      </w:r>
    </w:p>
    <w:p>
      <w:pPr>
        <w:pStyle w:val="Normal"/>
        <w:widowControl/>
        <w:spacing w:lineRule="auto" w:line="360"/>
        <w:ind w:firstLine="709"/>
        <w:jc w:val="both"/>
        <w:rPr/>
      </w:pPr>
      <w:r>
        <w:rPr/>
        <w:t>Všechny reporty obsahují governance schémata. Jejich výpovědní hodnota se však výrazně liší. Samotné pojmenování výboru je slabý důkaz. Silnější je kombinace odpovědného orgánu, pravidelného toku informací, kontroly konkrétních cílů a možnosti zasáhnout při neplnění.</w:t>
      </w:r>
    </w:p>
    <w:p>
      <w:pPr>
        <w:pStyle w:val="Heading3"/>
        <w:keepNext w:val="true"/>
        <w:widowControl/>
        <w:ind w:hanging="0"/>
        <w:rPr/>
      </w:pPr>
      <w:bookmarkStart w:id="72" w:name="__RefHeading___Toc2148_2468698496"/>
      <w:bookmarkEnd w:id="72"/>
      <w:r>
        <w:rPr/>
        <w:t>4.4.1 ČEZ: odpovědnost na úrovni představenstva</w:t>
      </w:r>
    </w:p>
    <w:p>
      <w:pPr>
        <w:pStyle w:val="Normal"/>
        <w:widowControl/>
        <w:spacing w:lineRule="auto" w:line="360"/>
        <w:ind w:firstLine="709"/>
        <w:jc w:val="both"/>
        <w:rPr/>
      </w:pPr>
      <w:r>
        <w:rPr/>
        <w:t>ČEZ svěřuje agendu členovi představenstva v roli Chief Sustainability Officer a doplňuje ji poradní a pracovní strukturou (ČEZ Group, 2025, s. 414–415). Do ročního hodnocení variabilní odměny členů představenstva vstupuje společný úkol rozvoje ESG (ČEZ Group, 2025, s. 415). Veřejný dokument tak spojuje vlastníka s pobídkovým mechanismem.</w:t>
      </w:r>
    </w:p>
    <w:p>
      <w:pPr>
        <w:pStyle w:val="Normal"/>
        <w:widowControl/>
        <w:spacing w:lineRule="auto" w:line="360"/>
        <w:ind w:firstLine="709"/>
        <w:jc w:val="both"/>
        <w:rPr/>
      </w:pPr>
      <w:r>
        <w:rPr/>
        <w:t>Zpráva ovšem neuvádí úplnou váhu tohoto úkolu ani příklad, kdy nesplnění vedlo ke konkrétní změně odměny. Důkaz proto podporuje existenci odpovědnostního mechanismu, nikoli jeho výslednou účinnost.</w:t>
      </w:r>
    </w:p>
    <w:p>
      <w:pPr>
        <w:pStyle w:val="Heading3"/>
        <w:keepNext w:val="true"/>
        <w:widowControl/>
        <w:ind w:hanging="0"/>
        <w:rPr/>
      </w:pPr>
      <w:bookmarkStart w:id="73" w:name="__RefHeading___Toc2150_2468698496"/>
      <w:bookmarkEnd w:id="73"/>
      <w:r>
        <w:rPr/>
        <w:t>4.4.2 MONETA: nejpodrobnější veřejný popis kontrolního mechanismu</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Další kontrolní vrstvy vytvářejí riziková a compliance funkce (MONETA Money Bank, 2025, s. 52–55). ESG KPI jsou současně propojeny s variabilní odměnou (MONETA Money Bank, 2025, s. 18–19).</w:t>
      </w:r>
    </w:p>
    <w:p>
      <w:pPr>
        <w:pStyle w:val="Normal"/>
        <w:widowControl/>
        <w:spacing w:lineRule="auto" w:line="360"/>
        <w:ind w:firstLine="709"/>
        <w:jc w:val="both"/>
        <w:rPr/>
      </w:pPr>
      <w:r>
        <w:rPr/>
        <w:t>V rámci korpusu jde o nejúplnější veřejný popis governance designu. Je znám orgán, jeho složení, frekvence jednání, předmět kontroly i možnost korekce. Stále však chybí zápisy nebo příklad zamítnutého projektu. Dokument tedy dobře dokládá, jak má systém fungovat, ale neumožňuje plně posoudit jeho každodenní účinnost.</w:t>
      </w:r>
    </w:p>
    <w:p>
      <w:pPr>
        <w:pStyle w:val="Heading3"/>
        <w:keepNext w:val="true"/>
        <w:widowControl/>
        <w:ind w:hanging="0"/>
        <w:rPr/>
      </w:pPr>
      <w:bookmarkStart w:id="74" w:name="__RefHeading___Toc2152_2468698496"/>
      <w:bookmarkEnd w:id="74"/>
      <w:r>
        <w:rPr/>
        <w:t>4.4.3 O2: pravidelný dohled a přiznaná mezera</w:t>
      </w:r>
    </w:p>
    <w:p>
      <w:pPr>
        <w:pStyle w:val="Normal"/>
        <w:widowControl/>
        <w:spacing w:lineRule="auto" w:line="360"/>
        <w:ind w:firstLine="709"/>
        <w:jc w:val="both"/>
        <w:rPr/>
      </w:pPr>
      <w:r>
        <w:rPr/>
        <w:t>O2 předkládá představenstvu stav implementace ESG nejméně dvakrát ročně. ESG Committee spojuje exekutivní, bezpečnostní, interně auditní a ESG funkce a má zajišťovat dohled a due diligence (O2 Czech Republic, 2025, s. 65). To ukazuje průřezové vlastnictví i pravidelný tok informací.</w:t>
      </w:r>
    </w:p>
    <w:p>
      <w:pPr>
        <w:pStyle w:val="Normal"/>
        <w:widowControl/>
        <w:spacing w:lineRule="auto" w:line="360"/>
        <w:ind w:firstLine="709"/>
        <w:jc w:val="both"/>
        <w:rPr/>
      </w:pPr>
      <w:r>
        <w:rPr/>
        <w:t>Zároveň report sám uvádí podstatnou hranici. V daném období nebyly stanoveny ESG KPI pro hodnocení nejvyššího řídicího orgánu a detailnější governance systém se připravoval (O2 Czech Republic, 2025, s. 81). Přítomnost výboru proto nelze převést na tvrzení o plně integrované odpovědnosti představenstva.</w:t>
      </w:r>
    </w:p>
    <w:p>
      <w:pPr>
        <w:pStyle w:val="Heading3"/>
        <w:keepNext w:val="true"/>
        <w:widowControl/>
        <w:ind w:hanging="0"/>
        <w:rPr/>
      </w:pPr>
      <w:bookmarkStart w:id="75" w:name="__RefHeading___Toc2154_2468698496"/>
      <w:bookmarkEnd w:id="75"/>
      <w:r>
        <w:rPr/>
        <w:t>4.4.4 Škoda Auto: interní role, externí rada a odborový dialog</w:t>
      </w:r>
    </w:p>
    <w:p>
      <w:pPr>
        <w:pStyle w:val="Normal"/>
        <w:widowControl/>
        <w:spacing w:lineRule="auto" w:line="360"/>
        <w:ind w:firstLine="709"/>
        <w:jc w:val="both"/>
        <w:rPr/>
      </w:pPr>
      <w:r>
        <w:rPr/>
        <w:t>Škoda Auto popisuje governance model s definovanými rolemi. External Sustainability Council se v roce 2024 setkal s představenstvem a diskutoval transformaci, biodiverzitu a makroekonomická rizika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že expertní a zaměstnanecká perspektiva má formální přístup k řídicím strukturám. Zveřejněný text ale neukazuje, které konkrétní rozhodnutí bylo na základě takové diskuse změněno. Segmenty proto patří do E2: jde o formalizovaný vstup a pravidelnou kadenci, ne o přímo doložený rozhodovací důsledek.</w:t>
      </w:r>
    </w:p>
    <w:p>
      <w:pPr>
        <w:pStyle w:val="Heading3"/>
        <w:keepNext w:val="true"/>
        <w:widowControl/>
        <w:ind w:hanging="0"/>
        <w:rPr/>
      </w:pPr>
      <w:bookmarkStart w:id="76" w:name="__RefHeading___Toc2156_2468698496"/>
      <w:bookmarkEnd w:id="76"/>
      <w:r>
        <w:rPr/>
        <w:t>4.4.5 Od názvu výboru ke skutečné otázce</w:t>
      </w:r>
    </w:p>
    <w:p>
      <w:pPr>
        <w:pStyle w:val="Normal"/>
        <w:widowControl/>
        <w:spacing w:lineRule="auto" w:line="360"/>
        <w:ind w:firstLine="709"/>
        <w:jc w:val="both"/>
        <w:rPr/>
      </w:pPr>
      <w:r>
        <w:rPr/>
        <w:t>Při hodnocení governance se postupně ukázalo užitečné ptát v tomto pořadí:</w:t>
      </w:r>
    </w:p>
    <w:p>
      <w:pPr>
        <w:pStyle w:val="Normal"/>
        <w:widowControl/>
        <w:spacing w:lineRule="auto" w:line="360" w:before="0" w:after="0"/>
        <w:ind w:hanging="255" w:start="425"/>
        <w:jc w:val="both"/>
        <w:rPr/>
      </w:pPr>
      <w:r>
        <w:rPr/>
        <w:t>1. Kdo nese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Které cíle,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Uvádí report příklad rozhodnutí, které se skutečně změnilo?</w:t>
      </w:r>
    </w:p>
    <w:p>
      <w:pPr>
        <w:pStyle w:val="Normal"/>
        <w:widowControl/>
        <w:spacing w:lineRule="auto" w:line="360"/>
        <w:ind w:firstLine="709"/>
        <w:jc w:val="both"/>
        <w:rPr/>
      </w:pPr>
      <w:r>
        <w:rPr/>
        <w:t>Dokumenty poměrně dobře odpovídají na první tři otázky. Částečně pokrývají čtvrtou a pátou. Poslední zůstává většinou mimo veřejný korpus. Právě proto je vhodné hovořit o zveřejněné governance kapacitě, nikoli automaticky o prokázané účinnosti.</w:t>
      </w:r>
    </w:p>
    <w:p>
      <w:pPr>
        <w:pStyle w:val="Heading2"/>
        <w:keepNext w:val="true"/>
        <w:widowControl/>
        <w:ind w:hanging="0"/>
        <w:rPr/>
      </w:pPr>
      <w:bookmarkStart w:id="77" w:name="__RefHeading___Toc2158_2468698496"/>
      <w:bookmarkEnd w:id="77"/>
      <w:r>
        <w:rPr/>
        <w:t>4.5 Téma 4: Přesná metrika nemusí dokazovat to, co jí čtenář připisuje</w:t>
      </w:r>
    </w:p>
    <w:p>
      <w:pPr>
        <w:pStyle w:val="Normal"/>
        <w:widowControl/>
        <w:spacing w:lineRule="auto" w:line="360"/>
        <w:ind w:firstLine="709"/>
        <w:jc w:val="both"/>
        <w:rPr/>
      </w:pPr>
      <w:r>
        <w:rPr/>
        <w:t>Čtvrté téma se týká rozdílu mezi přesností čísla a silou závěru. Reporty obsahují velké množství metrik, jenže číslo může vyjadřovat vstup, aktivitu, výstup, provozní outcome nebo tvrzení o širším dopadu. V korpusu převažovaly formalizované cíle a provozní výsledky E2. Silně externě podpořený výsledek E4 zůstal výjimkou.</w:t>
      </w:r>
    </w:p>
    <w:p>
      <w:pPr>
        <w:pStyle w:val="Heading3"/>
        <w:keepNext w:val="true"/>
        <w:widowControl/>
        <w:ind w:hanging="0"/>
        <w:rPr/>
      </w:pPr>
      <w:bookmarkStart w:id="78" w:name="__RefHeading___Toc2160_2468698496"/>
      <w:bookmarkEnd w:id="78"/>
      <w:r>
        <w:rPr/>
        <w:t>4.5.1 Dosah aktivity není změna stavu</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Tyto hodnoty mohou být změřeny zcela přesně. Dokládají především rozsah činnosti.</w:t>
      </w:r>
    </w:p>
    <w:p>
      <w:pPr>
        <w:pStyle w:val="Normal"/>
        <w:widowControl/>
        <w:spacing w:lineRule="auto" w:line="360"/>
        <w:ind w:firstLine="709"/>
        <w:jc w:val="both"/>
        <w:rPr/>
      </w:pPr>
      <w:r>
        <w:rPr/>
        <w:t>Bez další metriky nevíme, zda školení změnilo kompetenci, zda se u zapojených dodavatelů zlepšil výkon ani zda účastníci programu začali bezpečněji používat digitální služby. Podobný problém vzniká u počtu blokovaných kyberútoků. Číslo ukazuje rozsah bezpečnostní činnosti, ale samo nevyjadřuje velikost odvrácené škody ani efekt jedné konkrétní politiky.</w:t>
      </w:r>
    </w:p>
    <w:p>
      <w:pPr>
        <w:pStyle w:val="Normal"/>
        <w:widowControl/>
        <w:spacing w:lineRule="auto" w:line="360"/>
        <w:ind w:firstLine="709"/>
        <w:jc w:val="both"/>
        <w:rPr/>
      </w:pPr>
      <w:r>
        <w:rPr/>
        <w:t>Nejde o zpochybnění významu těchto programů. Jde o hranici formulace. Output je legitimní výsledek určitého typu, nesmí se však při interpretaci nenápadně změnit v outcome nebo kauzální dopad.</w:t>
      </w:r>
    </w:p>
    <w:p>
      <w:pPr>
        <w:pStyle w:val="Heading3"/>
        <w:keepNext w:val="true"/>
        <w:widowControl/>
        <w:ind w:hanging="0"/>
        <w:rPr/>
      </w:pPr>
      <w:bookmarkStart w:id="79" w:name="__RefHeading___Toc2162_2468698496"/>
      <w:bookmarkEnd w:id="79"/>
      <w:r>
        <w:rPr/>
        <w:t>4.5.2 Provozní outcome a problém intenzitních ukazatelů</w:t>
      </w:r>
    </w:p>
    <w:p>
      <w:pPr>
        <w:pStyle w:val="Normal"/>
        <w:widowControl/>
        <w:spacing w:lineRule="auto" w:line="360"/>
        <w:ind w:firstLine="709"/>
        <w:jc w:val="both"/>
        <w:rPr/>
      </w:pPr>
      <w:r>
        <w:rPr/>
        <w:t>ČEZ uvádí cíl snížit do roku 2030 emisní intenzitu o více než 50 % oproti roku 2019 a dosáhnout klimatické neutrality do roku 2040 (ČEZ Group, 2025, s. 455). Škoda Auto zveřejňuje, že spotřeba vody na vyrobené vozidlo klesla od roku 2010 o 39,9 % (Škoda Auto, 2025b, sekce Water). Oba ukazatele mají výchozí období a zachycují provozní změnu.</w:t>
      </w:r>
    </w:p>
    <w:p>
      <w:pPr>
        <w:pStyle w:val="Normal"/>
        <w:widowControl/>
        <w:spacing w:lineRule="auto" w:line="360"/>
        <w:ind w:firstLine="709"/>
        <w:jc w:val="both"/>
        <w:rPr/>
      </w:pPr>
      <w:r>
        <w:rPr/>
        <w:t>Intenzita ale není totéž co absolutní dopad. Spotřeba na jeden výrobek může klesat v době, kdy roste celkový objem výroby. Emisní intenzita elektřiny se může zlepšovat jiným tempem než absolutní emise. Volba intenzitního ukazatele může být metodicky správná, čtenář však musí respektovat jeho hranici.</w:t>
      </w:r>
    </w:p>
    <w:p>
      <w:pPr>
        <w:pStyle w:val="Normal"/>
        <w:widowControl/>
        <w:spacing w:lineRule="auto" w:line="360"/>
        <w:ind w:firstLine="709"/>
        <w:jc w:val="both"/>
        <w:rPr/>
      </w:pPr>
      <w:r>
        <w:rPr/>
        <w:t>U MONETA se stejný problém projevuje v jiné podobě. Banka výrazně snížila provozní emise Scope 1 a 2 proti roku 2016 a elektrifikovala vozový park, ale současně sama označuje financované emise za největší část klimatické stopy (MONETA Money Bank, 2025, s. 17 a 20). Dobře splněný cíl v menší části provozu nemůže zastoupit výsledek v oblasti, která je pro podnikatelský model podstatnější.</w:t>
      </w:r>
    </w:p>
    <w:p>
      <w:pPr>
        <w:pStyle w:val="Heading3"/>
        <w:keepNext w:val="true"/>
        <w:widowControl/>
        <w:ind w:hanging="0"/>
        <w:rPr/>
      </w:pPr>
      <w:bookmarkStart w:id="80" w:name="__RefHeading___Toc2164_2468698496"/>
      <w:bookmarkEnd w:id="80"/>
      <w:r>
        <w:rPr/>
        <w:t>4.5.3 Časová řada se mění spolu s hranicí</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uvádí rozšíření organizačního záběru a akvizici jako součást vysvětlení růstu spotřeby energie (O2 Czech Republic, 2025, s. 23–32).</w:t>
      </w:r>
    </w:p>
    <w:p>
      <w:pPr>
        <w:pStyle w:val="Normal"/>
        <w:widowControl/>
        <w:spacing w:lineRule="auto" w:line="360"/>
        <w:ind w:firstLine="709"/>
        <w:jc w:val="both"/>
        <w:rPr/>
      </w:pPr>
      <w:r>
        <w:rPr/>
        <w:t>Restatement nemusí znamenat chybu. Může být výsledkem přesnější metody. Zároveň znemožňuje jednoduše připsat celou meziroční změnu provoznímu zlepšení nebo zhoršení. Hodnota, její hranice a metodická poznámka proto byly čteny jako jedna kontextová jednotka.</w:t>
      </w:r>
    </w:p>
    <w:p>
      <w:pPr>
        <w:pStyle w:val="Normal"/>
        <w:widowControl/>
        <w:spacing w:lineRule="auto" w:line="360"/>
        <w:ind w:firstLine="709"/>
        <w:jc w:val="both"/>
        <w:rPr/>
      </w:pPr>
      <w:r>
        <w:rPr/>
        <w:t>MONETA postupně rozšiřovala výpočet financovaných emisí o další části portfolia a některé hodnoty přepočítala (MONETA Money Bank, 2025, s. 21–24). Časová řada tím získává širší pokrytí, ale bez znalosti rozsahu ji nelze interpretovat jako čistý výkon.</w:t>
      </w:r>
    </w:p>
    <w:p>
      <w:pPr>
        <w:pStyle w:val="Heading3"/>
        <w:keepNext w:val="true"/>
        <w:widowControl/>
        <w:ind w:hanging="0"/>
        <w:rPr/>
      </w:pPr>
      <w:bookmarkStart w:id="81" w:name="__RefHeading___Toc2166_2468698496"/>
      <w:bookmarkEnd w:id="81"/>
      <w:r>
        <w:rPr/>
        <w:t>4.5.4 Assurance podporuje vymezené tvrzení, ne celý příběh</w:t>
      </w:r>
    </w:p>
    <w:p>
      <w:pPr>
        <w:pStyle w:val="Normal"/>
        <w:widowControl/>
        <w:spacing w:lineRule="auto" w:line="360"/>
        <w:ind w:firstLine="709"/>
        <w:jc w:val="both"/>
        <w:rPr/>
      </w:pPr>
      <w:r>
        <w:rPr/>
        <w:t>Jediná položka E4 se týkala metodiky výpočtu financovaných emisí komerčního portfolia MONETA, která byla podle reportu předmětem přiměřeného ujištění (MONETA Money Bank, 2025, s. 21). Vysoká třída se vztahuje ke konkrétnímu výpočtu a jeho hranici. Neznamená, že portfolio už dosahuje dekarbonizačního výsledku. Právě v této oblasti report současně přiznává absenci outcome cíle.</w:t>
      </w:r>
    </w:p>
    <w:p>
      <w:pPr>
        <w:pStyle w:val="Normal"/>
        <w:widowControl/>
        <w:spacing w:lineRule="auto" w:line="360"/>
        <w:ind w:firstLine="709"/>
        <w:jc w:val="both"/>
        <w:rPr/>
      </w:pPr>
      <w:r>
        <w:rPr/>
        <w:t>ČEZ má omezené ujištění nad zprávou o udržitelnosti. Tato informace podporuje důvěryhodnost reportovacího procesu, nebyla však sama zařazena do E3 ani E4, protože nedokládá konkrétní rozhodovací vazbu nebo silně ověřený outcome. O2 naopak výslovně uvádí, že jeho ESG report nebyl externě ověřen (O2 Czech Republic, 2025, s. 77 a 79). Absence assurance není důkazem nepravdivosti dat; znamená pouze, že chybí jedna nezávislá kontrolní vrstva.</w:t>
      </w:r>
    </w:p>
    <w:p>
      <w:pPr>
        <w:pStyle w:val="Heading3"/>
        <w:keepNext w:val="true"/>
        <w:widowControl/>
        <w:ind w:hanging="0"/>
        <w:rPr/>
      </w:pPr>
      <w:bookmarkStart w:id="82" w:name="__RefHeading___Toc2168_2468698496"/>
      <w:bookmarkEnd w:id="82"/>
      <w:r>
        <w:rPr/>
        <w:t>4.5.5 Kdy má metrika nejvyšší informační hodnotu</w:t>
      </w:r>
    </w:p>
    <w:p>
      <w:pPr>
        <w:pStyle w:val="Normal"/>
        <w:widowControl/>
        <w:spacing w:lineRule="auto" w:line="360"/>
        <w:ind w:firstLine="709"/>
        <w:jc w:val="both"/>
        <w:rPr/>
      </w:pPr>
      <w:r>
        <w:rPr/>
        <w:t>Nejsilnější položky obvykle spojovaly několik znaků: jasnou hranici, vysvětlenou metodiku, výchozí a cílovou hodnotu, časovou řadu nebo transparentní restatement, vlastníka a rozhodovací vazbu. Pokud bylo přítomné externí ujištění, musel být znám jeho rozsah. Stejně důležitá byla výslovná hranice závěru.</w:t>
      </w:r>
    </w:p>
    <w:p>
      <w:pPr>
        <w:pStyle w:val="Normal"/>
        <w:widowControl/>
        <w:spacing w:lineRule="auto" w:line="360"/>
        <w:ind w:firstLine="709"/>
        <w:jc w:val="both"/>
        <w:rPr/>
      </w:pPr>
      <w:r>
        <w:rPr/>
        <w:t>Ani takto dobře doložený výsledek však většinou neprokazuje širší kauzalitu. Analýza proto důsledně odděluje přesně změřenou aktivitu, řízený outcome a společenský nebo environmentální impact claim.</w:t>
      </w:r>
    </w:p>
    <w:p>
      <w:pPr>
        <w:pStyle w:val="Heading2"/>
        <w:keepNext w:val="true"/>
        <w:widowControl/>
        <w:ind w:hanging="0"/>
        <w:rPr/>
      </w:pPr>
      <w:bookmarkStart w:id="83" w:name="__RefHeading___Toc2170_2468698496"/>
      <w:bookmarkEnd w:id="83"/>
      <w:r>
        <w:rPr/>
        <w:t>4.6 Téma 5: Přiznané napětí, revize a negativní informace zvyšují informační hodnotu reportu</w:t>
      </w:r>
    </w:p>
    <w:p>
      <w:pPr>
        <w:pStyle w:val="Normal"/>
        <w:widowControl/>
        <w:spacing w:lineRule="auto" w:line="360"/>
        <w:ind w:firstLine="709"/>
        <w:jc w:val="both"/>
        <w:rPr/>
      </w:pPr>
      <w:r>
        <w:rPr/>
        <w:t>Páté téma nebylo v původním rámci dominantní. Zesílilo až při čtení jednotlivých případů. Report složený pouze z cílů a úspěchů neposkytuje čtenáři dost informací, aby mohl posoudit fungování systému. Zhoršená metrika, změna hranice, zrušený cíl nebo nevyřešený dopad mohou být analyticky cennější, pokud jsou vysvětleny a zasazeny do kontextu.</w:t>
      </w:r>
    </w:p>
    <w:p>
      <w:pPr>
        <w:pStyle w:val="Heading3"/>
        <w:keepNext w:val="true"/>
        <w:widowControl/>
        <w:ind w:hanging="0"/>
        <w:rPr/>
      </w:pPr>
      <w:bookmarkStart w:id="84" w:name="__RefHeading___Toc2172_2468698496"/>
      <w:bookmarkEnd w:id="84"/>
      <w:r>
        <w:rPr/>
        <w:t>4.6.1 ČEZ: přechodový plán vedle pokračujícího fosilního dopadu</w:t>
      </w:r>
    </w:p>
    <w:p>
      <w:pPr>
        <w:pStyle w:val="Normal"/>
        <w:widowControl/>
        <w:spacing w:lineRule="auto" w:line="360"/>
        <w:ind w:firstLine="709"/>
        <w:jc w:val="both"/>
        <w:rPr/>
      </w:pPr>
      <w:r>
        <w:rPr/>
        <w:t>ČEZ uvádí, že podíl výnosů spojených s lignitem vede k vyloučení skupiny z EU Paris-aligned Benchmark (ČEZ Group, 2025, s. 453). V materialitní části je těžba uhlí popsána jako skutečný dlouhodobý negativní dopad s trvalým účinkem na habitaty a biodiverzitu (ČEZ Group, 2025, s. 434). Sociální kapitola zároveň identifikuje ztrátu pracovních míst a regionální ekonomické narušení související s útlumem uhlí (ČEZ Group, 2025, s. 478).</w:t>
      </w:r>
    </w:p>
    <w:p>
      <w:pPr>
        <w:pStyle w:val="Normal"/>
        <w:widowControl/>
        <w:spacing w:lineRule="auto" w:line="360"/>
        <w:ind w:firstLine="709"/>
        <w:jc w:val="both"/>
        <w:rPr/>
      </w:pPr>
      <w:r>
        <w:rPr/>
        <w:t>Tyto informace nerozhodují spor o rychlost transformace a neověřují dostatečnost nápravných opatření. Zabraňují však tomu, aby přechodový plán působil jako popis už dokončené změny bez nákladů. Pro interpretaci klimatických a investičních cílů jsou podstatným protiobrazem.</w:t>
      </w:r>
    </w:p>
    <w:p>
      <w:pPr>
        <w:pStyle w:val="Heading3"/>
        <w:keepNext w:val="true"/>
        <w:widowControl/>
        <w:ind w:hanging="0"/>
        <w:rPr/>
      </w:pPr>
      <w:bookmarkStart w:id="85" w:name="__RefHeading___Toc2174_2468698496"/>
      <w:bookmarkEnd w:id="85"/>
      <w:r>
        <w:rPr/>
        <w:t>4.6.2 MONETA: kritika regulace, zhoršený ukazatel a chybějící cíl</w:t>
      </w:r>
    </w:p>
    <w:p>
      <w:pPr>
        <w:pStyle w:val="Normal"/>
        <w:widowControl/>
        <w:spacing w:lineRule="auto" w:line="360"/>
        <w:ind w:firstLine="709"/>
        <w:jc w:val="both"/>
        <w:rPr/>
      </w:pPr>
      <w:r>
        <w:rPr/>
        <w:t>MONETA zveřejňuje nejširší soubor explicitních napětí. CEO problematizuje rozsah reportovací zátěže, mluví o poklesu zájmu investorů o ESG a popisuje úpravu KPI směrem k hmatatelnějším aktivitám (MONETA Money Bank, 2025, s. 2). Jde o názor managementu, ne o nezávislý důkaz neúčinnosti regulace. Pro pochopení toho, jak banka svou agendu rámuje, je však tento názor relevantní.</w:t>
      </w:r>
    </w:p>
    <w:p>
      <w:pPr>
        <w:pStyle w:val="Normal"/>
        <w:widowControl/>
        <w:spacing w:lineRule="auto" w:line="360"/>
        <w:ind w:firstLine="709"/>
        <w:jc w:val="both"/>
        <w:rPr/>
      </w:pPr>
      <w:r>
        <w:rPr/>
        <w:t>V metrikách se objevuje adjusted gender pay gap, který vzrostl z 0,88 % v roce 2023 na 1,44 % v roce 2024, přestože cíl byl pod jedním procentem (MONETA Money Bank, 2025, s. 34). U financovaných emisí banka přiznává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Ani jedna z těchto informací nepředstavuje pozitivní výsledek. Společně však umožňují vidět, kde se ambice, governance a výkon rozcházejí. To dává čtenáři více než bezchybný narativ bez možnosti kontroly.</w:t>
      </w:r>
    </w:p>
    <w:p>
      <w:pPr>
        <w:pStyle w:val="Heading3"/>
        <w:keepNext w:val="true"/>
        <w:widowControl/>
        <w:ind w:hanging="0"/>
        <w:rPr/>
      </w:pPr>
      <w:bookmarkStart w:id="86" w:name="__RefHeading___Toc2176_2468698496"/>
      <w:bookmarkEnd w:id="86"/>
      <w:r>
        <w:rPr/>
        <w:t>4.6.3 O2: přechod zachycený i s jeho nedokončenými částmi</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Výsledný obraz není lineární příběh zlepšování. Je to systém v přechodu. Současně nelze celý růst hodnot připsat horší energetické efektivitě, protože se změnila organizační hranice. Transparentní restatement zvyšuje kvalitu interpretace, i když sám nedovoluje přesně rozdělit jednotlivé příčiny.</w:t>
      </w:r>
    </w:p>
    <w:p>
      <w:pPr>
        <w:pStyle w:val="Heading3"/>
        <w:keepNext w:val="true"/>
        <w:widowControl/>
        <w:ind w:hanging="0"/>
        <w:rPr/>
      </w:pPr>
      <w:bookmarkStart w:id="87" w:name="__RefHeading___Toc2178_2468698496"/>
      <w:bookmarkEnd w:id="87"/>
      <w:r>
        <w:rPr/>
        <w:t>4.6.4 Škoda Auto: hranice ukryté v klasifikaci a skupinové atribuci</w:t>
      </w:r>
    </w:p>
    <w:p>
      <w:pPr>
        <w:pStyle w:val="Normal"/>
        <w:widowControl/>
        <w:spacing w:lineRule="auto" w:line="360"/>
        <w:ind w:firstLine="709"/>
        <w:jc w:val="both"/>
        <w:rPr/>
      </w:pPr>
      <w:r>
        <w:rPr/>
        <w:t>V analyzovaných online sekcích Škoda Auto je méně explicitních neúspěchů než u ostatních případů. Jednu důležitou korekci poskytuje EU Taxonomie: 99% způsobilost tržeb stojí vedle pouze 18% sladěnosti. Způsobilost tedy nelze vydávat za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pocházejí z Volkswagen Group. Převzetí skupinového rámce může být v praxi důsledné, samotný online text však neukazuje jeho stejné uplatnění v každém závodě. Menší množství viditelného counter-evidence může souviset i s publikační formou, protože část detailů zůstává v úplném reportu mimo stručné online rozhraní.</w:t>
      </w:r>
    </w:p>
    <w:p>
      <w:pPr>
        <w:pStyle w:val="Heading3"/>
        <w:keepNext w:val="true"/>
        <w:widowControl/>
        <w:ind w:hanging="0"/>
        <w:rPr/>
      </w:pPr>
      <w:bookmarkStart w:id="88" w:name="__RefHeading___Toc2180_2468698496"/>
      <w:bookmarkEnd w:id="88"/>
      <w:r>
        <w:rPr/>
        <w:t>4.6.5 Negativní údaj není automaticky negativním hodnocením</w:t>
      </w:r>
    </w:p>
    <w:p>
      <w:pPr>
        <w:pStyle w:val="Normal"/>
        <w:widowControl/>
        <w:spacing w:lineRule="auto" w:line="360"/>
        <w:ind w:firstLine="709"/>
        <w:jc w:val="both"/>
        <w:rPr/>
      </w:pPr>
      <w:r>
        <w:rPr/>
        <w:t>Zveřejněná nepříznivá informace umožňuje odlišit tři situace. Cíl může být plněn. Může se zhoršovat, ale systém změnu zachytí a vysvětlí. Anebo výsledek nelze posoudit, protože chybí baseline, hranice či metrika.</w:t>
      </w:r>
    </w:p>
    <w:p>
      <w:pPr>
        <w:pStyle w:val="Normal"/>
        <w:widowControl/>
        <w:spacing w:lineRule="auto" w:line="360"/>
        <w:ind w:firstLine="709"/>
        <w:jc w:val="both"/>
        <w:rPr/>
      </w:pPr>
      <w:r>
        <w:rPr/>
        <w:t>Druhá situace může poskytovat kvalitnější podklad pro řízení než pozitivní tvrzení bez možnosti ověření. Restatement, zhoršený trend a přiznaná mezera proto v této analýze nevystupují jen jako selhání. Jsou také znaky informační vyváženosti.</w:t>
      </w:r>
    </w:p>
    <w:p>
      <w:pPr>
        <w:pStyle w:val="Heading2"/>
        <w:keepNext w:val="true"/>
        <w:widowControl/>
        <w:ind w:hanging="0"/>
        <w:rPr/>
      </w:pPr>
      <w:bookmarkStart w:id="89" w:name="__RefHeading___Toc2182_2468698496"/>
      <w:bookmarkEnd w:id="89"/>
      <w:r>
        <w:rPr/>
        <w:t>4.7 Mezipřípadová typologie zveřejněné implementace</w:t>
      </w:r>
    </w:p>
    <w:p>
      <w:pPr>
        <w:pStyle w:val="Normal"/>
        <w:widowControl/>
        <w:spacing w:lineRule="auto" w:line="360"/>
        <w:ind w:firstLine="709"/>
        <w:jc w:val="both"/>
        <w:rPr/>
      </w:pPr>
      <w:r>
        <w:rPr/>
        <w:t>Pět témat umožnilo vytvořit pracovní typologii. Nejde o vývojové stupně ani o pořadí od nejhoršího k nejlepšímu. Každý typ pouze pojmenovává dominantní zveřejněný mechanismus a jeho hlavní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znovu potvrzuje, že neexistuje jeden univerzální obraz „ESG firmy“. Energetika a banka budou integraci dokládat jinými procesy. Srovnatelný je spíše řetězec od materiálního tématu přes odpovědnost k rozhodnutí než konkrétní KPI.</w:t>
      </w:r>
    </w:p>
    <w:p>
      <w:pPr>
        <w:pStyle w:val="Heading2"/>
        <w:keepNext w:val="true"/>
        <w:widowControl/>
        <w:ind w:hanging="0"/>
        <w:rPr/>
      </w:pPr>
      <w:bookmarkStart w:id="90" w:name="__RefHeading___Toc2184_2468698496"/>
      <w:bookmarkEnd w:id="90"/>
      <w:r>
        <w:rPr/>
        <w:t>4.8 Odpovědi na dílčí výzkumné otázky</w:t>
      </w:r>
    </w:p>
    <w:p>
      <w:pPr>
        <w:pStyle w:val="Heading3"/>
        <w:keepNext w:val="true"/>
        <w:widowControl/>
        <w:ind w:hanging="0"/>
        <w:rPr/>
      </w:pPr>
      <w:bookmarkStart w:id="91" w:name="__RefHeading___Toc2186_2468698496"/>
      <w:bookmarkEnd w:id="91"/>
      <w:r>
        <w:rPr/>
        <w:t>4.8.1 Materialita a podnikatelský model</w:t>
      </w:r>
    </w:p>
    <w:p>
      <w:pPr>
        <w:pStyle w:val="Normal"/>
        <w:widowControl/>
        <w:spacing w:lineRule="auto" w:line="360"/>
        <w:ind w:firstLine="709"/>
        <w:jc w:val="both"/>
        <w:rPr/>
      </w:pPr>
      <w:r>
        <w:rPr/>
        <w:t>Všechny čtyři podniky spojují část materiálních témat se svou hlavní ekonomickou činností. U ČEZ jde o výrobní portfolio, u MONETA o financované emise, u O2 o infrastrukturu a bezpečnost a u Škoda Auto o produkt, výrobu a dodavatele. Proces dvojí materiality je nejpodrobněji zveřejněn u ČEZ a MONETA. U O2 má přechodový charakter a u Škoda Auto je část vysvětlení zasazena do skupinového rámce.</w:t>
      </w:r>
    </w:p>
    <w:p>
      <w:pPr>
        <w:pStyle w:val="Heading3"/>
        <w:keepNext w:val="true"/>
        <w:widowControl/>
        <w:ind w:hanging="0"/>
        <w:rPr/>
      </w:pPr>
      <w:bookmarkStart w:id="92" w:name="__RefHeading___Toc2188_2468698496"/>
      <w:bookmarkEnd w:id="92"/>
      <w:r>
        <w:rPr/>
        <w:t>4.8.2 Odpovědnost a koordinace</w:t>
      </w:r>
    </w:p>
    <w:p>
      <w:pPr>
        <w:pStyle w:val="Normal"/>
        <w:widowControl/>
        <w:spacing w:lineRule="auto" w:line="360"/>
        <w:ind w:firstLine="709"/>
        <w:jc w:val="both"/>
        <w:rPr/>
      </w:pPr>
      <w:r>
        <w:rPr/>
        <w:t>Všechny případy uvádějí dohled vrcholového orgánu a specializovanou koordinaci. Rozdíl vzniká v tom, jak podrobně report popisuje kadenci, korektivní pravomoc a pobídku. Nejúplnější kombinaci nabízí MONETA. ČEZ spojuje vrcholovou odpovědnost s odměnou. O2 vedle pravidelného board reportingu přiznává chybějící KPI nejvyššího orgánu. Škoda Auto uvádí definované role, externí radu a odborový dialog, méně však zveřejňuje konkrétní rozhodovací důsledky.</w:t>
      </w:r>
    </w:p>
    <w:p>
      <w:pPr>
        <w:pStyle w:val="Heading3"/>
        <w:keepNext w:val="true"/>
        <w:widowControl/>
        <w:ind w:hanging="0"/>
        <w:rPr/>
      </w:pPr>
      <w:bookmarkStart w:id="93" w:name="__RefHeading___Toc2190_2468698496"/>
      <w:bookmarkEnd w:id="93"/>
      <w:r>
        <w:rPr/>
        <w:t>4.8.3 Rozhodovací vazba</w:t>
      </w:r>
    </w:p>
    <w:p>
      <w:pPr>
        <w:pStyle w:val="Normal"/>
        <w:widowControl/>
        <w:spacing w:lineRule="auto" w:line="360"/>
        <w:ind w:firstLine="709"/>
        <w:jc w:val="both"/>
        <w:rPr/>
      </w:pPr>
      <w:r>
        <w:rPr/>
        <w:t>Rozhodovací vazba byla nalezena ve všech případech, pokaždé však jinde. U ČEZ a Škoda Auto je nejsilnější v kapitálových výdajích. MONETA ji ukazuje v odměňování a metodické infrastruktuře portfolia. O2 v obnově energeticky náročné infrastruktury. Produktová a dodavatelská vazba je výrazná u Škoda Auto a částečně u O2.</w:t>
      </w:r>
    </w:p>
    <w:p>
      <w:pPr>
        <w:pStyle w:val="Heading3"/>
        <w:keepNext w:val="true"/>
        <w:widowControl/>
        <w:ind w:hanging="0"/>
        <w:rPr/>
      </w:pPr>
      <w:bookmarkStart w:id="94" w:name="__RefHeading___Toc2192_2468698496"/>
      <w:bookmarkEnd w:id="94"/>
      <w:r>
        <w:rPr/>
        <w:t>4.8.4 Evidenční síla cílů a metrik</w:t>
      </w:r>
    </w:p>
    <w:p>
      <w:pPr>
        <w:pStyle w:val="Normal"/>
        <w:widowControl/>
        <w:spacing w:lineRule="auto" w:line="360"/>
        <w:ind w:firstLine="709"/>
        <w:jc w:val="both"/>
        <w:rPr/>
      </w:pPr>
      <w:r>
        <w:rPr/>
        <w:t>Převažují E2 cíle, procesy a řízené výsledky. E1 output metriky jsou nejviditelnější u O2 a v komunikačních částech MONETA. E3 zachycuje konkrétní rozhodovací mechanismy. E4 se objevuje pouze u jednoho přesně vymezeného a silně ověřeného výpočtu. Žádný z reportů neposkytuje obecný nezávislý důkaz kauzálního dopadu celé ESG strategie.</w:t>
      </w:r>
    </w:p>
    <w:p>
      <w:pPr>
        <w:pStyle w:val="Heading3"/>
        <w:keepNext w:val="true"/>
        <w:widowControl/>
        <w:ind w:hanging="0"/>
        <w:rPr/>
      </w:pPr>
      <w:bookmarkStart w:id="95" w:name="__RefHeading___Toc2194_2468698496"/>
      <w:bookmarkEnd w:id="95"/>
      <w:r>
        <w:rPr/>
        <w:t>4.8.5 Negativní informace a trade-offy</w:t>
      </w:r>
    </w:p>
    <w:p>
      <w:pPr>
        <w:pStyle w:val="Normal"/>
        <w:widowControl/>
        <w:spacing w:lineRule="auto" w:line="360"/>
        <w:ind w:firstLine="709"/>
        <w:jc w:val="both"/>
        <w:rPr/>
      </w:pPr>
      <w:r>
        <w:rPr/>
        <w:t>Každý případ obsahuje alespoň některou hranici nebo nepříznivou informaci. ČEZ popisuje trvalý dopad těžby a sociální náklady útlumu. MONETA zveřejňuje chybějící cíl, zhoršený ukazatel a zrušený KPI. O2 uvádí růst části emisí, restatement, reset cílů a absenci assurance. U Škoda Auto korigují pozitivní obraz hlavně taxonomické a skupinové hranice.</w:t>
      </w:r>
    </w:p>
    <w:p>
      <w:pPr>
        <w:pStyle w:val="Heading3"/>
        <w:keepNext w:val="true"/>
        <w:widowControl/>
        <w:ind w:hanging="0"/>
        <w:rPr/>
      </w:pPr>
      <w:bookmarkStart w:id="96" w:name="__RefHeading___Toc2196_2468698496"/>
      <w:bookmarkEnd w:id="96"/>
      <w:r>
        <w:rPr/>
        <w:t>4.8.6 Sektorové rozdíly</w:t>
      </w:r>
    </w:p>
    <w:p>
      <w:pPr>
        <w:pStyle w:val="Normal"/>
        <w:widowControl/>
        <w:spacing w:lineRule="auto" w:line="360"/>
        <w:ind w:firstLine="709"/>
        <w:jc w:val="both"/>
        <w:rPr/>
      </w:pPr>
      <w:r>
        <w:rPr/>
        <w:t>Sektor neurčuje pouze témata, ale také podobu důkazu. Kapitálově náročný podnik může ukázat integraci v investičním plánu. Banka v risk managementu, portfoliu a odměně. Telekomunikační firma v efektivitě a bezpečnosti infrastruktury. Automobilka v produktu, výrobě a supplier governance. Jednotné srovnání podle počtu environmentálních nebo sociálních KPI by tyto rozdíly spíše zakrylo.</w:t>
      </w:r>
    </w:p>
    <w:p>
      <w:pPr>
        <w:pStyle w:val="Heading2"/>
        <w:keepNext w:val="true"/>
        <w:widowControl/>
        <w:ind w:hanging="0"/>
        <w:rPr/>
      </w:pPr>
      <w:bookmarkStart w:id="97" w:name="__RefHeading___Toc2198_2468698496"/>
      <w:bookmarkEnd w:id="97"/>
      <w:r>
        <w:rPr/>
        <w:t>4.9 Shrnutí výsledků</w:t>
      </w:r>
    </w:p>
    <w:p>
      <w:pPr>
        <w:pStyle w:val="Normal"/>
        <w:widowControl/>
        <w:spacing w:lineRule="auto" w:line="360"/>
        <w:ind w:firstLine="709"/>
        <w:jc w:val="both"/>
        <w:rPr/>
      </w:pPr>
      <w:r>
        <w:rPr/>
        <w:t>Výsledky lze shrnout do tří hlavních zjištění. Standardizace umožňuje hledat obdobné prvky napříč reporty, jejich přítomnost však neznamená stejnou hloubku řízení. Nejpřesvědčivějším veřejným znakem implementace je vazba na rozhodnutí o kapitálu, riziku, produktu, dodavateli, odměně nebo provozu. A konečně, podnikové zprávy dokládají procesy, aktivity a provozní outcomes podstatně lépe než širší kauzální dopady.</w:t>
      </w:r>
    </w:p>
    <w:p>
      <w:pPr>
        <w:pStyle w:val="Normal"/>
        <w:widowControl/>
        <w:spacing w:lineRule="auto" w:line="360"/>
        <w:ind w:firstLine="709"/>
        <w:jc w:val="both"/>
        <w:rPr/>
      </w:pPr>
      <w:r>
        <w:rPr/>
        <w:t>Informační kvalita roste, když organizace vedle cílů ukáže také hranici metriky, restatement, nepříznivý trend, chybějící cíl nebo dosud nevyřešený dopad. Taková informace není důkazem lepší výkonnosti. Umožňuje však přesněji rozlišit, co podnik deklaruje, co skutečně formalizoval, co může vstoupit do rozhodování a co zatím veřejně prokázat nedokáže.</w:t>
      </w:r>
    </w:p>
    <w:p>
      <w:pPr>
        <w:pStyle w:val="Normal"/>
        <w:rPr/>
      </w:pPr>
      <w:r>
        <w:rPr/>
      </w:r>
      <w:r>
        <w:br w:type="page"/>
      </w:r>
    </w:p>
    <w:p>
      <w:pPr>
        <w:pStyle w:val="Heading1"/>
        <w:keepNext w:val="true"/>
        <w:widowControl/>
        <w:spacing w:before="0" w:after="180"/>
        <w:ind w:hanging="0"/>
        <w:rPr/>
      </w:pPr>
      <w:bookmarkStart w:id="98" w:name="__RefHeading___Toc2200_2468698496"/>
      <w:bookmarkEnd w:id="98"/>
      <w:r>
        <w:rPr/>
        <w:t>5 Diskuse</w:t>
      </w:r>
    </w:p>
    <w:p>
      <w:pPr>
        <w:pStyle w:val="Heading2"/>
        <w:keepNext w:val="true"/>
        <w:widowControl/>
        <w:ind w:hanging="0"/>
        <w:rPr/>
      </w:pPr>
      <w:bookmarkStart w:id="99" w:name="__RefHeading___Toc2202_2468698496"/>
      <w:bookmarkEnd w:id="99"/>
      <w:r>
        <w:rPr/>
        <w:t>5.1 Odpověď na hlavní výzkumnou otázku</w:t>
      </w:r>
    </w:p>
    <w:p>
      <w:pPr>
        <w:pStyle w:val="Normal"/>
        <w:widowControl/>
        <w:spacing w:lineRule="auto" w:line="360"/>
        <w:ind w:firstLine="709"/>
        <w:jc w:val="both"/>
        <w:rPr/>
      </w:pPr>
      <w:r>
        <w:rPr/>
        <w:t>Hlavní otázka se ptala, jak vybrané velké podniky působící v České republice ve zprávách za rok 2024 konstruují a dokládají implementaci ESG a podle čeho lze rozlišit deklaraci, formalizaci a manažerskou integraci.</w:t>
      </w:r>
    </w:p>
    <w:p>
      <w:pPr>
        <w:pStyle w:val="Normal"/>
        <w:widowControl/>
        <w:spacing w:lineRule="auto" w:line="360"/>
        <w:ind w:firstLine="709"/>
        <w:jc w:val="both"/>
        <w:rPr/>
      </w:pPr>
      <w:r>
        <w:rPr/>
        <w:t>Ve všech čtyřech případech se opakuje podobná základní konstrukce. Podnik nejprve zasadí určité téma do strategie nebo výsledku materiality, přiřadí mu odpovědnost, popíše politiku či opatření a následně uvede cíl a metriku. Tento sled odpovídá architektuře ESRS a obecnějšímu vývoji udržitelnostního reportingu. Z hlediska důkazu však jednotlivé články řetězce nejsou rovnocenné.</w:t>
      </w:r>
    </w:p>
    <w:p>
      <w:pPr>
        <w:pStyle w:val="Normal"/>
        <w:widowControl/>
        <w:spacing w:lineRule="auto" w:line="360"/>
        <w:ind w:firstLine="709"/>
        <w:jc w:val="both"/>
        <w:rPr/>
      </w:pPr>
      <w:r>
        <w:rPr/>
        <w:t>Deklarace začíná tam, kde organizace pojmenuje prioritu nebo závazek, ale neukáže mechanismus. Věta o klimatické neutralitě může být důležitým veřejným slibem, sama však neříká, kdo za něj odpovídá, jak se bude měřit ani co se stane při neplnění.</w:t>
      </w:r>
    </w:p>
    <w:p>
      <w:pPr>
        <w:pStyle w:val="Normal"/>
        <w:widowControl/>
        <w:spacing w:lineRule="auto" w:line="360"/>
        <w:ind w:firstLine="709"/>
        <w:jc w:val="both"/>
        <w:rPr/>
      </w:pPr>
      <w:r>
        <w:rPr/>
        <w:t>Formalizace přidává strukturu. Téma získá vlastníka, proces, pravidelnou kontrolu, hranici metriky, výchozí hodnotu, cíl nebo časovou řadu. To není kosmetická změna. Umožňuje opakování, interní odpovědnost a kontrolu. Zároveň však může zůstat uvnitř reportingového systému, který dobře sbírá a zveřejňuje data, aniž výrazně zasahuje do rozhodování.</w:t>
      </w:r>
    </w:p>
    <w:p>
      <w:pPr>
        <w:pStyle w:val="Normal"/>
        <w:widowControl/>
        <w:spacing w:lineRule="auto" w:line="360"/>
        <w:ind w:firstLine="709"/>
        <w:jc w:val="both"/>
        <w:rPr/>
      </w:pPr>
      <w:r>
        <w:rPr/>
        <w:t>Nejpřesvědčivějším rozlišovacím znakem manažerské integrace se proto ukázala rozhodovací vazba. Informace překračuje hranici reportingu ve chvíli, kdy může ovlivnit kapitálový plán, rizikový limit, podobu produktu, výběr dodavatele, variabilní odměnu nebo konkrétní provozní pravidlo. Takový mechanismus poskytuje silnější důkaz než počet KPI, existence výboru nebo délka zprávy.</w:t>
      </w:r>
    </w:p>
    <w:p>
      <w:pPr>
        <w:pStyle w:val="Normal"/>
        <w:widowControl/>
        <w:spacing w:lineRule="auto" w:line="360"/>
        <w:ind w:firstLine="709"/>
        <w:jc w:val="both"/>
        <w:rPr/>
      </w:pPr>
      <w:r>
        <w:rPr/>
        <w:t>Ani E3 však není potvrzením „dobrého ESG“. Investiční plán může být málo ambiciózní, pobídka může mít nízkou skutečnou váhu a dodavatelský rating může hodnotit spíše dokumentaci než výkon. Rozhodovací vazba dokládá možnost organizačního důsledku. Nehodnotí jeho normativní dostatečnost.</w:t>
      </w:r>
    </w:p>
    <w:p>
      <w:pPr>
        <w:pStyle w:val="Normal"/>
        <w:widowControl/>
        <w:spacing w:lineRule="auto" w:line="360"/>
        <w:ind w:firstLine="709"/>
        <w:jc w:val="both"/>
        <w:rPr/>
      </w:pPr>
      <w:r>
        <w:rPr/>
        <w:t>Poslední rovinu tvoří externě podpořený výsledek. V korpusu se ukázal jako vzácný a vždy úzce vymezený. Assurance nad rozsáhlou zprávou není audit celkové účinnosti strategie a neověřuje budoucí dopad. Veřejný report tedy zpravidla dokáže přesvědčivěji doložit existenci procesu a rozhodovacího mechanismu než konečný kauzální výsledek.</w:t>
      </w:r>
    </w:p>
    <w:p>
      <w:pPr>
        <w:pStyle w:val="Heading2"/>
        <w:keepNext w:val="true"/>
        <w:widowControl/>
        <w:ind w:hanging="0"/>
        <w:rPr/>
      </w:pPr>
      <w:bookmarkStart w:id="100" w:name="__RefHeading___Toc2204_2468698496"/>
      <w:bookmarkEnd w:id="100"/>
      <w:r>
        <w:rPr/>
        <w:t>5.2 Institucionální izomorfismus: stejná forma, různé napojení na řízení</w:t>
      </w:r>
    </w:p>
    <w:p>
      <w:pPr>
        <w:pStyle w:val="Normal"/>
        <w:widowControl/>
        <w:spacing w:lineRule="auto" w:line="360"/>
        <w:ind w:firstLine="709"/>
        <w:jc w:val="both"/>
        <w:rPr/>
      </w:pPr>
      <w:r>
        <w:rPr/>
        <w:t>První výsledkové téma dobře odpovídá institucionální perspektivě DiMaggia a Powella (1983). Organizace vystavené stejným donucovacím, normativním a mimetickým tlakům začínají přebírat podobné struktury. CSRD a ESRS určují společný obsah zveřejnění, auditoři a poradci přenášejí profesní normy a podniky sledují řešení svých konkurentů.</w:t>
      </w:r>
    </w:p>
    <w:p>
      <w:pPr>
        <w:pStyle w:val="Normal"/>
        <w:widowControl/>
        <w:spacing w:lineRule="auto" w:line="360"/>
        <w:ind w:firstLine="709"/>
        <w:jc w:val="both"/>
        <w:rPr/>
      </w:pPr>
      <w:r>
        <w:rPr/>
        <w:t>Tato podobnost je v analyzovaných zprávách zřetelná. V různém pořadí se opakují strategie, dvojí materialita, governance, cíle a metriky. Pro čtenáře jde o významný posun. Informace lze snáze dohledat a porovnat; není nutné v každé zprávě znovu luštit zcela odlišný slovník.</w:t>
      </w:r>
    </w:p>
    <w:p>
      <w:pPr>
        <w:pStyle w:val="Normal"/>
        <w:widowControl/>
        <w:spacing w:lineRule="auto" w:line="360"/>
        <w:ind w:firstLine="709"/>
        <w:jc w:val="both"/>
        <w:rPr/>
      </w:pPr>
      <w:r>
        <w:rPr/>
        <w:t>Stejná architektura ale snadno vytváří dojem, že srovnatelné jsou i vnitřní procesy. Právě zde výsledky ukazují rozdíl. ČEZ zveřejňuje napojení přechodového plánu na investiční plán. MONETA spojuje agendu s pobídkami, risk governance a metodikou financovaného portfolia. O2 zachycuje přechodové období, v němž už existuje strategie a výbor, ale některé cíle a KPI nejvyššího orgánu se teprve přestavují. Škoda Auto propojuje skupinový rámec s produktem, výrobou, kapitálovými výdaji a dodavatelskými vztahy.</w:t>
      </w:r>
    </w:p>
    <w:p>
      <w:pPr>
        <w:pStyle w:val="Normal"/>
        <w:widowControl/>
        <w:spacing w:lineRule="auto" w:line="360"/>
        <w:ind w:firstLine="709"/>
        <w:jc w:val="both"/>
        <w:rPr/>
      </w:pPr>
      <w:r>
        <w:rPr/>
        <w:t xml:space="preserve">Výsledek proto nepodporuje ani jednoduché tvrzení, že standardizace je prázdná formalita, ani opačný závěr, že povinný report automaticky mění řízení. Přesnější je chápat regulaci jako </w:t>
      </w:r>
      <w:r>
        <w:rPr>
          <w:b/>
        </w:rPr>
        <w:t>infrastrukturu možnosti</w:t>
      </w:r>
      <w:r>
        <w:rPr/>
        <w:t>. Vytváří požadavek na data, role a vysvětlení a tím může otevřít cestu k organizační změně. Jestli se nová infrastruktura napojí na hlavní rozhodovací procesy, závisí na sektorové materialitě, vlastnictví tématu, dostupných zdrojích a na tom, co už podnik řídil před příchodem regulace.</w:t>
      </w:r>
    </w:p>
    <w:p>
      <w:pPr>
        <w:pStyle w:val="Normal"/>
        <w:widowControl/>
        <w:spacing w:lineRule="auto" w:line="360"/>
        <w:ind w:firstLine="709"/>
        <w:jc w:val="both"/>
        <w:rPr/>
      </w:pPr>
      <w:r>
        <w:rPr/>
        <w:t>Pozdější zúžení evropského reportovacího rámce této interpretaci přidává další vrstvu. Proces, který přežije i snížení právní povinnosti, mohl mezitím získat vlastní provozní nebo finanční funkci. Dokumenty za rok 2024 takovou budoucí perzistenci samozřejmě nedokládají, ale vytvářejí výchozí bod pro longitudinální srovnání.</w:t>
      </w:r>
    </w:p>
    <w:p>
      <w:pPr>
        <w:pStyle w:val="Heading2"/>
        <w:keepNext w:val="true"/>
        <w:widowControl/>
        <w:ind w:hanging="0"/>
        <w:rPr/>
      </w:pPr>
      <w:bookmarkStart w:id="101" w:name="__RefHeading___Toc2206_2468698496"/>
      <w:bookmarkEnd w:id="101"/>
      <w:r>
        <w:rPr/>
        <w:t>5.3 Materialita: od diagnostiky k alokaci</w:t>
      </w:r>
    </w:p>
    <w:p>
      <w:pPr>
        <w:pStyle w:val="Normal"/>
        <w:widowControl/>
        <w:spacing w:lineRule="auto" w:line="360"/>
        <w:ind w:firstLine="709"/>
        <w:jc w:val="both"/>
        <w:rPr/>
      </w:pPr>
      <w:r>
        <w:rPr/>
        <w:t>Dvojí materialita je v reportech často představena jako metodický proces a výsledný seznam témat. Z hlediska implementace je podstatnější, co se s tímto seznamem stane. Khan et al. (2016) ukazují význam materiálních témat pro vztah mezi udržitelností a výkonností, jejich rámec však pracuje především s finanční materialitou. Evropský přístup přidává dopady podniku na lidi a životní prostředí.</w:t>
      </w:r>
    </w:p>
    <w:p>
      <w:pPr>
        <w:pStyle w:val="Normal"/>
        <w:widowControl/>
        <w:spacing w:lineRule="auto" w:line="360"/>
        <w:ind w:firstLine="709"/>
        <w:jc w:val="both"/>
        <w:rPr/>
      </w:pPr>
      <w:r>
        <w:rPr/>
        <w:t>Výsledky ukazují tři odlišné úrovně materialitního procesu. Na diagnostické úrovni podnik identifikuje a seřadí témata. Organizační úroveň jim přidá vlastníka, metriku a kontrolní rytmus. Alokační úroveň nastává tehdy, když výsledek ovlivní zdroje nebo rozhodovací pravidlo.</w:t>
      </w:r>
    </w:p>
    <w:p>
      <w:pPr>
        <w:pStyle w:val="Normal"/>
        <w:widowControl/>
        <w:spacing w:lineRule="auto" w:line="360"/>
        <w:ind w:firstLine="709"/>
        <w:jc w:val="both"/>
        <w:rPr/>
      </w:pPr>
      <w:r>
        <w:rPr/>
        <w:t>První dvě úrovně jsou v reportech relativně dobře viditelné. Třetí se objevuje méně často, ale právě ona poskytuje nejsilnější znak integrace. U ČEZ se klimatické téma propojuje s přechodovým a investičním plánem. U MONETA vede význam financovaných emisí k budování metodiky portfolia, i když chybí outcome cíl. O2 překládá energetickou materialitu do obnovy infrastruktury. Škoda Auto spojuje produktovou a hodnotově-řetězcovou materialitu s životním cyklem výrobku, CapEx a hodnocením dodavatelů.</w:t>
      </w:r>
    </w:p>
    <w:p>
      <w:pPr>
        <w:pStyle w:val="Normal"/>
        <w:widowControl/>
        <w:spacing w:lineRule="auto" w:line="360"/>
        <w:ind w:firstLine="709"/>
        <w:jc w:val="both"/>
        <w:rPr/>
      </w:pPr>
      <w:r>
        <w:rPr/>
        <w:t>Materialita tedy může být reportovacím filtrem i mechanismem alokace. Rozdíl mezi oběma rolemi se nepozná podle vzhledu matice, ale podle následné cesty tématu. Budoucí výzkum by měl sledovat případy, kdy se pořadí materialitních témat změnilo, a ověřit, zda tato změna skutečně vedla k úpravě investičního, produktového nebo rizikového rozhodnutí. To už by vyžadovalo přístup k interním dokladům a rozhovorům.</w:t>
      </w:r>
    </w:p>
    <w:p>
      <w:pPr>
        <w:pStyle w:val="Heading2"/>
        <w:keepNext w:val="true"/>
        <w:widowControl/>
        <w:ind w:hanging="0"/>
        <w:rPr/>
      </w:pPr>
      <w:bookmarkStart w:id="102" w:name="__RefHeading___Toc2208_2468698496"/>
      <w:bookmarkEnd w:id="102"/>
      <w:r>
        <w:rPr/>
        <w:t>5.4 Governance: organigram ještě není schopnost zasáhnout</w:t>
      </w:r>
    </w:p>
    <w:p>
      <w:pPr>
        <w:pStyle w:val="Normal"/>
        <w:widowControl/>
        <w:spacing w:lineRule="auto" w:line="360"/>
        <w:ind w:firstLine="709"/>
        <w:jc w:val="both"/>
        <w:rPr/>
      </w:pPr>
      <w:r>
        <w:rPr/>
        <w:t>Výsledky podporují význam organizačních procesů zdůrazněný Eccles et al. (2014). Udržitelnostní agenda se stává řiditelnou, když má vlastníka, pravidelný tok informací a kontrolní mechanismus. Veřejná governance schémata však mohou působit úplněji, než jaký důkaz ve skutečnosti poskytují.</w:t>
      </w:r>
    </w:p>
    <w:p>
      <w:pPr>
        <w:pStyle w:val="Normal"/>
        <w:widowControl/>
        <w:spacing w:lineRule="auto" w:line="360"/>
        <w:ind w:firstLine="709"/>
        <w:jc w:val="both"/>
        <w:rPr/>
      </w:pPr>
      <w:r>
        <w:rPr/>
        <w:t>Analýza proto pracovala s několika stupni. Nejslabší informací je samotný název výboru. Více vypovídá jeho složení a mandát. Další sílu přidává pravidelná kadence, konkrétní KPI a možnost zahájit nápravné opatření. Nejsilnější veřejně pozorovatelnou vazbu představuje propojení s odměnou, rizikovým limitem, rozpočtem nebo doloženým rozhodnutím.</w:t>
      </w:r>
    </w:p>
    <w:p>
      <w:pPr>
        <w:pStyle w:val="Normal"/>
        <w:widowControl/>
        <w:spacing w:lineRule="auto" w:line="360"/>
        <w:ind w:firstLine="709"/>
        <w:jc w:val="both"/>
        <w:rPr/>
      </w:pPr>
      <w:r>
        <w:rPr/>
        <w:t>MONETA zveřejňuje výbor vedený CEO, čtvrtletní monitoring, možnost korekce, kontrolní linie a variabilní odměňování. ČEZ má board-level vlastníka a společný ESG úkol členů představenstva s pobídkovou vazbou. O2 popisuje pravidelný reporting představenstvu a průřezový výbor, současně ale přiznává, že v daném období nebyly vytvořeny ESG KPI pro hodnocení nejvyššího orgánu. Škoda Auto uvádí definované role, externí expertní radu a odborový dialog, méně však zveřejňuje konkrétní rozhodovací důsledky těchto vstupů.</w:t>
      </w:r>
    </w:p>
    <w:p>
      <w:pPr>
        <w:pStyle w:val="Normal"/>
        <w:widowControl/>
        <w:spacing w:lineRule="auto" w:line="360"/>
        <w:ind w:firstLine="709"/>
        <w:jc w:val="both"/>
        <w:rPr/>
      </w:pPr>
      <w:r>
        <w:rPr/>
        <w:t xml:space="preserve">Veřejný dokument má v této oblasti přirozenou hranici. Zápisy, konflikty, zamítnuté projekty nebo skutečné použití eskalace obvykle nejsou dostupné. Není tedy možné bezpečně určit, zda je výbor rozhodovacím fórem, nebo především koordinačním orgánem pro přípravu reportu. Přesnější je mluvit o </w:t>
      </w:r>
      <w:r>
        <w:rPr>
          <w:b/>
        </w:rPr>
        <w:t>zveřejněné governance kapacitě</w:t>
      </w:r>
      <w:r>
        <w:rPr/>
        <w:t xml:space="preserve"> než o prokázané účinnosti.</w:t>
      </w:r>
    </w:p>
    <w:p>
      <w:pPr>
        <w:pStyle w:val="Normal"/>
        <w:widowControl/>
        <w:spacing w:lineRule="auto" w:line="360"/>
        <w:ind w:firstLine="709"/>
        <w:jc w:val="both"/>
        <w:rPr/>
      </w:pPr>
      <w:r>
        <w:rPr/>
        <w:t>Pro čtenáře se tím mění hlavní otázka. Není podstatné jen to, zda firma výbor má. Je potřeba zjistit, co sleduje, jak často se schází, jaké informace dostává, jaký je postup při neplnění a zda může výsledek zasáhnout do odměny, rizika nebo zdrojů. Teprve příklad skutečné korekce by umožnil jít ještě dál.</w:t>
      </w:r>
    </w:p>
    <w:p>
      <w:pPr>
        <w:pStyle w:val="Heading2"/>
        <w:keepNext w:val="true"/>
        <w:widowControl/>
        <w:ind w:hanging="0"/>
        <w:rPr/>
      </w:pPr>
      <w:bookmarkStart w:id="103" w:name="__RefHeading___Toc2210_2468698496"/>
      <w:bookmarkEnd w:id="103"/>
      <w:r>
        <w:rPr/>
        <w:t>5.5 Legitimita a informační hodnota nepříznivých údajů</w:t>
      </w:r>
    </w:p>
    <w:p>
      <w:pPr>
        <w:pStyle w:val="Normal"/>
        <w:widowControl/>
        <w:spacing w:lineRule="auto" w:line="360"/>
        <w:ind w:firstLine="709"/>
        <w:jc w:val="both"/>
        <w:rPr/>
      </w:pPr>
      <w:r>
        <w:rPr/>
        <w:t>Teorie legitimity předpokládá, že organizace vysvětlují a ospravedlňují své jednání vůči relevantním publikům (Suchman, 1995). Udržitelnostní zpráva je pro tuto funkci vhodná: propojuje strategii, cíle, výsledky a vybrané příklady do jednoho příběhu. Delmas a Burbano (2011) zároveň ukazují podmínky, za nichž se mezi komunikací a praxí může otevřít mezera.</w:t>
      </w:r>
    </w:p>
    <w:p>
      <w:pPr>
        <w:pStyle w:val="Normal"/>
        <w:widowControl/>
        <w:spacing w:lineRule="auto" w:line="360"/>
        <w:ind w:firstLine="709"/>
        <w:jc w:val="both"/>
        <w:rPr/>
      </w:pPr>
      <w:r>
        <w:rPr/>
        <w:t>Z pozitivního tónu však nelze odvodit úmysl greenwashingu. Dokumentová analýza nemá přístup k interní motivaci autorů. Může ale posoudit, zda zpráva nabízí informace, které dovolují pozitivní příběh korigovat. V tomto ohledu výsledky navazují na Boirala (2013), jenž upozorňuje, že i formálně kvalitní report může upozadit konflikty a negativní události.</w:t>
      </w:r>
    </w:p>
    <w:p>
      <w:pPr>
        <w:pStyle w:val="Normal"/>
        <w:widowControl/>
        <w:spacing w:lineRule="auto" w:line="360"/>
        <w:ind w:firstLine="709"/>
        <w:jc w:val="both"/>
        <w:rPr/>
      </w:pPr>
      <w:r>
        <w:rPr/>
        <w:t>V analyzovaném korpusu byly právě nepříznivé informace často mimořádně užitečné. ČEZ zveřejňuje pokračující lignitovou expozici, dlouhodobý dopad těžby na biodiverzitu a sociální náklady útlumu. MONETA uvádí kritický názor na reportovací zátěž, pokles zájmu investorů, zhoršený gender pay gap, chybějící outcome cíl financovaných emisí a zrušení jednoho KPI. O2 přiznává reset cílů, růst energie a části emisí, restatement historických hodnot, neúplnou governance a absenci assurance. U Škoda Auto korigují pozitivní obraz hlavně rozdíly mezi taxonomickou způsobilostí a sladěností a hranice skupinových tvrzení.</w:t>
      </w:r>
    </w:p>
    <w:p>
      <w:pPr>
        <w:pStyle w:val="Normal"/>
        <w:widowControl/>
        <w:spacing w:lineRule="auto" w:line="360"/>
        <w:ind w:firstLine="709"/>
        <w:jc w:val="both"/>
        <w:rPr/>
      </w:pPr>
      <w:r>
        <w:rPr/>
        <w:t>Negativní údaj nelze zaměnit za negativní hodnocení firmy. Podnik, který zhoršení změří a vysvětlí, může mít kvalitnější kontrolní systém než podnik, který obdobný problém nezachytí nebo nezveřejní. Kvalita reportu proto nespočívá jen v počtu úspěchů. Patří k ní i schopnost učinit selhání, nejistotu a metodickou hranici viditelnými.</w:t>
      </w:r>
    </w:p>
    <w:p>
      <w:pPr>
        <w:pStyle w:val="Normal"/>
        <w:widowControl/>
        <w:spacing w:lineRule="auto" w:line="360"/>
        <w:ind w:firstLine="709"/>
        <w:jc w:val="both"/>
        <w:rPr/>
      </w:pPr>
      <w:r>
        <w:rPr/>
        <w:t>Tento závěr doplňuje Michelon et al. (2015). Samostatný report, standard ani assurance nejsou samy o sobě zárukou kvality. Více vypovídá konkrétnost, vyváženost, srovnatelnost a zřetelná vazba informace na řízení.</w:t>
      </w:r>
    </w:p>
    <w:p>
      <w:pPr>
        <w:pStyle w:val="Heading2"/>
        <w:keepNext w:val="true"/>
        <w:widowControl/>
        <w:ind w:hanging="0"/>
        <w:rPr/>
      </w:pPr>
      <w:bookmarkStart w:id="104" w:name="__RefHeading___Toc2212_2468698496"/>
      <w:bookmarkEnd w:id="104"/>
      <w:r>
        <w:rPr/>
        <w:t>5.6 Aktivita, outcome a dopad</w:t>
      </w:r>
    </w:p>
    <w:p>
      <w:pPr>
        <w:pStyle w:val="Normal"/>
        <w:widowControl/>
        <w:spacing w:lineRule="auto" w:line="360"/>
        <w:ind w:firstLine="709"/>
        <w:jc w:val="both"/>
        <w:rPr/>
      </w:pPr>
      <w:r>
        <w:rPr/>
        <w:t>Jednou z nejčastějších interpretačních chyb je posun mezi úrovněmi výsledku. Počet proškolených zaměstnanců, účastníků programu nebo zapojených dodavatelů může být přesně změřený a pro řízení kapacity velmi důležitý. Pořád však jde především o výstup aktivity.</w:t>
      </w:r>
    </w:p>
    <w:p>
      <w:pPr>
        <w:pStyle w:val="Normal"/>
        <w:widowControl/>
        <w:spacing w:lineRule="auto" w:line="360"/>
        <w:ind w:firstLine="709"/>
        <w:jc w:val="both"/>
        <w:rPr/>
      </w:pPr>
      <w:r>
        <w:rPr/>
        <w:t>Outcome znamená změnu stavu: nižší spotřebu na jednotku, vývoj pay gap, snížení emisní intenzity, podíl elektrických vozidel nebo změnu kvality portfolia. Ani outcome automaticky nedokazuje širší dopad nebo jeho kauzalitu. Intenzita může klesat spolu s růstem absolutního objemu. Spotřebu může ovlivnit akvizice nebo rozšířená hranice. Počet blokovaných útoků neříká, kolik škody zabránila jedna konkrétní politika.</w:t>
      </w:r>
    </w:p>
    <w:p>
      <w:pPr>
        <w:pStyle w:val="Normal"/>
        <w:widowControl/>
        <w:spacing w:lineRule="auto" w:line="360"/>
        <w:ind w:firstLine="709"/>
        <w:jc w:val="both"/>
        <w:rPr/>
      </w:pPr>
      <w:r>
        <w:rPr/>
        <w:t>Toto rozlišení je důležité i ve vztahu k literatuře o finanční výkonnosti. Friede et al. (2015) a Gillan et al. (2021) ukazují, jak silně závěr závisí na definici proměnných a výzkumném designu. Stejný problém vzniká uvnitř jednoho reportu: označení „ESG výsledek“ může skrývat výdaj, počet účastníků, provozní změnu nebo tvrzení o společenském efektu.</w:t>
      </w:r>
    </w:p>
    <w:p>
      <w:pPr>
        <w:pStyle w:val="Normal"/>
        <w:widowControl/>
        <w:spacing w:lineRule="auto" w:line="360"/>
        <w:ind w:firstLine="709"/>
        <w:jc w:val="both"/>
        <w:rPr/>
      </w:pPr>
      <w:r>
        <w:rPr/>
        <w:t>Škála E0–E4 tento problém omezuje, ale neřeší jej úplně. Brání vydávat aktivitu za outcome a governance proces za dopad. Sama však neměří velikost ani dostatečnost výsledku. E2 může být metodicky kvalitní, ale zaměřená na okrajové téma. E3 může být hluboce integrovaná a přesto vést jen k malému zlepšení. E4 může potvrdit správnost výpočtu, ne přiměřenost cíle.</w:t>
      </w:r>
    </w:p>
    <w:p>
      <w:pPr>
        <w:pStyle w:val="Heading2"/>
        <w:keepNext w:val="true"/>
        <w:widowControl/>
        <w:ind w:hanging="0"/>
        <w:rPr/>
      </w:pPr>
      <w:bookmarkStart w:id="105" w:name="__RefHeading___Toc2214_2468698496"/>
      <w:bookmarkEnd w:id="105"/>
      <w:r>
        <w:rPr/>
        <w:t>5.7 Externí ujištění bez halo efektu</w:t>
      </w:r>
    </w:p>
    <w:p>
      <w:pPr>
        <w:pStyle w:val="Normal"/>
        <w:widowControl/>
        <w:spacing w:lineRule="auto" w:line="360"/>
        <w:ind w:firstLine="709"/>
        <w:jc w:val="both"/>
        <w:rPr/>
      </w:pPr>
      <w:r>
        <w:rPr/>
        <w:t>Assurance bývá čteno jako jednoduchá značka důvěryhodnosti. Ve skutečnosti je potřeba položit několik otázek: co přesně je ověřeno, jakou úrovní, podle jakého standardu a zda následná interpretace nepřekračuje závěr praktika.</w:t>
      </w:r>
    </w:p>
    <w:p>
      <w:pPr>
        <w:pStyle w:val="Normal"/>
        <w:widowControl/>
        <w:spacing w:lineRule="auto" w:line="360"/>
        <w:ind w:firstLine="709"/>
        <w:jc w:val="both"/>
        <w:rPr/>
      </w:pPr>
      <w:r>
        <w:rPr/>
        <w:t>ČEZ má omezené ujištění nad konsolidovanou zprávou o udržitelnosti. To posiluje důvěryhodnost vymezených informací a kontrolního procesu, nikoli budoucí úspěch přechodového plánu. MONETA uvádí přiměřené ujištění metodiky vymezené části financovaných emisí. Jde o silnou podporu konkrétního výpočtu, ne o potvrzení dekarbonizace portfolia. O2 assurance nemá; jeho data proto nejsou automaticky nesprávná, ale chybí jim tato externí vrstva kontroly.</w:t>
      </w:r>
    </w:p>
    <w:p>
      <w:pPr>
        <w:pStyle w:val="Normal"/>
        <w:widowControl/>
        <w:spacing w:lineRule="auto" w:line="360"/>
        <w:ind w:firstLine="709"/>
        <w:jc w:val="both"/>
        <w:rPr/>
      </w:pPr>
      <w:r>
        <w:rPr/>
        <w:t>Oddělení assurance od evidenční třídy zabraňuje dvěma opačným chybám. První by připsala vysokou důvěryhodnost každému tvrzení v ověřeném reportu. Druhá by podcenila přesvědčivý E3 mechanismus jen proto, že nebyl samostatně ověřen. Hloubka integrace a nezávislá spolehlivost výsledku jsou dvě různé vlastnosti.</w:t>
      </w:r>
    </w:p>
    <w:p>
      <w:pPr>
        <w:pStyle w:val="Normal"/>
        <w:widowControl/>
        <w:spacing w:lineRule="auto" w:line="360"/>
        <w:ind w:firstLine="709"/>
        <w:jc w:val="both"/>
        <w:rPr/>
      </w:pPr>
      <w:r>
        <w:rPr/>
        <w:t>Z praktického hlediska by proto měl podnik jasně uvádět úroveň, rozsah a předmět ujištění. Obecná grafická značka „ověřeno“ bez vysvětlení snadno vyvolá širší dojem, než jaký odpovídá skutečné zakázce.</w:t>
      </w:r>
    </w:p>
    <w:p>
      <w:pPr>
        <w:pStyle w:val="Heading2"/>
        <w:keepNext w:val="true"/>
        <w:widowControl/>
        <w:ind w:hanging="0"/>
        <w:rPr/>
      </w:pPr>
      <w:bookmarkStart w:id="106" w:name="__RefHeading___Toc2216_2468698496"/>
      <w:bookmarkEnd w:id="106"/>
      <w:r>
        <w:rPr/>
        <w:t>5.8 Přínos a limity škály E0–E4</w:t>
      </w:r>
    </w:p>
    <w:p>
      <w:pPr>
        <w:pStyle w:val="Normal"/>
        <w:widowControl/>
        <w:spacing w:lineRule="auto" w:line="360"/>
        <w:ind w:firstLine="709"/>
        <w:jc w:val="both"/>
        <w:rPr/>
      </w:pPr>
      <w:r>
        <w:rPr/>
        <w:t>Škála E0–E4 vznikla jako pracovní nástroj pro tuto analýzu, nikoli jako validovaný rating. Její hlavní přínos spočívá ve změně jednotky hodnocení. Namísto obecné otázky „jak kvalitní ESG má firma?“ se ptá, jak silně je doloženo konkrétní tvrzení.</w:t>
      </w:r>
    </w:p>
    <w:p>
      <w:pPr>
        <w:pStyle w:val="Normal"/>
        <w:widowControl/>
        <w:spacing w:lineRule="auto" w:line="360"/>
        <w:ind w:firstLine="709"/>
        <w:jc w:val="both"/>
        <w:rPr/>
      </w:pPr>
      <w:r>
        <w:rPr/>
        <w:t>Tím se omezuje halo efekt. Jeden podnik může mít v témže reportu obecnou deklaraci E0, rozsáhlou aktivitu E1 a rozhodovací mechanismus E3. Firma bez assurance může popsat silnou vazbu na kapitál. Externě ověřená metrika může patřit do E4 a současně se týkat oblasti, pro kterou chybí outcome cíl.</w:t>
      </w:r>
    </w:p>
    <w:p>
      <w:pPr>
        <w:pStyle w:val="Normal"/>
        <w:widowControl/>
        <w:spacing w:lineRule="auto" w:line="360"/>
        <w:ind w:firstLine="709"/>
        <w:jc w:val="both"/>
        <w:rPr/>
      </w:pPr>
      <w:r>
        <w:rPr/>
        <w:t>Škála pomáhá i při formulaci výsledků. E0 vede k opatrnému „podnik deklaruje“. U E1 lze říci, že uvádí konkrétní aktivitu nebo výstup. E2 dovoluje hovořit o formalizovaném procesu či sledovaném výsledku. E3 podporuje závěr o zveřejněném napojení na rozhodování a E4 o silné externí podpoře přesně vymezeného výsledku.</w:t>
      </w:r>
    </w:p>
    <w:p>
      <w:pPr>
        <w:pStyle w:val="Normal"/>
        <w:widowControl/>
        <w:spacing w:lineRule="auto" w:line="360"/>
        <w:ind w:firstLine="709"/>
        <w:jc w:val="both"/>
        <w:rPr/>
      </w:pPr>
      <w:r>
        <w:rPr/>
        <w:t>Nástroj má však několik omezení. Hranice mezi E1 a E2 nebo mezi E2 a E3 vyžaduje interpretační úsudek. Formalizované velké podniky mohou být zvýhodněny proti organizacím s účinnou, ale hůře zdokumentovanou praxí. E3 nehodnotí ambici ani směr rozhodnutí. E4 závisí na dostupnosti assurance nebo triangulace, která bývá nákladná a selektivní.</w:t>
      </w:r>
    </w:p>
    <w:p>
      <w:pPr>
        <w:pStyle w:val="Normal"/>
        <w:widowControl/>
        <w:spacing w:lineRule="auto" w:line="360"/>
        <w:ind w:firstLine="709"/>
        <w:jc w:val="both"/>
        <w:rPr/>
      </w:pPr>
      <w:r>
        <w:rPr/>
        <w:t>Budoucí validace by měla použít větší korpus a více nezávislých kodérů. Zajímavé by bylo také porovnat klasifikaci s interními dokumenty a sledovat, zda E3 vazby skutečně předpovídají stabilnější výsledky v čase.</w:t>
      </w:r>
    </w:p>
    <w:p>
      <w:pPr>
        <w:pStyle w:val="Heading2"/>
        <w:keepNext w:val="true"/>
        <w:widowControl/>
        <w:ind w:hanging="0"/>
        <w:rPr/>
      </w:pPr>
      <w:bookmarkStart w:id="107" w:name="__RefHeading___Toc2218_2468698496"/>
      <w:bookmarkEnd w:id="107"/>
      <w:r>
        <w:rPr/>
        <w:t>5.9 Sektorová materialita a nemožnost neutrálního jednotného skóre</w:t>
      </w:r>
    </w:p>
    <w:p>
      <w:pPr>
        <w:pStyle w:val="Normal"/>
        <w:widowControl/>
        <w:spacing w:lineRule="auto" w:line="360"/>
        <w:ind w:firstLine="709"/>
        <w:jc w:val="both"/>
        <w:rPr/>
      </w:pPr>
      <w:r>
        <w:rPr/>
        <w:t>Srovnání čtyř sektorů ukázalo, proč je univerzální počet KPI slabým řešením. Energetika, bankovnictví, telekomunikace a automobilový průmysl mají rozdílný vztah mezi vlastní činností, hodnotovým řetězcem a dopadem.</w:t>
      </w:r>
    </w:p>
    <w:p>
      <w:pPr>
        <w:pStyle w:val="Normal"/>
        <w:widowControl/>
        <w:spacing w:lineRule="auto" w:line="360"/>
        <w:ind w:firstLine="709"/>
        <w:jc w:val="both"/>
        <w:rPr/>
      </w:pPr>
      <w:r>
        <w:rPr/>
        <w:t>U ČEZ stojí v centru výroba energie, investiční portfolio a útlum uhlí. U MONETA je hlavní klimatická oblast v úvěrovém portfoliu, nikoli v provozu poboček. U O2 jsou vedle energie významné bezpečnost, dostupnost služeb a digitální kompetence. Škoda Auto musí pracovat s životním cyklem produktu, výrobou a globálními dodavateli.</w:t>
      </w:r>
    </w:p>
    <w:p>
      <w:pPr>
        <w:pStyle w:val="Normal"/>
        <w:widowControl/>
        <w:spacing w:lineRule="auto" w:line="360"/>
        <w:ind w:firstLine="709"/>
        <w:jc w:val="both"/>
        <w:rPr/>
      </w:pPr>
      <w:r>
        <w:rPr/>
        <w:t>Berg et al. (2022) ukazují, že ESG ratingy se rozcházejí v rozsahu, měření a vahách. Zdejší kvalitativní srovnání ilustruje, proč nejde jen o technický problém. Kdo by chtěl vytvořit jedno skóre, musel by rozhodnout, jakou společnou váhu dát biodiversitnímu dopadu těžby, financovaným emisím, digitální bezpečnosti a recyklovanému materiálu. Taková volba není neutrální.</w:t>
      </w:r>
    </w:p>
    <w:p>
      <w:pPr>
        <w:pStyle w:val="Normal"/>
        <w:widowControl/>
        <w:spacing w:lineRule="auto" w:line="360"/>
        <w:ind w:firstLine="709"/>
        <w:jc w:val="both"/>
        <w:rPr/>
      </w:pPr>
      <w:r>
        <w:rPr/>
        <w:t>Práce proto zachovává společnou logiku mechanismu, nikoli společnou škálu dopadu. Ptá se, zda je sektorově materiální téma spojeno s odpovědností, cílem, hranicí a rozhodnutím. To umožňuje srovnání bez předstírání, že samotné dopady jsou zaměnitelné.</w:t>
      </w:r>
    </w:p>
    <w:p>
      <w:pPr>
        <w:pStyle w:val="Heading2"/>
        <w:keepNext w:val="true"/>
        <w:widowControl/>
        <w:ind w:hanging="0"/>
        <w:rPr/>
      </w:pPr>
      <w:bookmarkStart w:id="108" w:name="__RefHeading___Toc2220_2468698496"/>
      <w:bookmarkEnd w:id="108"/>
      <w:r>
        <w:rPr/>
        <w:t>5.10 Praktická doporučení pro podniky</w:t>
      </w:r>
    </w:p>
    <w:p>
      <w:pPr>
        <w:pStyle w:val="Heading3"/>
        <w:keepNext w:val="true"/>
        <w:widowControl/>
        <w:ind w:hanging="0"/>
        <w:rPr/>
      </w:pPr>
      <w:bookmarkStart w:id="109" w:name="__RefHeading___Toc2222_2468698496"/>
      <w:bookmarkEnd w:id="109"/>
      <w:r>
        <w:rPr/>
        <w:t>5.10.1 Ukázat rozhodovací mechanismus</w:t>
      </w:r>
    </w:p>
    <w:p>
      <w:pPr>
        <w:pStyle w:val="Normal"/>
        <w:widowControl/>
        <w:spacing w:lineRule="auto" w:line="360"/>
        <w:ind w:firstLine="709"/>
        <w:jc w:val="both"/>
        <w:rPr/>
      </w:pPr>
      <w:r>
        <w:rPr/>
        <w:t>Obecné označení priority má menší informační hodnotu než popis toho, kdo rozhoduje, který proces se mění a jaký může mít výsledek důsledek. Vazba klimatického cíle na investiční plán řekne čtenáři více než dlouhý katalog projektů bez společné logiky.</w:t>
      </w:r>
    </w:p>
    <w:p>
      <w:pPr>
        <w:pStyle w:val="Heading3"/>
        <w:keepNext w:val="true"/>
        <w:widowControl/>
        <w:ind w:hanging="0"/>
        <w:rPr/>
      </w:pPr>
      <w:bookmarkStart w:id="110" w:name="__RefHeading___Toc2224_2468698496"/>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výchozí hodnotu, srovnání a omezení kauzální interpretace.</w:t>
      </w:r>
    </w:p>
    <w:p>
      <w:pPr>
        <w:pStyle w:val="Heading3"/>
        <w:keepNext w:val="true"/>
        <w:widowControl/>
        <w:ind w:hanging="0"/>
        <w:rPr/>
      </w:pPr>
      <w:bookmarkStart w:id="111" w:name="__RefHeading___Toc2226_2468698496"/>
      <w:bookmarkEnd w:id="111"/>
      <w:r>
        <w:rPr/>
        <w:t>5.10.3 Vysvětlit hranice a změny metodiky</w:t>
      </w:r>
    </w:p>
    <w:p>
      <w:pPr>
        <w:pStyle w:val="Normal"/>
        <w:widowControl/>
        <w:spacing w:lineRule="auto" w:line="360"/>
        <w:ind w:firstLine="709"/>
        <w:jc w:val="both"/>
        <w:rPr/>
      </w:pPr>
      <w:r>
        <w:rPr/>
        <w:t>Akvizice, restatement nebo rozšíření portfolia mohou výrazně změnit časovou řadu. Přepočet má být popsán tak, aby čtenář dokázal oddělit skutečnou změnu výkonu od změny měření.</w:t>
      </w:r>
    </w:p>
    <w:p>
      <w:pPr>
        <w:pStyle w:val="Heading3"/>
        <w:keepNext w:val="true"/>
        <w:widowControl/>
        <w:ind w:hanging="0"/>
        <w:rPr/>
      </w:pPr>
      <w:bookmarkStart w:id="112" w:name="__RefHeading___Toc2228_2468698496"/>
      <w:bookmarkEnd w:id="112"/>
      <w:r>
        <w:rPr/>
        <w:t>5.10.4 Popsat postup při neplnění</w:t>
      </w:r>
    </w:p>
    <w:p>
      <w:pPr>
        <w:pStyle w:val="Normal"/>
        <w:widowControl/>
        <w:spacing w:lineRule="auto" w:line="360"/>
        <w:ind w:firstLine="709"/>
        <w:jc w:val="both"/>
        <w:rPr/>
      </w:pPr>
      <w:r>
        <w:rPr/>
        <w:t>Governance získává důvěryhodnost, když report ukáže korektivní mechanismus: eskalaci, změnu plánu, dopad na odměnu, nápravný plán dodavatele nebo investiční podmínku. Samotná existence výboru tuto informaci nenahrazuje.</w:t>
      </w:r>
    </w:p>
    <w:p>
      <w:pPr>
        <w:pStyle w:val="Heading3"/>
        <w:keepNext w:val="true"/>
        <w:widowControl/>
        <w:ind w:hanging="0"/>
        <w:rPr/>
      </w:pPr>
      <w:bookmarkStart w:id="113" w:name="__RefHeading___Toc2230_2468698496"/>
      <w:bookmarkEnd w:id="113"/>
      <w:r>
        <w:rPr/>
        <w:t>5.10.5 Nezakrývat neúspěch</w:t>
      </w:r>
    </w:p>
    <w:p>
      <w:pPr>
        <w:pStyle w:val="Normal"/>
        <w:widowControl/>
        <w:spacing w:lineRule="auto" w:line="360"/>
        <w:ind w:firstLine="709"/>
        <w:jc w:val="both"/>
        <w:rPr/>
      </w:pPr>
      <w:r>
        <w:rPr/>
        <w:t>Zhoršený KPI, zrušený cíl nebo chybějící data mohou být reputačně nepohodlné. Pro rozhodování jsou však užitečnější než uhlazené tvrzení, které nelze ověřit. Transparentnost nevyřešeného problému je součástí kvality, nikoli její opak.</w:t>
      </w:r>
    </w:p>
    <w:p>
      <w:pPr>
        <w:pStyle w:val="Heading3"/>
        <w:keepNext w:val="true"/>
        <w:widowControl/>
        <w:ind w:hanging="0"/>
        <w:rPr/>
      </w:pPr>
      <w:bookmarkStart w:id="114" w:name="__RefHeading___Toc2232_2468698496"/>
      <w:bookmarkEnd w:id="114"/>
      <w:r>
        <w:rPr/>
        <w:t>5.10.6 Vymezit rozsah assurance</w:t>
      </w:r>
    </w:p>
    <w:p>
      <w:pPr>
        <w:pStyle w:val="Normal"/>
        <w:widowControl/>
        <w:spacing w:lineRule="auto" w:line="360"/>
        <w:ind w:firstLine="709"/>
        <w:jc w:val="both"/>
        <w:rPr/>
      </w:pPr>
      <w:r>
        <w:rPr/>
        <w:t>Podnik by měl uvést úroveň, předmět a hranice externího ujištění. Čtenář potřebuje poznat, zda byl ověřen konkrétní výpočet, soulad reportu se standardem nebo popis procesu. Obecná značka bez vysvětlení vytváří zbytečný halo efekt.</w:t>
      </w:r>
    </w:p>
    <w:p>
      <w:pPr>
        <w:pStyle w:val="Heading2"/>
        <w:keepNext w:val="true"/>
        <w:widowControl/>
        <w:ind w:hanging="0"/>
        <w:rPr/>
      </w:pPr>
      <w:bookmarkStart w:id="115" w:name="__RefHeading___Toc2234_2468698496"/>
      <w:bookmarkEnd w:id="115"/>
      <w:r>
        <w:rPr/>
        <w:t>5.11 Doporučení pro čtenáře, investory a hodnotitele</w:t>
      </w:r>
    </w:p>
    <w:p>
      <w:pPr>
        <w:pStyle w:val="Normal"/>
        <w:widowControl/>
        <w:spacing w:lineRule="auto" w:line="360"/>
        <w:ind w:firstLine="709"/>
        <w:jc w:val="both"/>
        <w:rPr/>
      </w:pPr>
      <w:r>
        <w:rPr/>
        <w:t>Délka dokumentu, počet KPI, rating ani assurance by neměly sloužit jako samostatná zkratka pro kvalitu. Vhodnější je postupovat od konkrétního tvrzení a položit několik jednoduchých otázek:</w:t>
      </w:r>
    </w:p>
    <w:p>
      <w:pPr>
        <w:pStyle w:val="Normal"/>
        <w:widowControl/>
        <w:spacing w:lineRule="auto" w:line="360" w:before="0" w:after="0"/>
        <w:ind w:hanging="255" w:start="425"/>
        <w:jc w:val="both"/>
        <w:rPr/>
      </w:pPr>
      <w:r>
        <w:rPr/>
        <w:t>1. Je znám zdroj a hranice informace?</w:t>
      </w:r>
    </w:p>
    <w:p>
      <w:pPr>
        <w:pStyle w:val="Normal"/>
        <w:widowControl/>
        <w:spacing w:lineRule="auto" w:line="360" w:before="0" w:after="0"/>
        <w:ind w:hanging="255" w:start="425"/>
        <w:jc w:val="both"/>
        <w:rPr/>
      </w:pPr>
      <w:r>
        <w:rPr/>
        <w:t>2. Jde o závazek, aktivitu, outcome nebo širší dopad?</w:t>
      </w:r>
    </w:p>
    <w:p>
      <w:pPr>
        <w:pStyle w:val="Normal"/>
        <w:widowControl/>
        <w:spacing w:lineRule="auto" w:line="360" w:before="0" w:after="0"/>
        <w:ind w:hanging="255" w:start="425"/>
        <w:jc w:val="both"/>
        <w:rPr/>
      </w:pPr>
      <w:r>
        <w:rPr/>
        <w:t>3. Má cíl výchozí hodnotu a termín?</w:t>
      </w:r>
    </w:p>
    <w:p>
      <w:pPr>
        <w:pStyle w:val="Normal"/>
        <w:widowControl/>
        <w:spacing w:lineRule="auto" w:line="360" w:before="0" w:after="0"/>
        <w:ind w:hanging="255" w:start="425"/>
        <w:jc w:val="both"/>
        <w:rPr/>
      </w:pPr>
      <w:r>
        <w:rPr/>
        <w:t>4. Kdo je vlastníkem a jak často se výsledek kontroluje?</w:t>
      </w:r>
    </w:p>
    <w:p>
      <w:pPr>
        <w:pStyle w:val="Normal"/>
        <w:widowControl/>
        <w:spacing w:lineRule="auto" w:line="360" w:before="0" w:after="0"/>
        <w:ind w:hanging="255" w:start="425"/>
        <w:jc w:val="both"/>
        <w:rPr/>
      </w:pPr>
      <w:r>
        <w:rPr/>
        <w:t>5. Ovlivňuje informace kapitál, riziko, produkt, dodavatele nebo odměnu?</w:t>
      </w:r>
    </w:p>
    <w:p>
      <w:pPr>
        <w:pStyle w:val="Normal"/>
        <w:widowControl/>
        <w:spacing w:lineRule="auto" w:line="360" w:before="0" w:after="0"/>
        <w:ind w:hanging="255" w:start="425"/>
        <w:jc w:val="both"/>
        <w:rPr/>
      </w:pPr>
      <w:r>
        <w:rPr/>
        <w:t>6. Uvádí dokument nepříznivý trend, změnu metodiky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Takový postup je pomalejší než převzetí souhrnného skóre, ale snižuje riziko, že formální znak bude zaměněn za substantivní výsledek. Lze jej použít i mimo čtyři analyzované podniky.</w:t>
      </w:r>
    </w:p>
    <w:p>
      <w:pPr>
        <w:pStyle w:val="Heading2"/>
        <w:keepNext w:val="true"/>
        <w:widowControl/>
        <w:ind w:hanging="0"/>
        <w:rPr/>
      </w:pPr>
      <w:bookmarkStart w:id="116" w:name="__RefHeading___Toc2236_2468698496"/>
      <w:bookmarkEnd w:id="116"/>
      <w:r>
        <w:rPr/>
        <w:t>5.12 Doporučení pro další výzkum</w:t>
      </w:r>
    </w:p>
    <w:p>
      <w:pPr>
        <w:pStyle w:val="Normal"/>
        <w:widowControl/>
        <w:spacing w:lineRule="auto" w:line="360"/>
        <w:ind w:firstLine="709"/>
        <w:jc w:val="both"/>
        <w:rPr/>
      </w:pPr>
      <w:r>
        <w:rPr/>
        <w:t>První logický krok představuje triangulace. Rozhovory s odpovědnými pracovníky by mohly ukázat, zda zveřejněné výbory, cíle a metriky skutečně vstupují do rozhodování. Perspektiva odborů, dodavatelů, zákazníků a komunit by zároveň rozšířila korpus za oficiální hlas organizace.</w:t>
      </w:r>
    </w:p>
    <w:p>
      <w:pPr>
        <w:pStyle w:val="Normal"/>
        <w:widowControl/>
        <w:spacing w:lineRule="auto" w:line="360"/>
        <w:ind w:firstLine="709"/>
        <w:jc w:val="both"/>
        <w:rPr/>
      </w:pPr>
      <w:r>
        <w:rPr/>
        <w:t>Druhým směrem je longitudinální srovnání. Reporty za roky 2024, 2026 a další období mohou ukázat, které procesy přetrvaly po regulatorních změnách, které cíle byly resetovány a zda rozhodovací vazby E3 vedly ke stabilnějším outcomes.</w:t>
      </w:r>
    </w:p>
    <w:p>
      <w:pPr>
        <w:pStyle w:val="Normal"/>
        <w:widowControl/>
        <w:spacing w:lineRule="auto" w:line="360"/>
        <w:ind w:firstLine="709"/>
        <w:jc w:val="both"/>
        <w:rPr/>
      </w:pPr>
      <w:r>
        <w:rPr/>
        <w:t>Třetí možností je rozšířit výzkum na malé a střední podniky. Současný korpus představuje reportovací elitu. U menších organizací mohou existovat významné provozní praktiky bez rozsáhlé formalizace a veřejného reportu. Takové srovnání by prověřilo, nakolik škála E0–E4 zvýhodňuje dokumentovanost.</w:t>
      </w:r>
    </w:p>
    <w:p>
      <w:pPr>
        <w:pStyle w:val="Normal"/>
        <w:widowControl/>
        <w:spacing w:lineRule="auto" w:line="360"/>
        <w:ind w:firstLine="709"/>
        <w:jc w:val="both"/>
        <w:rPr/>
      </w:pPr>
      <w:r>
        <w:rPr/>
        <w:t>Čtvrtým směrem je samotná validace škály. Více kodérů by mohlo nezávisle klasifikovat stejná tvrzení, diskutovat hraniční případy a porovnat výsledky s ratingy, assurance, interními investičními procesy a pozdějším vývojem metrik.</w:t>
      </w:r>
    </w:p>
    <w:p>
      <w:pPr>
        <w:pStyle w:val="Heading2"/>
        <w:keepNext w:val="true"/>
        <w:widowControl/>
        <w:ind w:hanging="0"/>
        <w:rPr/>
      </w:pPr>
      <w:bookmarkStart w:id="117" w:name="__RefHeading___Toc2238_2468698496"/>
      <w:bookmarkEnd w:id="117"/>
      <w:r>
        <w:rPr/>
        <w:t>5.13 Limity interpretace výsledků</w:t>
      </w:r>
    </w:p>
    <w:p>
      <w:pPr>
        <w:pStyle w:val="Normal"/>
        <w:widowControl/>
        <w:spacing w:lineRule="auto" w:line="360"/>
        <w:ind w:firstLine="709"/>
        <w:jc w:val="both"/>
        <w:rPr/>
      </w:pPr>
      <w:r>
        <w:rPr/>
        <w:t>Závěry se vztahují k veřejně vykazované implementaci. Neumožňují určit skutečný stav každého závodu, úvěrového rozhodnutí, dodavatelského vztahu nebo sociálního programu. Dokument může interní praxi zvýraznit i podhodnotit.</w:t>
      </w:r>
    </w:p>
    <w:p>
      <w:pPr>
        <w:pStyle w:val="Normal"/>
        <w:widowControl/>
        <w:spacing w:lineRule="auto" w:line="360"/>
        <w:ind w:firstLine="709"/>
        <w:jc w:val="both"/>
        <w:rPr/>
      </w:pPr>
      <w:r>
        <w:rPr/>
        <w:t>Čtyři případy byly vybrány kvůli kontrastu, nikoli reprezentativnosti. Typologie proto není klasifikací českých podniků jako celku a její podoba je ovlivněna vysokou reportovací kapacitou velkých organizací.</w:t>
      </w:r>
    </w:p>
    <w:p>
      <w:pPr>
        <w:pStyle w:val="Normal"/>
        <w:widowControl/>
        <w:spacing w:lineRule="auto" w:line="360"/>
        <w:ind w:firstLine="709"/>
        <w:jc w:val="both"/>
        <w:rPr/>
      </w:pPr>
      <w:r>
        <w:rPr/>
        <w:t>Zdroje mají odlišný formát. ČEZ používá rozsáhlou integrovanou zprávu, MONETA samostatný čtenářský report propojený s povinným zveřejněním, O2 GRI-oriented report v přechodu a Škoda Auto kombinaci online rozhraní a úplného reportu. Rozdíl v množství nalezeného counter-evidence tak může částečně souviset s médiem a redakčním výběrem.</w:t>
      </w:r>
    </w:p>
    <w:p>
      <w:pPr>
        <w:pStyle w:val="Normal"/>
        <w:widowControl/>
        <w:spacing w:lineRule="auto" w:line="360"/>
        <w:ind w:firstLine="709"/>
        <w:jc w:val="both"/>
        <w:rPr/>
      </w:pPr>
      <w:r>
        <w:rPr/>
        <w:t>Kódování provedl jeden analytik. Přesné lokátory, auditní stopa a kontrolní překódování zvyšují transparentnost, ale nenahrazují několik nezávislých perspektiv.</w:t>
      </w:r>
    </w:p>
    <w:p>
      <w:pPr>
        <w:pStyle w:val="Normal"/>
        <w:widowControl/>
        <w:spacing w:lineRule="auto" w:line="360"/>
        <w:ind w:firstLine="709"/>
        <w:jc w:val="both"/>
        <w:rPr/>
      </w:pPr>
      <w:r>
        <w:rPr/>
        <w:t>Rok 2024 je historickým řezem v rychle se měnícím regulatorním prostředí. Pozdější zprávy mohou mít jinou strukturu, právní základ i cíle. Výsledky proto nejsou aktuálním ratingem analyzovaných organizací k libovolnému pozdějšímu datu.</w:t>
      </w:r>
    </w:p>
    <w:p>
      <w:pPr>
        <w:pStyle w:val="Heading2"/>
        <w:keepNext w:val="true"/>
        <w:widowControl/>
        <w:ind w:hanging="0"/>
        <w:rPr/>
      </w:pPr>
      <w:bookmarkStart w:id="118" w:name="__RefHeading___Toc2240_2468698496"/>
      <w:bookmarkEnd w:id="118"/>
      <w:r>
        <w:rPr/>
        <w:t>5.14 Shrnutí diskuse</w:t>
      </w:r>
    </w:p>
    <w:p>
      <w:pPr>
        <w:pStyle w:val="Normal"/>
        <w:widowControl/>
        <w:spacing w:lineRule="auto" w:line="360"/>
        <w:ind w:firstLine="709"/>
        <w:jc w:val="both"/>
        <w:rPr/>
      </w:pPr>
      <w:r>
        <w:rPr/>
        <w:t>Veřejný ESG report může být hodnotným zdrojem, pokud je čten jako soubor tvrzení s různou evidenční silou, nikoli jako automatický audit reality. Standardizace usnadňuje srovnání, ale manažerskou integraci odlišuje až zveřejněná vazba na rozhodnutí. Materialita získává organizační význam tehdy, když přechází od seznamu témat k odpovědnosti a alokaci zdrojů. Governance je přesvědčivější s pravidelnou kadencí a možností korekce. Metriky je nutné rozdělit na aktivitu, outcome a dopad a assurance vždy číst v jeho skutečném rozsahu.</w:t>
      </w:r>
    </w:p>
    <w:p>
      <w:pPr>
        <w:pStyle w:val="Normal"/>
        <w:widowControl/>
        <w:spacing w:lineRule="auto" w:line="360"/>
        <w:ind w:firstLine="709"/>
        <w:jc w:val="both"/>
        <w:rPr/>
      </w:pPr>
      <w:r>
        <w:rPr/>
        <w:t>Nejdůležitější metodický posun spočívá v jednotce hodnocení. Místo jednoho ESG skóre pro celou firmu je přesnější zkoumat, co dokládá konkrétní tvrzení, jakou má hranici a jaký organizační důsledek může mít. Takový přístup nevytváří rychlý žebříček. Nabízí však lépe obhajitelnou odpověď na otázku, co lze z veřejného reportu tvrdit a co musí zůstat otevřené.</w:t>
      </w:r>
    </w:p>
    <w:p>
      <w:pPr>
        <w:pStyle w:val="Normal"/>
        <w:rPr/>
      </w:pPr>
      <w:r>
        <w:rPr/>
      </w:r>
      <w:r>
        <w:br w:type="page"/>
      </w:r>
    </w:p>
    <w:p>
      <w:pPr>
        <w:pStyle w:val="Heading1"/>
        <w:keepNext w:val="true"/>
        <w:widowControl/>
        <w:spacing w:before="0" w:after="180"/>
        <w:ind w:hanging="0"/>
        <w:rPr/>
      </w:pPr>
      <w:bookmarkStart w:id="119" w:name="__RefHeading___Toc2242_2468698496"/>
      <w:bookmarkEnd w:id="119"/>
      <w:r>
        <w:rPr/>
        <w:t>Závěr</w:t>
      </w:r>
    </w:p>
    <w:p>
      <w:pPr>
        <w:pStyle w:val="Normal"/>
        <w:widowControl/>
        <w:spacing w:lineRule="auto" w:line="360"/>
        <w:ind w:firstLine="709"/>
        <w:jc w:val="both"/>
        <w:rPr/>
      </w:pPr>
      <w:r>
        <w:rPr/>
        <w:t>Tato práce se zabývala tím, co lze z veřejného ESG reportu skutečně zjistit o implementaci udržitelnostních témat uvnitř podniku. Empirickým základem byly oficiální dokumenty ČEZ Group, MONETA Money Bank, O2 Czech Republic a Škoda Auto za rok 2024. Z nich vznikl soubor 45 klíčových segmentů, u nichž byl zaznamenán přesný lokátor, tematické kódy, evidenční třída a hranice interpretace.</w:t>
      </w:r>
    </w:p>
    <w:p>
      <w:pPr>
        <w:pStyle w:val="Normal"/>
        <w:widowControl/>
        <w:spacing w:lineRule="auto" w:line="360"/>
        <w:ind w:firstLine="709"/>
        <w:jc w:val="both"/>
        <w:rPr/>
      </w:pPr>
      <w:r>
        <w:rPr/>
        <w:t xml:space="preserve">Hlavní výzkumná otázka hledala znak, který odlišuje deklaraci, formalizaci a manažerskou integraci. Nejvýraznějším výsledkem je, že tuto hranici nelze určit podle délky reportu, počtu cílů ani existence specializovaného výboru. Rozhodující je </w:t>
      </w:r>
      <w:r>
        <w:rPr>
          <w:b/>
        </w:rPr>
        <w:t>vazba zveřejněné informace na konkrétní manažerské rozhodnutí</w:t>
      </w:r>
      <w:r>
        <w:rPr/>
        <w:t>.</w:t>
      </w:r>
    </w:p>
    <w:p>
      <w:pPr>
        <w:pStyle w:val="Normal"/>
        <w:widowControl/>
        <w:spacing w:lineRule="auto" w:line="360"/>
        <w:ind w:firstLine="709"/>
        <w:jc w:val="both"/>
        <w:rPr/>
      </w:pPr>
      <w:r>
        <w:rPr/>
        <w:t>Deklarace pojmenovává prioritu nebo závazek. Formalizace přidává vlastníka, proces, cíl, metriku a pravidelnou kontrolu. O manažerské integraci je možné mluvit tehdy, když se informace může promítnout do investičního plánu, řízení rizik, konstrukce produktu, výběru dodavatele, odměňování nebo provozního pravidla. Ani takový mechanismus ještě neprokazuje, že je rozhodnutí dostatečně ambiciózní nebo že povede k očekávanému dopadu. Ukazuje však, že téma překročilo hranici samotného zveřejnění.</w:t>
      </w:r>
    </w:p>
    <w:p>
      <w:pPr>
        <w:pStyle w:val="Normal"/>
        <w:widowControl/>
        <w:spacing w:lineRule="auto" w:line="360"/>
        <w:ind w:firstLine="709"/>
        <w:jc w:val="both"/>
        <w:rPr/>
      </w:pPr>
      <w:r>
        <w:rPr/>
        <w:t>V jednotlivých sektorech měla tato vazba rozdílnou podobu. U ČEZ byl nejsilnějším dokladem vztah mezi přechodovým plánem a dlouhodobou alokací kapitálu. MONETA propojovala ESG s governance, variabilní odměnou a budováním metodiky financovaného portfolia. U O2 se nejzřetelnější rozhodovací vazba objevila v obnově a energetické účinnosti digitální infrastruktury, zatímco cílový a governance systém procházel po restrukturalizaci přestavbou. Škoda Auto spojovala udržitelnost s životním cyklem produktu, výrobním řízením, kapitálovými výdaji a hodnocením dodavatelů.</w:t>
      </w:r>
    </w:p>
    <w:p>
      <w:pPr>
        <w:pStyle w:val="Normal"/>
        <w:widowControl/>
        <w:spacing w:lineRule="auto" w:line="360"/>
        <w:ind w:firstLine="709"/>
        <w:jc w:val="both"/>
        <w:rPr/>
      </w:pPr>
      <w:r>
        <w:rPr/>
        <w:t>První dílčí otázka se týkala materiality a podnikatelského modelu. Ve všech čtyřech případech byla alespoň část materiálních témat propojena s hlavní ekonomickou činností. Samotný seznam témat však poskytoval slabší informaci než popis toho, kdo za prioritu odpovídá, jak ji měří a zda se podle ní rozdělují zdroje. Materialita proto může fungovat ve dvou velmi odlišných rolích: jako filtr pro obsah reportu, nebo jako skutečný alokační mechanismus.</w:t>
      </w:r>
    </w:p>
    <w:p>
      <w:pPr>
        <w:pStyle w:val="Normal"/>
        <w:widowControl/>
        <w:spacing w:lineRule="auto" w:line="360"/>
        <w:ind w:firstLine="709"/>
        <w:jc w:val="both"/>
        <w:rPr/>
      </w:pPr>
      <w:r>
        <w:rPr/>
        <w:t>Druhá otázka sledovala governance. Všechny podniky zveřejňovaly dohled vrcholového orgánu a specializované koordinační struktury. Ukázalo se však, že pouhý název výboru je slabým důkazem. Přesvědčivější je informace o složení, mandátu, pravidelné kadenci, kontrolovaných ukazatelích a možnosti zahájit korekci. Ještě silnější je vazba na odměnu, rizikový limit nebo rozpočet. Veřejné zprávy jen zřídka uvádějí konkrétní případ změněného či zamítnutého rozhodnutí, a proto zpravidla dokládají governance kapacitu, nikoli její plnou účinnost.</w:t>
      </w:r>
    </w:p>
    <w:p>
      <w:pPr>
        <w:pStyle w:val="Normal"/>
        <w:widowControl/>
        <w:spacing w:lineRule="auto" w:line="360"/>
        <w:ind w:firstLine="709"/>
        <w:jc w:val="both"/>
        <w:rPr/>
      </w:pPr>
      <w:r>
        <w:rPr/>
        <w:t>Třetí otázka se zaměřila přímo na rozhodovací vazby. Ty byly nalezeny ve všech případech, ale pokaždé v jiné části podnikatelského modelu. Společným principem nebyla určitá environmentální či sociální metrika, nýbrž možnost organizačního důsledku. Tato skutečnost je důvodem, proč srovnání nemůže stát na prostém počtu cílů nebo aktivit.</w:t>
      </w:r>
    </w:p>
    <w:p>
      <w:pPr>
        <w:pStyle w:val="Normal"/>
        <w:widowControl/>
        <w:spacing w:lineRule="auto" w:line="360"/>
        <w:ind w:firstLine="709"/>
        <w:jc w:val="both"/>
        <w:rPr/>
      </w:pPr>
      <w:r>
        <w:rPr/>
        <w:t>Čtvrtá otázka zkoumala sílu cílů a ukazatelů. V korpusu převažovaly formalizované procesy a řízené výsledky třídy E2. Výstupové metriky E1 dokázaly přesně zachytit rozsah aktivity, například počet účastníků nebo zapojených dodavatelů, ne však změnu stavu či chování. E3 označovala přímou vazbu na rozhodování. E4 byla použita jen u jednoho přesně vymezeného výsledku se silnou externí podporou. Žádný analyzovaný dokument neposkytoval obecný nezávislý důkaz kauzálního dopadu celé ESG strategie.</w:t>
      </w:r>
    </w:p>
    <w:p>
      <w:pPr>
        <w:pStyle w:val="Normal"/>
        <w:widowControl/>
        <w:spacing w:lineRule="auto" w:line="360"/>
        <w:ind w:firstLine="709"/>
        <w:jc w:val="both"/>
        <w:rPr/>
      </w:pPr>
      <w:r>
        <w:rPr/>
        <w:t>Významným zjištěním je proto rozdíl mezi přesností měření a silou závěru. Číslo může být metodicky správné a přesto vypovídat pouze o aktivitě. Intenzitní ukazatel může zachytit provozní zlepšení a současně neříkat nic jednoznačného o absolutním dopadu. Externě ověřený výpočet může být velmi důvěryhodný, ale stále nemusí dokazovat splnění výsledkového cíle. Tato rozlišení jsou pro kritické čtení reportů důležitější než samotné množství zveřejněných dat.</w:t>
      </w:r>
    </w:p>
    <w:p>
      <w:pPr>
        <w:pStyle w:val="Normal"/>
        <w:widowControl/>
        <w:spacing w:lineRule="auto" w:line="360"/>
        <w:ind w:firstLine="709"/>
        <w:jc w:val="both"/>
        <w:rPr/>
      </w:pPr>
      <w:r>
        <w:rPr/>
        <w:t>Pátá otázka sledovala negativní informace, trade-offy a nejistoty. Analýza ukázala, že zhoršený KPI, restatement, změna hranice, chybějící cíl nebo přiznaný pokračující negativní dopad mohou informační hodnotu reportu zvýšit. Neznamenají lepší výkonnost. Umožňují však odlišit situaci, kdy systém problém zachytí a vysvětlí, od situace, kdy výsledek nelze posoudit, protože chybí měření nebo srovnatelná hranice. Vyváženost proto není pouze stylistickou vlastností zprávy, ale podmínkou její rozhodovací užitečnosti.</w:t>
      </w:r>
    </w:p>
    <w:p>
      <w:pPr>
        <w:pStyle w:val="Normal"/>
        <w:widowControl/>
        <w:spacing w:lineRule="auto" w:line="360"/>
        <w:ind w:firstLine="709"/>
        <w:jc w:val="both"/>
        <w:rPr/>
      </w:pPr>
      <w:r>
        <w:rPr/>
        <w:t>Šestá otázka se týkala sektorových rozdílů. Výsledky nepotvrdily, že by bylo smysluplné hodnotit energetiku, banku, telekomunikační společnost a automobilku jedním univerzálním souborem ukazatelů. Jejich dopady vznikají v různých částech hodnotového řetězce a do řízení vstupují odlišnými cestami. Srovnatelnost lze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dvou jevů, které mohou na první pohled působit protikladně. CSRD a ESRS vytvářejí společnou informační architekturu, takže reporty jsou strukturálně podobnější a lépe se v nich orientuje. Institucionální podobnost však sama nezaručuje stejnou hloubku implementace. Teorie legitimity současně pomáhá chápat report jako strategické veřejné jednání, aniž by z toho automaticky vyplývala nepravdivost zveřejněných tvrzení. Materialita a organizační perspektiva pak posouvají pozornost k tomu, zda vybrané téma získalo vlastníka, zdroje a rozhodovací důsledek.</w:t>
      </w:r>
    </w:p>
    <w:p>
      <w:pPr>
        <w:pStyle w:val="Normal"/>
        <w:widowControl/>
        <w:spacing w:lineRule="auto" w:line="360"/>
        <w:ind w:firstLine="709"/>
        <w:jc w:val="both"/>
        <w:rPr/>
      </w:pPr>
      <w:r>
        <w:rPr/>
        <w:t>Metodickým přínosem je škála E0–E4. Nevznikla jako další ESG rating. Jejím účelem je držet hodnocení na úrovni konkrétního tvrzení a rozlišit deklaraci, aktivitu, formalizovaný proces nebo řízený výsledek, rozhodovací vazbu a externě podpořený výsledek. Škála současně odděluje dvě vlastnosti, které se často směšují: manažerskou integraci a assurance. Externí ujištění může zvýšit spolehlivost metriky, aniž dokazuje, že téma vstupuje do rozhodování. Naopak silná rozhodovací vazba může být zveřejněna i bez samostatného ověření konkrétního mechanismu.</w:t>
      </w:r>
    </w:p>
    <w:p>
      <w:pPr>
        <w:pStyle w:val="Normal"/>
        <w:widowControl/>
        <w:spacing w:lineRule="auto" w:line="360"/>
        <w:ind w:firstLine="709"/>
        <w:jc w:val="both"/>
        <w:rPr/>
      </w:pPr>
      <w:r>
        <w:rPr/>
        <w:t>Pro praxi z práce vyplývá jednoduchý způsob čtení. U každého významného tvrzení je vhodné hledat jeho hranici a zdroj, výchozí stav a termín cíle, vlastníka a kontrolní kadenci, postup při neplnění a vazbu na kapitál, riziko, produkt, nákup, odměnu nebo provoz. Stejně důležité je zjistit, zda report uvádí nepříznivý trend a co přesně bylo externě ověřeno. Délka dokumentu, rating ani počet KPI tyto otázky nenahrazují.</w:t>
      </w:r>
    </w:p>
    <w:p>
      <w:pPr>
        <w:pStyle w:val="Normal"/>
        <w:widowControl/>
        <w:spacing w:lineRule="auto" w:line="360"/>
        <w:ind w:firstLine="709"/>
        <w:jc w:val="both"/>
        <w:rPr/>
      </w:pPr>
      <w:r>
        <w:rPr/>
        <w:t>Závěry mají několik omezení. Korpus tvoří pouze čtyři velké organizace s vysokou reportovací kapacitou a jeden historický časový řez. Zdrojem je oficiální sebeprezentace podniku. Výzkum nepracuje s interními zápisy, smlouvami, investičními modely ani se zkušeností zaměstnanců, dodavatelů a komunit. Absence informace proto neprokazuje absenci praxe a zveřejněná rozhodovací vazba není nezávislým potvrzením každého jednotlivého rozhodnutí.</w:t>
      </w:r>
    </w:p>
    <w:p>
      <w:pPr>
        <w:pStyle w:val="Normal"/>
        <w:widowControl/>
        <w:spacing w:lineRule="auto" w:line="360"/>
        <w:ind w:firstLine="709"/>
        <w:jc w:val="both"/>
        <w:rPr/>
      </w:pPr>
      <w:r>
        <w:rPr/>
        <w:t>Další výzkum by měl propojit dokumentovou analýzu s rozhovory a interními doklady, rozšířit korpus o menší podniky a sledovat vývoj v čase. Zvlášť užitečné by bylo porovnat, které procesy zavedené v období nástupu CSRD přetrvají po změnách regulatorního rámce. Takové srovnání může ukázat, zda reportingová infrastruktura získala trvalou provozní funkci, nebo zůstala závislá na rozsahu právní povinnosti.</w:t>
      </w:r>
    </w:p>
    <w:p>
      <w:pPr>
        <w:pStyle w:val="Normal"/>
        <w:widowControl/>
        <w:spacing w:lineRule="auto" w:line="360"/>
        <w:ind w:firstLine="709"/>
        <w:jc w:val="both"/>
        <w:rPr/>
      </w:pPr>
      <w:r>
        <w:rPr/>
        <w:t xml:space="preserve">Celkový závěr je možné formulovat stručně: </w:t>
      </w:r>
      <w:r>
        <w:rPr>
          <w:b/>
        </w:rPr>
        <w:t>veřejný ESG report je hodnotným, ale omezeným důkazním zdrojem. Nejdůležitější není množství zveřejněných informací, nýbrž možnost dohledat cestu od materiálního tématu přes odpovědnost a metriku ke konkrétnímu rozhodnutí — a zároveň vidět hranice, neúspěchy a to, co dokument zatím prokázat nedokáže.</w:t>
      </w:r>
    </w:p>
    <w:p>
      <w:pPr>
        <w:pStyle w:val="Normal"/>
        <w:rPr/>
      </w:pPr>
      <w:r>
        <w:rPr/>
      </w:r>
      <w:r>
        <w:br w:type="page"/>
      </w:r>
    </w:p>
    <w:p>
      <w:pPr>
        <w:pStyle w:val="Heading1"/>
        <w:keepNext w:val="true"/>
        <w:widowControl/>
        <w:spacing w:before="0" w:after="180"/>
        <w:ind w:hanging="0"/>
        <w:rPr/>
      </w:pPr>
      <w:bookmarkStart w:id="120" w:name="__RefHeading___Toc2244_2468698496"/>
      <w:bookmarkEnd w:id="120"/>
      <w:r>
        <w:rPr/>
        <w:t>Seznam použitých zdrojů</w:t>
      </w:r>
    </w:p>
    <w:p>
      <w:pPr>
        <w:pStyle w:val="Heading2"/>
        <w:keepNext w:val="true"/>
        <w:widowControl/>
        <w:ind w:hanging="0"/>
        <w:rPr/>
      </w:pPr>
      <w:bookmarkStart w:id="121" w:name="__RefHeading___Toc2246_2468698496"/>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248_2468698496"/>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250_2468698496"/>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ESG-DP-2026-REVIEW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69</Pages>
  <Words>19989</Words>
  <Characters>126123</Characters>
  <CharactersWithSpaces>145272</CharactersWithSpaces>
  <Paragraphs>789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2026-09-01T23:12:21Z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