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Odtajnění produkčního procesu</w:t>
      </w:r>
    </w:p>
    <w:p>
      <w:pPr>
        <w:pStyle w:val="BlockQuote"/>
        <w:rPr/>
      </w:pPr>
      <w:r>
        <w:rPr/>
        <w:t>Tento dokument předat hodnotiteli až po uzavření známky, doporučení k obhajobě a původního odhadu způsobu vzniku.</w:t>
      </w:r>
    </w:p>
    <w:p>
      <w:pPr>
        <w:pStyle w:val="Heading2"/>
        <w:keepNext w:val="true"/>
        <w:widowControl/>
        <w:ind w:hanging="0"/>
        <w:rPr/>
      </w:pPr>
      <w:r>
        <w:rPr/>
        <w:t>Co bylo testováno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Experiment ověřuje, zda workflow založené převážně na současném velkém jazykovém modelu dokáže pod lidským zadáním vytvořit kompletní a odborně hodnotitelný rukopis diplomové práce, který: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vymezuje výzkumný problém a otázky;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pracuje s dohledatelnou akademickou a regulatorní literaturou;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používá skutečný, veřejně ověřitelný empirický korpus;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provádí transparentní kvalitativní analýzu;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odděluje firemní tvrzení, metriku, interpretaci a omezení;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vytváří výsledky, diskusi a závěr;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umožňuje kontrolovat hlavní tvrzení proti evidenčnímu základu;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po úplné redakci působí jako soudržný akademický text, nikoli jako soubor izolovaných modelových výstupů.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Nešlo o pokus získat akademický titul nebo vydávat rukopis za práci konkrétního studenta. Dokument nebyl vložen do STAG, neobsahuje falešné čestné prohlášení a na titulní straně je označen jako experimentální artefakt pro odborné hodnocení.</w:t>
      </w:r>
    </w:p>
    <w:p>
      <w:pPr>
        <w:pStyle w:val="Heading2"/>
        <w:keepNext w:val="true"/>
        <w:widowControl/>
        <w:ind w:hanging="0"/>
        <w:rPr/>
      </w:pPr>
      <w:r>
        <w:rPr/>
        <w:t>Způsob vzniku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 xml:space="preserve">Hlavní produkční práci provedl model </w:t>
      </w:r>
      <w:r>
        <w:rPr>
          <w:b/>
        </w:rPr>
        <w:t>GPT-5.6 Pro</w:t>
      </w:r>
      <w:r>
        <w:rPr/>
        <w:t xml:space="preserve"> v rozhraní ChatGPT během 1. a 2. září 2026. Model se podílel na: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zpřesnění výzkumného problému;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změně výzkumného designu;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rešerši a registraci zdrojů;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konstrukci dokumentového korpusu;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návrhu kódovacího rámce;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klasifikaci a syntéze důkazních segmentů;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formulaci kapitol;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tvorbě kontrolních a auditních souborů;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programování validačního a sazebního workflow;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závěrečné autorské a jazykové redakci celého rukopisu.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Lidský iniciátor experimentu: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určil praktický cíl testu;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poskytl původní projekt a průběžnou zpětnou vazbu;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rozhodl, že práce bude posuzována nezávislými vedoucími závěrečných prací;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odmítl použití fingovaných rozhovorů jako empirických dat;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porovnal styl prvního úplného sestavení s reálnou diplomovou prací;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provedl orientační test vybraného úryvku v několika automatických detektorech;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schválil závěrečnou redakci a zajistil hodnotitele.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 xml:space="preserve">Model pracoval s repozitářem prostřednictvím GitHub konektoru a s veřejnými zdroji prostřednictvím webového vyhledávání. Pracovní historie je zachována v systému verzování, zatímco hodnotitelé dostali pouze jeden kanonický rukopis </w:t>
      </w:r>
      <w:r>
        <w:rPr>
          <w:rFonts w:ascii="Liberation Mono" w:hAnsi="Liberation Mono"/>
          <w:sz w:val="20"/>
        </w:rPr>
        <w:t>ESG-DP-2026-REVIEW</w:t>
      </w:r>
      <w:r>
        <w:rPr/>
        <w:t>.</w:t>
      </w:r>
    </w:p>
    <w:p>
      <w:pPr>
        <w:pStyle w:val="Heading2"/>
        <w:keepNext w:val="true"/>
        <w:widowControl/>
        <w:ind w:hanging="0"/>
        <w:rPr/>
      </w:pPr>
      <w:r>
        <w:rPr/>
        <w:t>Změna proti původnímu návrhu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Výchozí demonstrační projekt počítal s rozhovorovým výzkumem a obsahoval výrazně označený syntetický pilot. Takový materiál nebyl použit jako empirický výsledek. Design byl změněn na komparativní analýzu veřejných firemních dokumentů za rok 2024, čímž vznikl reálný a znovu dohledatelný korpus bez fingovaného sběru dat.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Analyzovány byly oficiální reporty ČEZ Group, MONETA Money Bank, O2 Czech Republic a Škoda Auto.</w:t>
      </w:r>
    </w:p>
    <w:p>
      <w:pPr>
        <w:pStyle w:val="Heading2"/>
        <w:keepNext w:val="true"/>
        <w:widowControl/>
        <w:ind w:hanging="0"/>
        <w:rPr/>
      </w:pPr>
      <w:r>
        <w:rPr/>
        <w:t>Závěrečná redakce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První úplné sestavení bylo obsahově soudržné, ale vykazovalo příliš pravidelný rytmus, opakované argumentační šablony a málo viditelných autorských voleb. Tento problém byl patrný při lidském čtení a projevil se také v orientačním testu automatických detektorů.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Proto byly všechny narativní kapitoly znovu vystavěny po významových blocích. Nešlo o synonymický spinner ani o mechanické nahrazování slov. Před redakcí byly uzamčeny: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výzkumné otázky;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nosná tvrzení a jejich síla;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citace a zdrojové kotvy;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číselné údaje a lokátory;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význam evidenčních tříd;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hranice assurance a dokumentového designu.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Redakce změnila kompozici odstavců, rytmus, přechody a způsob vysvětlení autorských rozhodnutí. Nebyly přidávány pravopisné chyby, neviditelné znaky, překlady tam a zpět ani jiné technické prostředky. Výsledek detektorů nebyl použit jako akademické kritérium a jeden z testovaných nástrojů nadále označoval pilotní úryvek jako pravděpodobně generovaný.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Po redakci byly kapitoly znovu kontrolovány proti zdrojům, datům a claim-evidence ledgeru. Hodnoticí balíček neobsahoval pracovní meziverze ani jejich označení.</w:t>
      </w:r>
    </w:p>
    <w:p>
      <w:pPr>
        <w:pStyle w:val="Heading2"/>
        <w:keepNext w:val="true"/>
        <w:widowControl/>
        <w:ind w:hanging="0"/>
        <w:rPr/>
      </w:pPr>
      <w:r>
        <w:rPr/>
        <w:t>Zdrojová a analytická kontrola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Korpus obsahuje 45 klíčových segmentů. U každého je uloženo: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ID případu a dokumentu;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přesný lokátor;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neutrální parafráze;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tematické kódy;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evidenční třída E0–E4;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status tvrzení;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zamýšlené analytické použití;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omezení nebo alternativní výklad.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 xml:space="preserve">Hlavní tvrzení rukopisu jsou napojena na </w:t>
      </w:r>
      <w:r>
        <w:rPr>
          <w:rFonts w:ascii="Liberation Mono" w:hAnsi="Liberation Mono"/>
          <w:sz w:val="20"/>
        </w:rPr>
        <w:t>audit/claim-evidence-ledger.csv</w:t>
      </w:r>
      <w:r>
        <w:rPr/>
        <w:t>. Všech devět položek E3/E4 prošlo samostatnou kontrolou originálního lokátoru a hranice tvrzení. Přibližně desetiprocentní kontrolní vzorek byl znovu klasifikován bez původního hodnocení; jedna položka byla snížena z E3 na E2, protože omezené ujištění nad celou zprávou samo nepředstavovalo rozhodovací vazbu.</w:t>
      </w:r>
    </w:p>
    <w:p>
      <w:pPr>
        <w:pStyle w:val="Heading2"/>
        <w:keepNext w:val="true"/>
        <w:widowControl/>
        <w:ind w:hanging="0"/>
        <w:rPr/>
      </w:pPr>
      <w:r>
        <w:rPr/>
        <w:t>Co kontrola zahrnovala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ověření DOI a bibliografických metadat;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práci s oficiálními firemními dokumenty;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práci s primárními právními prameny EUR-Lex a českou legislativou;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přesné stránkové nebo sekční lokátory;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negativní případy a proti-důkazy;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oddělení output, outcome a impact claimu;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oddělení assurance od hloubky manažerské integrace;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kontrolní překódování a druhou kontrolu nejsilnějších položek;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technickou kontrolu struktury, tabulek a exportu;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úplnou redakci narativních kapitol se zachováním evidenčního základu.</w:t>
      </w:r>
    </w:p>
    <w:p>
      <w:pPr>
        <w:pStyle w:val="Heading2"/>
        <w:keepNext w:val="true"/>
        <w:widowControl/>
        <w:ind w:hanging="0"/>
        <w:rPr/>
      </w:pPr>
      <w:r>
        <w:rPr/>
        <w:t>Co kontrola nezahrnovala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přečtení všech citovaných akademických článků druhým lidským odborníkem v plném textu;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nezávislé opakování kódování druhým lidským analytikem;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rozhovory se zaměstnanci, managementem, dodavateli nebo komunitami;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ověření interních investičních dokumentů a skutečné provozní praxe;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skutečnou ústní obhajobu autorem-studentem;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posouzení oficiální komisí nebo podání do studijního systému.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Experiment tedy dokládá schopnost vytvořit auditovatelný akademický artefakt. Neprokazuje nezávisle pravdivost všech firemních tvrzení ani schopnost konkrétního studenta práci obhájit.</w:t>
      </w:r>
    </w:p>
    <w:p>
      <w:pPr>
        <w:pStyle w:val="Heading2"/>
        <w:keepNext w:val="true"/>
        <w:widowControl/>
        <w:ind w:hanging="0"/>
        <w:rPr/>
      </w:pPr>
      <w:r>
        <w:rPr/>
        <w:t>Jak číst výsledek posudku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Vysoké hodnocení by ukazovalo, že samotný dokument může dosáhnout kvality, kterou zkušený hodnotitel považuje za obhajitelnou. Neznamenalo by, že je přijatelné nahradit studentskou práci modelem nebo zatajit jeho použití.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Nízké hodnocení je vhodné rozdělit podle konkrétních příčin: nedostatek teorie, nevhodný design, malý či selektivní korpus, slabá analýza, chyby ve zdrojích, nepřiměřené závěry, stylistické problémy nebo absence možnosti ověřit porozumění při obhajobě.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Největší vzdělávací hodnotu má přesný popis toho, které části obstály a které selhaly bez ohledu na produkční původ textu.</w:t>
      </w:r>
    </w:p>
    <w:p>
      <w:pPr>
        <w:pStyle w:val="Heading2"/>
        <w:keepNext w:val="true"/>
        <w:widowControl/>
        <w:ind w:hanging="0"/>
        <w:rPr/>
      </w:pPr>
      <w:r>
        <w:rPr/>
        <w:t>Otázky pro reflexi hodnotitele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1. Které části posudku by byly stejné, kdyby text napsal známý student?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2. Které indicie vedly k odhadu způsobu vzniku a byly skutečně spolehlivé?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3. Změnila informace o procesu hodnocení odborné správnosti, nebo spíše úsudek o autorství a integritě?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4. Které kompetence lze ověřit pouze při průběžném vedení, práci se zdrojem nebo ústní obhajobě?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5. Co by měl vedoucí vyžadovat jako procesní důkaz vedle výsledného PDF?</w:t>
      </w:r>
    </w:p>
    <w:p>
      <w:pPr>
        <w:pStyle w:val="Heading2"/>
        <w:keepNext w:val="true"/>
        <w:widowControl/>
        <w:ind w:hanging="0"/>
        <w:rPr/>
      </w:pPr>
      <w:r>
        <w:rPr/>
        <w:t>Hlavní pedagogická teze experimentu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Hotový text už nelze považovat za dostatečný důkaz toho, kdo vykonal intelektuální práci a čemu autor rozumí. To není důvod rezignovat na kvalifikační práce. Je to důvod posílit průběžnou práci s rozhodnutími, zdrojovou stopou, verzemi, nečekanými daty a obhajobou.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before="360" w:after="180"/>
      <w:ind w:hanging="0"/>
      <w:jc w:val="start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before="240" w:after="120"/>
      <w:ind w:hanging="0"/>
      <w:jc w:val="start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widowControl/>
      <w:spacing w:before="180" w:after="80"/>
      <w:ind w:hanging="0"/>
      <w:jc w:val="start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widowControl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widowControl/>
      <w:spacing w:before="0" w:after="16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000000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kQuote" w:customStyle="1">
    <w:name w:val="Block Quote"/>
    <w:qFormat/>
    <w:pPr>
      <w:widowControl/>
      <w:bidi w:val="0"/>
      <w:spacing w:lineRule="auto" w:line="276" w:before="120" w:after="120"/>
      <w:ind w:hanging="0" w:start="567" w:end="283"/>
      <w:jc w:val="start"/>
    </w:pPr>
    <w:rPr>
      <w:rFonts w:ascii="Times New Roman" w:hAnsi="Times New Roman" w:eastAsia="ＭＳ 明朝" w:cs="" w:cstheme="minorBidi" w:eastAsiaTheme="minorEastAsia"/>
      <w:i/>
      <w:color w:val="auto"/>
      <w:kern w:val="0"/>
      <w:sz w:val="22"/>
      <w:szCs w:val="22"/>
      <w:lang w:val="en-US" w:eastAsia="en-US" w:bidi="ar-SA"/>
    </w:rPr>
  </w:style>
  <w:style w:type="paragraph" w:styleId="Reference" w:customStyle="1">
    <w:name w:val="Reference"/>
    <w:qFormat/>
    <w:pPr>
      <w:widowControl/>
      <w:bidi w:val="0"/>
      <w:spacing w:lineRule="auto" w:line="240" w:before="0" w:after="100"/>
      <w:ind w:hanging="425" w:start="425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CaptionThesis" w:customStyle="1">
    <w:name w:val="Caption Thesis"/>
    <w:qFormat/>
    <w:pPr>
      <w:keepNext w:val="true"/>
      <w:widowControl/>
      <w:bidi w:val="0"/>
      <w:spacing w:lineRule="auto" w:line="276" w:before="160" w:after="80"/>
      <w:ind w:hanging="0"/>
      <w:jc w:val="start"/>
    </w:pPr>
    <w:rPr>
      <w:rFonts w:ascii="Times New Roman" w:hAnsi="Times New Roman" w:eastAsia="ＭＳ 明朝" w:cs="" w:cstheme="minorBidi" w:eastAsiaTheme="minorEastAsia"/>
      <w:b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Anonymizováno pro účely experimentu</dc:creator>
  <dc:description>generated by python-docx</dc:description>
  <cp:keywords>ESG CSRD ESRS dokumentová analýza</cp:keywords>
  <dc:language>en-US</dc:language>
  <cp:lastModifiedBy>Anonymizováno</cp:lastModifiedBy>
  <dcterms:modified xsi:type="dcterms:W3CDTF">2013-12-23T23:15:00Z</dcterms:modified>
  <cp:revision>1</cp:revision>
  <dc:subject>Experimentální rukopis pro zaslepené odborné hodnocení</dc:subject>
  <dc:title>Odtajnění produkčního procesu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