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sz w:val="26"/>
        </w:rPr>
        <w:t>UNIVERZITA JANA EVANGELISTY PURKYNĚ V ÚSTÍ NAD LABEM</w:t>
      </w:r>
    </w:p>
    <w:p>
      <w:pPr>
        <w:pStyle w:val="Normal"/>
        <w:jc w:val="center"/>
        <w:rPr/>
      </w:pPr>
      <w:r>
        <w:rPr>
          <w:b/>
          <w:sz w:val="28"/>
        </w:rPr>
        <w:t>FAKULTA SOCIÁLNĚ EKONOMICKÁ</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240"/>
        <w:jc w:val="center"/>
        <w:rPr/>
      </w:pPr>
      <w:r>
        <w:rPr>
          <w:b/>
          <w:sz w:val="32"/>
        </w:rPr>
        <w:t>Veřejně vykazovaná implementace ESG ve vybraných velkých podnicích působících v České republice</w:t>
      </w:r>
    </w:p>
    <w:p>
      <w:pPr>
        <w:pStyle w:val="Normal"/>
        <w:jc w:val="center"/>
        <w:rPr/>
      </w:pPr>
      <w:r>
        <w:rPr>
          <w:i/>
          <w:sz w:val="26"/>
        </w:rPr>
        <w:t>Publicly Reported ESG Implementation in Selected Large Enterprises Operating in the Czech Republic</w:t>
      </w:r>
    </w:p>
    <w:p>
      <w:pPr>
        <w:pStyle w:val="Normal"/>
        <w:rPr/>
      </w:pPr>
      <w:r>
        <w:rPr/>
      </w:r>
    </w:p>
    <w:p>
      <w:pPr>
        <w:pStyle w:val="Normal"/>
        <w:rPr/>
      </w:pPr>
      <w:r>
        <w:rPr/>
      </w:r>
    </w:p>
    <w:p>
      <w:pPr>
        <w:pStyle w:val="Normal"/>
        <w:rPr/>
      </w:pPr>
      <w:r>
        <w:rPr/>
      </w:r>
    </w:p>
    <w:p>
      <w:pPr>
        <w:pStyle w:val="Normal"/>
        <w:jc w:val="center"/>
        <w:rPr/>
      </w:pPr>
      <w:r>
        <w:rPr>
          <w:b/>
          <w:sz w:val="24"/>
        </w:rPr>
        <w:t>Diplomová práce – experimentální rukopis pro zaslepené odborné hodnocení</w:t>
      </w:r>
    </w:p>
    <w:p>
      <w:pPr>
        <w:pStyle w:val="Normal"/>
        <w:rPr/>
      </w:pPr>
      <w:r>
        <w:rPr/>
      </w:r>
    </w:p>
    <w:p>
      <w:pPr>
        <w:pStyle w:val="Normal"/>
        <w:ind w:hanging="0"/>
        <w:jc w:val="center"/>
        <w:rPr/>
      </w:pPr>
      <w:r>
        <w:rPr/>
        <w:t>Autor: anonymizováno pro účely hodnocení</w:t>
      </w:r>
    </w:p>
    <w:p>
      <w:pPr>
        <w:pStyle w:val="Normal"/>
        <w:ind w:hanging="0"/>
        <w:jc w:val="center"/>
        <w:rPr/>
      </w:pPr>
      <w:r>
        <w:rPr/>
        <w:t>Studijní program: Ekonomika a management veřejného sektoru</w:t>
      </w:r>
    </w:p>
    <w:p>
      <w:pPr>
        <w:pStyle w:val="Normal"/>
        <w:ind w:hanging="0"/>
        <w:jc w:val="center"/>
        <w:rPr/>
      </w:pPr>
      <w:r>
        <w:rPr/>
        <w:t>Rok: 2026</w:t>
      </w:r>
    </w:p>
    <w:p>
      <w:pPr>
        <w:pStyle w:val="Normal"/>
        <w:rPr/>
      </w:pPr>
      <w:r>
        <w:rPr/>
      </w:r>
    </w:p>
    <w:p>
      <w:pPr>
        <w:pStyle w:val="Normal"/>
        <w:rPr/>
      </w:pPr>
      <w:r>
        <w:rPr/>
      </w:r>
    </w:p>
    <w:p>
      <w:pPr>
        <w:pStyle w:val="Normal"/>
        <w:rPr/>
      </w:pPr>
      <w:r>
        <w:rPr/>
      </w:r>
    </w:p>
    <w:p>
      <w:pPr>
        <w:pStyle w:val="Normal"/>
        <w:rPr/>
      </w:pPr>
      <w:r>
        <w:rPr/>
      </w:r>
    </w:p>
    <w:p>
      <w:pPr>
        <w:pStyle w:val="Normal"/>
        <w:ind w:hanging="0"/>
        <w:jc w:val="center"/>
        <w:rPr/>
      </w:pPr>
      <w:r>
        <w:rPr/>
        <w:t>Ústí nad Labem 2026</w:t>
      </w:r>
    </w:p>
    <w:p>
      <w:pPr>
        <w:pStyle w:val="Normal"/>
        <w:rPr/>
      </w:pPr>
      <w:r>
        <w:rPr/>
      </w:r>
      <w:r>
        <w:br w:type="page"/>
      </w:r>
    </w:p>
    <w:p>
      <w:pPr>
        <w:pStyle w:val="Title"/>
        <w:spacing w:before="0" w:after="240"/>
        <w:contextualSpacing/>
        <w:jc w:val="start"/>
        <w:rPr/>
      </w:pPr>
      <w:r>
        <w:rPr/>
        <w:t>Poznámka k rukopisu</w:t>
      </w:r>
    </w:p>
    <w:p>
      <w:pPr>
        <w:pStyle w:val="Normal"/>
        <w:rPr/>
      </w:pPr>
      <w:r>
        <w:rPr/>
        <w:t>Tento dokument je výzkumný artefakt určený výhradně k nezávislému odbornému hodnocení kvality rukopisu. Není podáván jako kvalifikační práce k získání akademického titulu. Identita autora a informace o procesu vzniku jsou v hodnoticí verzi odděleny, aby neovlivnily posouzení textu. Po uzavření hodnocení je hodnotitelům zpřístupněn úplný metodický a produkční audit.</w:t>
      </w:r>
    </w:p>
    <w:p>
      <w:pPr>
        <w:pStyle w:val="Normal"/>
        <w:rPr/>
      </w:pPr>
      <w:r>
        <w:rPr/>
        <w:t>Rukopis neobsahuje čestné prohlášení studenta, podpis ani tvrzení o absolvování skutečného studijního procesu.</w:t>
      </w:r>
    </w:p>
    <w:p>
      <w:pPr>
        <w:pStyle w:val="Normal"/>
        <w:rPr/>
      </w:pPr>
      <w:r>
        <w:rPr/>
      </w:r>
      <w:r>
        <w:br w:type="page"/>
      </w:r>
    </w:p>
    <w:p>
      <w:pPr>
        <w:pStyle w:val="Title"/>
        <w:spacing w:before="0" w:after="240"/>
        <w:contextualSpacing/>
        <w:jc w:val="start"/>
        <w:rPr/>
      </w:pPr>
      <w:r>
        <w:rPr/>
        <w:t>Abstrakt</w:t>
      </w:r>
    </w:p>
    <w:p>
      <w:pPr>
        <w:pStyle w:val="Normal"/>
        <w:widowControl/>
        <w:spacing w:lineRule="auto" w:line="360"/>
        <w:ind w:firstLine="709"/>
        <w:jc w:val="both"/>
        <w:rPr/>
      </w:pPr>
      <w:r>
        <w:rPr/>
        <w:t>Práce zkoumá, jak vybrané velké podniky působící v České republice ve veřejných zprávách za rok 2024 dokládají implementaci environmentálních, sociálních a správních principů a které znaky odlišují deklaraci, formalizaci a manažerskou integraci. Empirický korpus tvoří oficiální dokumenty ČEZ Group, MONETA Money Bank, O2 Czech Republic a Škoda Auto. Použita byla komparativní dokumentová analýza a řízená kvalitativní obsahová analýza. Hlavní evidenční soubor obsahuje 45 segmentů s přesným lokátorem, tematickým kódováním, třídou důkazu a omezením interpretace. Práce zavádí škálu E0–E4, která rozlišuje deklaraci, aktivitu, formalizovaný proces nebo řízený výsledek, rozhodovací vazbu a externě podpořený konkrétní výsledek. Výsledky ukazují, že standardizovaná architektura reportingu zvyšuje dohledatelnost, ale sama neprokazuje stejnou hloubku řízení. Za klíčový znak manažerské integrace byla identifikována vazba sustainability informace na kapitálový plán, řízení rizika, produkt, dodavatele, odměňování nebo provozní pravidlo. Reporty častěji dokládají procesy, aktivity a provozní výsledky než širší kauzální dopady. Informační hodnotu zvyšují transparentně zveřejněné restatementy, zhoršené ukazatele, chybějící cíle, trade-offy a negativní dopady. Závěry se vztahují k veřejně vykazované implementaci, nikoli k nezávislému hodnocení celkové udržitelnosti analyzovaných podniků.</w:t>
      </w:r>
    </w:p>
    <w:p>
      <w:pPr>
        <w:pStyle w:val="Normal"/>
        <w:widowControl/>
        <w:spacing w:lineRule="auto" w:line="360"/>
        <w:ind w:firstLine="709"/>
        <w:jc w:val="both"/>
        <w:rPr/>
      </w:pPr>
      <w:r>
        <w:rPr>
          <w:b/>
        </w:rPr>
        <w:t>Klíčová slova:</w:t>
      </w:r>
      <w:r>
        <w:rPr/>
        <w:t xml:space="preserve"> ESG; CSRD; ESRS; udržitelnostní reporting; implementace; dvojí materialita; obsahová analýza</w:t>
      </w:r>
    </w:p>
    <w:p>
      <w:pPr>
        <w:pStyle w:val="Normal"/>
        <w:rPr/>
      </w:pPr>
      <w:r>
        <w:rPr/>
      </w:r>
      <w:r>
        <w:br w:type="page"/>
      </w:r>
    </w:p>
    <w:p>
      <w:pPr>
        <w:pStyle w:val="Title"/>
        <w:spacing w:before="0" w:after="240"/>
        <w:contextualSpacing/>
        <w:jc w:val="start"/>
        <w:rPr/>
      </w:pPr>
      <w:r>
        <w:rPr/>
        <w:t>Abstract</w:t>
      </w:r>
    </w:p>
    <w:p>
      <w:pPr>
        <w:pStyle w:val="Normal"/>
        <w:widowControl/>
        <w:spacing w:lineRule="auto" w:line="360"/>
        <w:ind w:firstLine="709"/>
        <w:jc w:val="both"/>
        <w:rPr/>
      </w:pPr>
      <w:r>
        <w:rPr/>
        <w:t>This thesis examines how selected large enterprises operating in the Czech Republic substantiate the implementation of environmental, social and governance principles in their public reports for 2024, and which features distinguish declaration, formalisation and managerial integration. The empirical corpus comprises official documents published by ČEZ Group, MONETA Money Bank, O2 Czech Republic and Škoda Auto. The study applies comparative document analysis and directed qualitative content analysis. Its core evidence set consists of 45 segments, each linked to an exact source location, thematic codes, an evidence class and an explicit interpretive limitation. The thesis introduces an E0–E4 scale distinguishing a declaration, an activity, a formalised process or managed result, a decision link, and a specifically delimited result supported by external verification. The findings show that a standardised reporting architecture improves traceability but does not by itself demonstrate an equal depth of management integration. The key indicator of managerial integration is the link between sustainability information and capital allocation, risk management, product design, supplier management, remuneration or an operational decision rule. The reports substantiate processes, activities and operational outcomes more often than broader causal impacts. Information value increases when reports transparently disclose restatements, adverse trends, missing targets, trade-offs and negative impacts. The conclusions concern publicly reported implementation and do not constitute an independent assessment of the overall sustainability performance of the enterprises analysed.</w:t>
      </w:r>
    </w:p>
    <w:p>
      <w:pPr>
        <w:pStyle w:val="Normal"/>
        <w:widowControl/>
        <w:spacing w:lineRule="auto" w:line="360"/>
        <w:ind w:firstLine="709"/>
        <w:jc w:val="both"/>
        <w:rPr/>
      </w:pPr>
      <w:r>
        <w:rPr>
          <w:b/>
        </w:rPr>
        <w:t>Keywords:</w:t>
      </w:r>
      <w:r>
        <w:rPr/>
        <w:t xml:space="preserve"> ESG; CSRD; ESRS; sustainability reporting; implementation; double materiality; content analysis</w:t>
      </w:r>
    </w:p>
    <w:p>
      <w:pPr>
        <w:pStyle w:val="Normal"/>
        <w:rPr/>
      </w:pPr>
      <w:r>
        <w:rPr/>
      </w:r>
      <w:r>
        <w:br w:type="page"/>
      </w:r>
    </w:p>
    <w:p>
      <w:pPr>
        <w:pStyle w:val="Title"/>
        <w:spacing w:before="0" w:after="240"/>
        <w:contextualSpacing/>
        <w:jc w:val="start"/>
        <w:rPr/>
      </w:pPr>
      <w:r>
        <w:rPr/>
        <w:t>Seznam zkratek</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4536"/>
        <w:gridCol w:w="4535"/>
      </w:tblGrid>
      <w:tr>
        <w:trPr>
          <w:tblHeader w:val="true"/>
          <w:cantSplit w:val="true"/>
        </w:trPr>
        <w:tc>
          <w:tcPr>
            <w:tcW w:w="4536"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Zkratka</w:t>
            </w:r>
          </w:p>
        </w:tc>
        <w:tc>
          <w:tcPr>
            <w:tcW w:w="453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Význam</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CapEx</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kapitálové výdaje (capital expenditure)</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CSRD</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směrnice o podávání zpráv podniků o udržitelnosti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DMA</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posouzení dvojí materiality (double materiality assessment)</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ESG</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environmentální, sociální a správní oblast</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ESRS</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evropské standardy pro podávání zpráv o udržitelnosti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GRI</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Global Reporting Initiative</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IRO</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dopady, rizika a příležitosti (impacts, risks and opportunities)</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KPI</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klíčový ukazatel výkonnosti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OpEx</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provozní výdaje (operating expenditure)</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PCAF</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Partnership for Carbon Accounting Financials</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Scope 1</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přímé emise skleníkových plynů z vlastních nebo řízených zdrojů</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Scope 2</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nepřímé emise spojené s nakupovanou energií</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Scope 3</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ostatní nepřímé emise v hodnotovém řetězci</w:t>
            </w:r>
          </w:p>
        </w:tc>
      </w:tr>
      <w:tr>
        <w:trPr>
          <w:cantSplit w:val="true"/>
        </w:trPr>
        <w:tc>
          <w:tcPr>
            <w:tcW w:w="453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UEP</w:t>
            </w:r>
          </w:p>
        </w:tc>
        <w:tc>
          <w:tcPr>
            <w:tcW w:w="453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environmentální výrobní ukazatel používaný Škoda Auto</w:t>
            </w:r>
          </w:p>
        </w:tc>
      </w:tr>
    </w:tbl>
    <w:p>
      <w:pPr>
        <w:sectPr>
          <w:type w:val="nextPage"/>
          <w:pgSz w:w="11906" w:h="16838"/>
          <w:pgMar w:left="1984" w:right="850" w:gutter="0" w:header="0" w:top="1417" w:footer="0" w:bottom="1134"/>
          <w:pgNumType w:fmt="decimal"/>
          <w:formProt w:val="false"/>
          <w:textDirection w:val="lrTb"/>
          <w:docGrid w:type="default" w:linePitch="360" w:charSpace="0"/>
        </w:sectPr>
        <w:pStyle w:val="Normal"/>
        <w:spacing w:before="0" w:after="40"/>
        <w:rPr/>
      </w:pPr>
      <w:r>
        <w:rPr/>
      </w:r>
    </w:p>
    <w:p>
      <w:pPr>
        <w:pStyle w:val="Title"/>
        <w:jc w:val="start"/>
        <w:rPr/>
      </w:pPr>
      <w:r>
        <w:rPr/>
        <w:t>Obsah</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93_2077070603">
            <w:r>
              <w:rPr>
                <w:webHidden/>
                <w:rStyle w:val="IndexLink"/>
              </w:rPr>
              <w:t>Úvod</w:t>
              <w:tab/>
              <w:t>5</w:t>
            </w:r>
          </w:hyperlink>
        </w:p>
        <w:p>
          <w:pPr>
            <w:pStyle w:val="TOC2"/>
            <w:tabs>
              <w:tab w:val="clear" w:pos="8789"/>
              <w:tab w:val="right" w:pos="9071" w:leader="dot"/>
            </w:tabs>
            <w:rPr/>
          </w:pPr>
          <w:hyperlink w:anchor="__RefHeading___Toc2095_2077070603">
            <w:r>
              <w:rPr>
                <w:webHidden/>
                <w:rStyle w:val="IndexLink"/>
              </w:rPr>
              <w:t>Cíl práce</w:t>
              <w:tab/>
              <w:t>6</w:t>
            </w:r>
          </w:hyperlink>
        </w:p>
        <w:p>
          <w:pPr>
            <w:pStyle w:val="TOC2"/>
            <w:tabs>
              <w:tab w:val="clear" w:pos="8789"/>
              <w:tab w:val="right" w:pos="9071" w:leader="dot"/>
            </w:tabs>
            <w:rPr/>
          </w:pPr>
          <w:hyperlink w:anchor="__RefHeading___Toc2097_2077070603">
            <w:r>
              <w:rPr>
                <w:webHidden/>
                <w:rStyle w:val="IndexLink"/>
              </w:rPr>
              <w:t>Výzkumné otázky</w:t>
              <w:tab/>
              <w:t>6</w:t>
            </w:r>
          </w:hyperlink>
        </w:p>
        <w:p>
          <w:pPr>
            <w:pStyle w:val="TOC2"/>
            <w:tabs>
              <w:tab w:val="clear" w:pos="8789"/>
              <w:tab w:val="right" w:pos="9071" w:leader="dot"/>
            </w:tabs>
            <w:rPr/>
          </w:pPr>
          <w:hyperlink w:anchor="__RefHeading___Toc2099_2077070603">
            <w:r>
              <w:rPr>
                <w:webHidden/>
                <w:rStyle w:val="IndexLink"/>
              </w:rPr>
              <w:t>Výběr případů a období</w:t>
              <w:tab/>
              <w:t>6</w:t>
            </w:r>
          </w:hyperlink>
        </w:p>
        <w:p>
          <w:pPr>
            <w:pStyle w:val="TOC2"/>
            <w:tabs>
              <w:tab w:val="clear" w:pos="8789"/>
              <w:tab w:val="right" w:pos="9071" w:leader="dot"/>
            </w:tabs>
            <w:rPr/>
          </w:pPr>
          <w:hyperlink w:anchor="__RefHeading___Toc2101_2077070603">
            <w:r>
              <w:rPr>
                <w:webHidden/>
                <w:rStyle w:val="IndexLink"/>
              </w:rPr>
              <w:t>Teoretické a metodické vymezení</w:t>
              <w:tab/>
              <w:t>7</w:t>
            </w:r>
          </w:hyperlink>
        </w:p>
        <w:p>
          <w:pPr>
            <w:pStyle w:val="TOC2"/>
            <w:tabs>
              <w:tab w:val="clear" w:pos="8789"/>
              <w:tab w:val="right" w:pos="9071" w:leader="dot"/>
            </w:tabs>
            <w:rPr/>
          </w:pPr>
          <w:hyperlink w:anchor="__RefHeading___Toc2103_2077070603">
            <w:r>
              <w:rPr>
                <w:webHidden/>
                <w:rStyle w:val="IndexLink"/>
              </w:rPr>
              <w:t>Přínos práce</w:t>
              <w:tab/>
              <w:t>8</w:t>
            </w:r>
          </w:hyperlink>
        </w:p>
        <w:p>
          <w:pPr>
            <w:pStyle w:val="TOC2"/>
            <w:tabs>
              <w:tab w:val="clear" w:pos="8789"/>
              <w:tab w:val="right" w:pos="9071" w:leader="dot"/>
            </w:tabs>
            <w:rPr/>
          </w:pPr>
          <w:hyperlink w:anchor="__RefHeading___Toc2105_2077070603">
            <w:r>
              <w:rPr>
                <w:webHidden/>
                <w:rStyle w:val="IndexLink"/>
              </w:rPr>
              <w:t>Struktura práce</w:t>
              <w:tab/>
              <w:t>8</w:t>
            </w:r>
          </w:hyperlink>
        </w:p>
        <w:p>
          <w:pPr>
            <w:pStyle w:val="TOC1"/>
            <w:tabs>
              <w:tab w:val="clear" w:pos="9072"/>
              <w:tab w:val="right" w:pos="9071" w:leader="dot"/>
            </w:tabs>
            <w:rPr/>
          </w:pPr>
          <w:hyperlink w:anchor="__RefHeading___Toc2107_2077070603">
            <w:r>
              <w:rPr>
                <w:webHidden/>
                <w:rStyle w:val="IndexLink"/>
              </w:rPr>
              <w:t>1 Teoretická východiska</w:t>
              <w:tab/>
              <w:t>10</w:t>
            </w:r>
          </w:hyperlink>
        </w:p>
        <w:p>
          <w:pPr>
            <w:pStyle w:val="TOC2"/>
            <w:tabs>
              <w:tab w:val="clear" w:pos="8789"/>
              <w:tab w:val="right" w:pos="9071" w:leader="dot"/>
            </w:tabs>
            <w:rPr/>
          </w:pPr>
          <w:hyperlink w:anchor="__RefHeading___Toc2109_2077070603">
            <w:r>
              <w:rPr>
                <w:webHidden/>
                <w:rStyle w:val="IndexLink"/>
              </w:rPr>
              <w:t>1.1 Od společenské odpovědnosti k ESG</w:t>
              <w:tab/>
              <w:t>10</w:t>
            </w:r>
          </w:hyperlink>
        </w:p>
        <w:p>
          <w:pPr>
            <w:pStyle w:val="TOC2"/>
            <w:tabs>
              <w:tab w:val="clear" w:pos="8789"/>
              <w:tab w:val="right" w:pos="9071" w:leader="dot"/>
            </w:tabs>
            <w:rPr/>
          </w:pPr>
          <w:hyperlink w:anchor="__RefHeading___Toc2111_2077070603">
            <w:r>
              <w:rPr>
                <w:webHidden/>
                <w:rStyle w:val="IndexLink"/>
              </w:rPr>
              <w:t>1.2 Stakeholderová perspektiva</w:t>
              <w:tab/>
              <w:t>10</w:t>
            </w:r>
          </w:hyperlink>
        </w:p>
        <w:p>
          <w:pPr>
            <w:pStyle w:val="TOC2"/>
            <w:tabs>
              <w:tab w:val="clear" w:pos="8789"/>
              <w:tab w:val="right" w:pos="9071" w:leader="dot"/>
            </w:tabs>
            <w:rPr/>
          </w:pPr>
          <w:hyperlink w:anchor="__RefHeading___Toc2113_2077070603">
            <w:r>
              <w:rPr>
                <w:webHidden/>
                <w:rStyle w:val="IndexLink"/>
              </w:rPr>
              <w:t>1.3 Institucionální tlaky a organizační podobnost</w:t>
              <w:tab/>
              <w:t>11</w:t>
            </w:r>
          </w:hyperlink>
        </w:p>
        <w:p>
          <w:pPr>
            <w:pStyle w:val="TOC2"/>
            <w:tabs>
              <w:tab w:val="clear" w:pos="8789"/>
              <w:tab w:val="right" w:pos="9071" w:leader="dot"/>
            </w:tabs>
            <w:rPr/>
          </w:pPr>
          <w:hyperlink w:anchor="__RefHeading___Toc2115_2077070603">
            <w:r>
              <w:rPr>
                <w:webHidden/>
                <w:rStyle w:val="IndexLink"/>
              </w:rPr>
              <w:t>1.4 Legitimita a firemní zveřejnění</w:t>
              <w:tab/>
              <w:t>12</w:t>
            </w:r>
          </w:hyperlink>
        </w:p>
        <w:p>
          <w:pPr>
            <w:pStyle w:val="TOC2"/>
            <w:tabs>
              <w:tab w:val="clear" w:pos="8789"/>
              <w:tab w:val="right" w:pos="9071" w:leader="dot"/>
            </w:tabs>
            <w:rPr/>
          </w:pPr>
          <w:hyperlink w:anchor="__RefHeading___Toc2117_2077070603">
            <w:r>
              <w:rPr>
                <w:webHidden/>
                <w:rStyle w:val="IndexLink"/>
              </w:rPr>
              <w:t>1.5 Materialita jako mechanismus prioritizace</w:t>
              <w:tab/>
              <w:t>13</w:t>
            </w:r>
          </w:hyperlink>
        </w:p>
        <w:p>
          <w:pPr>
            <w:pStyle w:val="TOC2"/>
            <w:tabs>
              <w:tab w:val="clear" w:pos="8789"/>
              <w:tab w:val="right" w:pos="9071" w:leader="dot"/>
            </w:tabs>
            <w:rPr/>
          </w:pPr>
          <w:hyperlink w:anchor="__RefHeading___Toc2119_2077070603">
            <w:r>
              <w:rPr>
                <w:webHidden/>
                <w:rStyle w:val="IndexLink"/>
              </w:rPr>
              <w:t>1.6 Organizační procesy a hloubka implementace</w:t>
              <w:tab/>
              <w:t>13</w:t>
            </w:r>
          </w:hyperlink>
        </w:p>
        <w:p>
          <w:pPr>
            <w:pStyle w:val="TOC2"/>
            <w:tabs>
              <w:tab w:val="clear" w:pos="8789"/>
              <w:tab w:val="right" w:pos="9071" w:leader="dot"/>
            </w:tabs>
            <w:rPr/>
          </w:pPr>
          <w:hyperlink w:anchor="__RefHeading___Toc2121_2077070603">
            <w:r>
              <w:rPr>
                <w:webHidden/>
                <w:rStyle w:val="IndexLink"/>
              </w:rPr>
              <w:t>1.7 ESG a podniková výkonnost</w:t>
              <w:tab/>
              <w:t>14</w:t>
            </w:r>
          </w:hyperlink>
        </w:p>
        <w:p>
          <w:pPr>
            <w:pStyle w:val="TOC2"/>
            <w:tabs>
              <w:tab w:val="clear" w:pos="8789"/>
              <w:tab w:val="right" w:pos="9071" w:leader="dot"/>
            </w:tabs>
            <w:rPr/>
          </w:pPr>
          <w:hyperlink w:anchor="__RefHeading___Toc2123_2077070603">
            <w:r>
              <w:rPr>
                <w:webHidden/>
                <w:rStyle w:val="IndexLink"/>
              </w:rPr>
              <w:t>1.8 Ratingy a problém agregace</w:t>
              <w:tab/>
              <w:t>15</w:t>
            </w:r>
          </w:hyperlink>
        </w:p>
        <w:p>
          <w:pPr>
            <w:pStyle w:val="TOC2"/>
            <w:tabs>
              <w:tab w:val="clear" w:pos="8789"/>
              <w:tab w:val="right" w:pos="9071" w:leader="dot"/>
            </w:tabs>
            <w:rPr/>
          </w:pPr>
          <w:hyperlink w:anchor="__RefHeading___Toc2125_2077070603">
            <w:r>
              <w:rPr>
                <w:webHidden/>
                <w:rStyle w:val="IndexLink"/>
              </w:rPr>
              <w:t>1.9 Povinný reporting a organizační změna</w:t>
              <w:tab/>
              <w:t>15</w:t>
            </w:r>
          </w:hyperlink>
        </w:p>
        <w:p>
          <w:pPr>
            <w:pStyle w:val="TOC2"/>
            <w:tabs>
              <w:tab w:val="clear" w:pos="8789"/>
              <w:tab w:val="right" w:pos="9071" w:leader="dot"/>
            </w:tabs>
            <w:rPr/>
          </w:pPr>
          <w:hyperlink w:anchor="__RefHeading___Toc2127_2077070603">
            <w:r>
              <w:rPr>
                <w:webHidden/>
                <w:rStyle w:val="IndexLink"/>
              </w:rPr>
              <w:t>1.10 Kvalita zveřejnění: množství, přesnost a vyváženost</w:t>
              <w:tab/>
              <w:t>16</w:t>
            </w:r>
          </w:hyperlink>
        </w:p>
        <w:p>
          <w:pPr>
            <w:pStyle w:val="TOC2"/>
            <w:tabs>
              <w:tab w:val="clear" w:pos="8789"/>
              <w:tab w:val="right" w:pos="9071" w:leader="dot"/>
            </w:tabs>
            <w:rPr/>
          </w:pPr>
          <w:hyperlink w:anchor="__RefHeading___Toc2129_2077070603">
            <w:r>
              <w:rPr>
                <w:webHidden/>
                <w:rStyle w:val="IndexLink"/>
              </w:rPr>
              <w:t>1.11 Assurance a hranice ověření</w:t>
              <w:tab/>
              <w:t>17</w:t>
            </w:r>
          </w:hyperlink>
        </w:p>
        <w:p>
          <w:pPr>
            <w:pStyle w:val="TOC2"/>
            <w:tabs>
              <w:tab w:val="clear" w:pos="8789"/>
              <w:tab w:val="right" w:pos="9071" w:leader="dot"/>
            </w:tabs>
            <w:rPr/>
          </w:pPr>
          <w:hyperlink w:anchor="__RefHeading___Toc2131_2077070603">
            <w:r>
              <w:rPr>
                <w:webHidden/>
                <w:rStyle w:val="IndexLink"/>
              </w:rPr>
              <w:t>1.12 Dokument jako empirický zdroj</w:t>
              <w:tab/>
              <w:t>17</w:t>
            </w:r>
          </w:hyperlink>
        </w:p>
        <w:p>
          <w:pPr>
            <w:pStyle w:val="TOC2"/>
            <w:tabs>
              <w:tab w:val="clear" w:pos="8789"/>
              <w:tab w:val="right" w:pos="9071" w:leader="dot"/>
            </w:tabs>
            <w:rPr/>
          </w:pPr>
          <w:hyperlink w:anchor="__RefHeading___Toc2133_2077070603">
            <w:r>
              <w:rPr>
                <w:webHidden/>
                <w:rStyle w:val="IndexLink"/>
              </w:rPr>
              <w:t>1.13 Pracovní model zveřejněné implementace</w:t>
              <w:tab/>
              <w:t>18</w:t>
            </w:r>
          </w:hyperlink>
        </w:p>
        <w:p>
          <w:pPr>
            <w:pStyle w:val="TOC2"/>
            <w:tabs>
              <w:tab w:val="clear" w:pos="8789"/>
              <w:tab w:val="right" w:pos="9071" w:leader="dot"/>
            </w:tabs>
            <w:rPr/>
          </w:pPr>
          <w:hyperlink w:anchor="__RefHeading___Toc2135_2077070603">
            <w:r>
              <w:rPr>
                <w:webHidden/>
                <w:rStyle w:val="IndexLink"/>
              </w:rPr>
              <w:t>1.14 Shrnutí teoretické kapitoly</w:t>
              <w:tab/>
              <w:t>18</w:t>
            </w:r>
          </w:hyperlink>
        </w:p>
        <w:p>
          <w:pPr>
            <w:pStyle w:val="TOC1"/>
            <w:tabs>
              <w:tab w:val="clear" w:pos="9072"/>
              <w:tab w:val="right" w:pos="9071" w:leader="dot"/>
            </w:tabs>
            <w:rPr/>
          </w:pPr>
          <w:hyperlink w:anchor="__RefHeading___Toc2137_2077070603">
            <w:r>
              <w:rPr>
                <w:webHidden/>
                <w:rStyle w:val="IndexLink"/>
              </w:rPr>
              <w:t>2 Regulatorní a reportovací kontext</w:t>
              <w:tab/>
              <w:t>20</w:t>
            </w:r>
          </w:hyperlink>
        </w:p>
        <w:p>
          <w:pPr>
            <w:pStyle w:val="TOC2"/>
            <w:tabs>
              <w:tab w:val="clear" w:pos="8789"/>
              <w:tab w:val="right" w:pos="9071" w:leader="dot"/>
            </w:tabs>
            <w:rPr/>
          </w:pPr>
          <w:hyperlink w:anchor="__RefHeading___Toc2139_2077070603">
            <w:r>
              <w:rPr>
                <w:webHidden/>
                <w:rStyle w:val="IndexLink"/>
              </w:rPr>
              <w:t>2.1 Význam regulatorního rámce pro výzkumnou otázku</w:t>
              <w:tab/>
              <w:t>20</w:t>
            </w:r>
          </w:hyperlink>
        </w:p>
        <w:p>
          <w:pPr>
            <w:pStyle w:val="TOC2"/>
            <w:tabs>
              <w:tab w:val="clear" w:pos="8789"/>
              <w:tab w:val="right" w:pos="9071" w:leader="dot"/>
            </w:tabs>
            <w:rPr/>
          </w:pPr>
          <w:hyperlink w:anchor="__RefHeading___Toc2141_2077070603">
            <w:r>
              <w:rPr>
                <w:webHidden/>
                <w:rStyle w:val="IndexLink"/>
              </w:rPr>
              <w:t>2.2 CSRD a změna logiky podávání zpráv</w:t>
              <w:tab/>
              <w:t>20</w:t>
            </w:r>
          </w:hyperlink>
        </w:p>
        <w:p>
          <w:pPr>
            <w:pStyle w:val="TOC2"/>
            <w:tabs>
              <w:tab w:val="clear" w:pos="8789"/>
              <w:tab w:val="right" w:pos="9071" w:leader="dot"/>
            </w:tabs>
            <w:rPr/>
          </w:pPr>
          <w:hyperlink w:anchor="__RefHeading___Toc2143_2077070603">
            <w:r>
              <w:rPr>
                <w:webHidden/>
                <w:rStyle w:val="IndexLink"/>
              </w:rPr>
              <w:t>2.3 ESRS jako společná informační architektura</w:t>
              <w:tab/>
              <w:t>21</w:t>
            </w:r>
          </w:hyperlink>
        </w:p>
        <w:p>
          <w:pPr>
            <w:pStyle w:val="TOC3"/>
            <w:tabs>
              <w:tab w:val="clear" w:pos="8505"/>
              <w:tab w:val="right" w:pos="9071" w:leader="dot"/>
            </w:tabs>
            <w:rPr/>
          </w:pPr>
          <w:hyperlink w:anchor="__RefHeading___Toc2145_2077070603">
            <w:r>
              <w:rPr>
                <w:webHidden/>
                <w:rStyle w:val="IndexLink"/>
              </w:rPr>
              <w:t>2.3.1 Dvojí materialita</w:t>
              <w:tab/>
              <w:t>22</w:t>
            </w:r>
          </w:hyperlink>
        </w:p>
        <w:p>
          <w:pPr>
            <w:pStyle w:val="TOC3"/>
            <w:tabs>
              <w:tab w:val="clear" w:pos="8505"/>
              <w:tab w:val="right" w:pos="9071" w:leader="dot"/>
            </w:tabs>
            <w:rPr/>
          </w:pPr>
          <w:hyperlink w:anchor="__RefHeading___Toc2147_2077070603">
            <w:r>
              <w:rPr>
                <w:webHidden/>
                <w:rStyle w:val="IndexLink"/>
              </w:rPr>
              <w:t>2.3.2 Dopady, rizika a příležitosti</w:t>
              <w:tab/>
              <w:t>22</w:t>
            </w:r>
          </w:hyperlink>
        </w:p>
        <w:p>
          <w:pPr>
            <w:pStyle w:val="TOC3"/>
            <w:tabs>
              <w:tab w:val="clear" w:pos="8505"/>
              <w:tab w:val="right" w:pos="9071" w:leader="dot"/>
            </w:tabs>
            <w:rPr/>
          </w:pPr>
          <w:hyperlink w:anchor="__RefHeading___Toc2149_2077070603">
            <w:r>
              <w:rPr>
                <w:webHidden/>
                <w:rStyle w:val="IndexLink"/>
              </w:rPr>
              <w:t>2.3.3 Politiky, opatření, zdroje, cíle a metriky</w:t>
              <w:tab/>
              <w:t>22</w:t>
            </w:r>
          </w:hyperlink>
        </w:p>
        <w:p>
          <w:pPr>
            <w:pStyle w:val="TOC2"/>
            <w:tabs>
              <w:tab w:val="clear" w:pos="8789"/>
              <w:tab w:val="right" w:pos="9071" w:leader="dot"/>
            </w:tabs>
            <w:rPr/>
          </w:pPr>
          <w:hyperlink w:anchor="__RefHeading___Toc2151_2077070603">
            <w:r>
              <w:rPr>
                <w:webHidden/>
                <w:rStyle w:val="IndexLink"/>
              </w:rPr>
              <w:t>2.4 Zpráva o udržitelnosti a omezené ujištění</w:t>
              <w:tab/>
              <w:t>23</w:t>
            </w:r>
          </w:hyperlink>
        </w:p>
        <w:p>
          <w:pPr>
            <w:pStyle w:val="TOC2"/>
            <w:tabs>
              <w:tab w:val="clear" w:pos="8789"/>
              <w:tab w:val="right" w:pos="9071" w:leader="dot"/>
            </w:tabs>
            <w:rPr/>
          </w:pPr>
          <w:hyperlink w:anchor="__RefHeading___Toc2153_2077070603">
            <w:r>
              <w:rPr>
                <w:webHidden/>
                <w:rStyle w:val="IndexLink"/>
              </w:rPr>
              <w:t>2.5 EU Taxonomie</w:t>
              <w:tab/>
              <w:t>23</w:t>
            </w:r>
          </w:hyperlink>
        </w:p>
        <w:p>
          <w:pPr>
            <w:pStyle w:val="TOC2"/>
            <w:tabs>
              <w:tab w:val="clear" w:pos="8789"/>
              <w:tab w:val="right" w:pos="9071" w:leader="dot"/>
            </w:tabs>
            <w:rPr/>
          </w:pPr>
          <w:hyperlink w:anchor="__RefHeading___Toc2155_2077070603">
            <w:r>
              <w:rPr>
                <w:webHidden/>
                <w:rStyle w:val="IndexLink"/>
              </w:rPr>
              <w:t>2.6 Česká transpozice pro první reportovací období</w:t>
              <w:tab/>
              <w:t>24</w:t>
            </w:r>
          </w:hyperlink>
        </w:p>
        <w:p>
          <w:pPr>
            <w:pStyle w:val="TOC2"/>
            <w:tabs>
              <w:tab w:val="clear" w:pos="8789"/>
              <w:tab w:val="right" w:pos="9071" w:leader="dot"/>
            </w:tabs>
            <w:rPr/>
          </w:pPr>
          <w:hyperlink w:anchor="__RefHeading___Toc2157_2077070603">
            <w:r>
              <w:rPr>
                <w:webHidden/>
                <w:rStyle w:val="IndexLink"/>
              </w:rPr>
              <w:t>2.7 GRI, skupinové standardy a přechodné reportování</w:t>
              <w:tab/>
              <w:t>25</w:t>
            </w:r>
          </w:hyperlink>
        </w:p>
        <w:p>
          <w:pPr>
            <w:pStyle w:val="TOC2"/>
            <w:tabs>
              <w:tab w:val="clear" w:pos="8789"/>
              <w:tab w:val="right" w:pos="9071" w:leader="dot"/>
            </w:tabs>
            <w:rPr/>
          </w:pPr>
          <w:hyperlink w:anchor="__RefHeading___Toc2159_2077070603">
            <w:r>
              <w:rPr>
                <w:webHidden/>
                <w:rStyle w:val="IndexLink"/>
              </w:rPr>
              <w:t>2.8 Pozdější změny a analytické zmrazení</w:t>
              <w:tab/>
              <w:t>25</w:t>
            </w:r>
          </w:hyperlink>
        </w:p>
        <w:p>
          <w:pPr>
            <w:pStyle w:val="TOC2"/>
            <w:tabs>
              <w:tab w:val="clear" w:pos="8789"/>
              <w:tab w:val="right" w:pos="9071" w:leader="dot"/>
            </w:tabs>
            <w:rPr/>
          </w:pPr>
          <w:hyperlink w:anchor="__RefHeading___Toc2161_2077070603">
            <w:r>
              <w:rPr>
                <w:webHidden/>
                <w:rStyle w:val="IndexLink"/>
              </w:rPr>
              <w:t>2.9 Analytické důsledky regulatorního kontextu</w:t>
              <w:tab/>
              <w:t>26</w:t>
            </w:r>
          </w:hyperlink>
        </w:p>
        <w:p>
          <w:pPr>
            <w:pStyle w:val="TOC1"/>
            <w:tabs>
              <w:tab w:val="clear" w:pos="9072"/>
              <w:tab w:val="right" w:pos="9071" w:leader="dot"/>
            </w:tabs>
            <w:rPr/>
          </w:pPr>
          <w:hyperlink w:anchor="__RefHeading___Toc2163_2077070603">
            <w:r>
              <w:rPr>
                <w:webHidden/>
                <w:rStyle w:val="IndexLink"/>
              </w:rPr>
              <w:t>3 Metodologie</w:t>
              <w:tab/>
              <w:t>27</w:t>
            </w:r>
          </w:hyperlink>
        </w:p>
        <w:p>
          <w:pPr>
            <w:pStyle w:val="TOC2"/>
            <w:tabs>
              <w:tab w:val="clear" w:pos="8789"/>
              <w:tab w:val="right" w:pos="9071" w:leader="dot"/>
            </w:tabs>
            <w:rPr/>
          </w:pPr>
          <w:hyperlink w:anchor="__RefHeading___Toc2165_2077070603">
            <w:r>
              <w:rPr>
                <w:webHidden/>
                <w:rStyle w:val="IndexLink"/>
              </w:rPr>
              <w:t>3.1 Výzkumný přístup</w:t>
              <w:tab/>
              <w:t>27</w:t>
            </w:r>
          </w:hyperlink>
        </w:p>
        <w:p>
          <w:pPr>
            <w:pStyle w:val="TOC2"/>
            <w:tabs>
              <w:tab w:val="clear" w:pos="8789"/>
              <w:tab w:val="right" w:pos="9071" w:leader="dot"/>
            </w:tabs>
            <w:rPr/>
          </w:pPr>
          <w:hyperlink w:anchor="__RefHeading___Toc2167_2077070603">
            <w:r>
              <w:rPr>
                <w:webHidden/>
                <w:rStyle w:val="IndexLink"/>
              </w:rPr>
              <w:t>3.2 Výzkumné otázky</w:t>
              <w:tab/>
              <w:t>27</w:t>
            </w:r>
          </w:hyperlink>
        </w:p>
        <w:p>
          <w:pPr>
            <w:pStyle w:val="TOC2"/>
            <w:tabs>
              <w:tab w:val="clear" w:pos="8789"/>
              <w:tab w:val="right" w:pos="9071" w:leader="dot"/>
            </w:tabs>
            <w:rPr/>
          </w:pPr>
          <w:hyperlink w:anchor="__RefHeading___Toc2169_2077070603">
            <w:r>
              <w:rPr>
                <w:webHidden/>
                <w:rStyle w:val="IndexLink"/>
              </w:rPr>
              <w:t>3.3 Výběr případů</w:t>
              <w:tab/>
              <w:t>28</w:t>
            </w:r>
          </w:hyperlink>
        </w:p>
        <w:p>
          <w:pPr>
            <w:pStyle w:val="TOC2"/>
            <w:tabs>
              <w:tab w:val="clear" w:pos="8789"/>
              <w:tab w:val="right" w:pos="9071" w:leader="dot"/>
            </w:tabs>
            <w:rPr/>
          </w:pPr>
          <w:hyperlink w:anchor="__RefHeading___Toc2171_2077070603">
            <w:r>
              <w:rPr>
                <w:webHidden/>
                <w:rStyle w:val="IndexLink"/>
              </w:rPr>
              <w:t>3.4 Dokumentový korpus</w:t>
              <w:tab/>
              <w:t>29</w:t>
            </w:r>
          </w:hyperlink>
        </w:p>
        <w:p>
          <w:pPr>
            <w:pStyle w:val="TOC2"/>
            <w:tabs>
              <w:tab w:val="clear" w:pos="8789"/>
              <w:tab w:val="right" w:pos="9071" w:leader="dot"/>
            </w:tabs>
            <w:rPr/>
          </w:pPr>
          <w:hyperlink w:anchor="__RefHeading___Toc2173_2077070603">
            <w:r>
              <w:rPr>
                <w:webHidden/>
                <w:rStyle w:val="IndexLink"/>
              </w:rPr>
              <w:t>3.5 Strategie čtení a extrakce</w:t>
              <w:tab/>
              <w:t>29</w:t>
            </w:r>
          </w:hyperlink>
        </w:p>
        <w:p>
          <w:pPr>
            <w:pStyle w:val="TOC2"/>
            <w:tabs>
              <w:tab w:val="clear" w:pos="8789"/>
              <w:tab w:val="right" w:pos="9071" w:leader="dot"/>
            </w:tabs>
            <w:rPr/>
          </w:pPr>
          <w:hyperlink w:anchor="__RefHeading___Toc2175_2077070603">
            <w:r>
              <w:rPr>
                <w:webHidden/>
                <w:rStyle w:val="IndexLink"/>
              </w:rPr>
              <w:t>3.6 Jednotky analýzy a segmentace</w:t>
              <w:tab/>
              <w:t>30</w:t>
            </w:r>
          </w:hyperlink>
        </w:p>
        <w:p>
          <w:pPr>
            <w:pStyle w:val="TOC2"/>
            <w:tabs>
              <w:tab w:val="clear" w:pos="8789"/>
              <w:tab w:val="right" w:pos="9071" w:leader="dot"/>
            </w:tabs>
            <w:rPr/>
          </w:pPr>
          <w:hyperlink w:anchor="__RefHeading___Toc2177_2077070603">
            <w:r>
              <w:rPr>
                <w:webHidden/>
                <w:rStyle w:val="IndexLink"/>
              </w:rPr>
              <w:t>3.7 Kódovací rámec</w:t>
              <w:tab/>
              <w:t>30</w:t>
            </w:r>
          </w:hyperlink>
        </w:p>
        <w:p>
          <w:pPr>
            <w:pStyle w:val="TOC2"/>
            <w:tabs>
              <w:tab w:val="clear" w:pos="8789"/>
              <w:tab w:val="right" w:pos="9071" w:leader="dot"/>
            </w:tabs>
            <w:rPr/>
          </w:pPr>
          <w:hyperlink w:anchor="__RefHeading___Toc2179_2077070603">
            <w:r>
              <w:rPr>
                <w:webHidden/>
                <w:rStyle w:val="IndexLink"/>
              </w:rPr>
              <w:t>3.8 Škála evidenční síly E0–E4</w:t>
              <w:tab/>
              <w:t>31</w:t>
            </w:r>
          </w:hyperlink>
        </w:p>
        <w:p>
          <w:pPr>
            <w:pStyle w:val="TOC2"/>
            <w:tabs>
              <w:tab w:val="clear" w:pos="8789"/>
              <w:tab w:val="right" w:pos="9071" w:leader="dot"/>
            </w:tabs>
            <w:rPr/>
          </w:pPr>
          <w:hyperlink w:anchor="__RefHeading___Toc2181_2077070603">
            <w:r>
              <w:rPr>
                <w:webHidden/>
                <w:rStyle w:val="IndexLink"/>
              </w:rPr>
              <w:t>3.9 Pilotní kódování</w:t>
              <w:tab/>
              <w:t>32</w:t>
            </w:r>
          </w:hyperlink>
        </w:p>
        <w:p>
          <w:pPr>
            <w:pStyle w:val="TOC2"/>
            <w:tabs>
              <w:tab w:val="clear" w:pos="8789"/>
              <w:tab w:val="right" w:pos="9071" w:leader="dot"/>
            </w:tabs>
            <w:rPr/>
          </w:pPr>
          <w:hyperlink w:anchor="__RefHeading___Toc2183_2077070603">
            <w:r>
              <w:rPr>
                <w:webHidden/>
                <w:rStyle w:val="IndexLink"/>
              </w:rPr>
              <w:t>3.10 Hlavní kódování a případová mema</w:t>
              <w:tab/>
              <w:t>33</w:t>
            </w:r>
          </w:hyperlink>
        </w:p>
        <w:p>
          <w:pPr>
            <w:pStyle w:val="TOC2"/>
            <w:tabs>
              <w:tab w:val="clear" w:pos="8789"/>
              <w:tab w:val="right" w:pos="9071" w:leader="dot"/>
            </w:tabs>
            <w:rPr/>
          </w:pPr>
          <w:hyperlink w:anchor="__RefHeading___Toc2185_2077070603">
            <w:r>
              <w:rPr>
                <w:webHidden/>
                <w:rStyle w:val="IndexLink"/>
              </w:rPr>
              <w:t>3.11 Mezipřípadová syntéza</w:t>
              <w:tab/>
              <w:t>33</w:t>
            </w:r>
          </w:hyperlink>
        </w:p>
        <w:p>
          <w:pPr>
            <w:pStyle w:val="TOC2"/>
            <w:tabs>
              <w:tab w:val="clear" w:pos="8789"/>
              <w:tab w:val="right" w:pos="9071" w:leader="dot"/>
            </w:tabs>
            <w:rPr/>
          </w:pPr>
          <w:hyperlink w:anchor="__RefHeading___Toc2187_2077070603">
            <w:r>
              <w:rPr>
                <w:webHidden/>
                <w:rStyle w:val="IndexLink"/>
              </w:rPr>
              <w:t>3.12 Kontrola konzistence</w:t>
              <w:tab/>
              <w:t>34</w:t>
            </w:r>
          </w:hyperlink>
        </w:p>
        <w:p>
          <w:pPr>
            <w:pStyle w:val="TOC2"/>
            <w:tabs>
              <w:tab w:val="clear" w:pos="8789"/>
              <w:tab w:val="right" w:pos="9071" w:leader="dot"/>
            </w:tabs>
            <w:rPr/>
          </w:pPr>
          <w:hyperlink w:anchor="__RefHeading___Toc2189_2077070603">
            <w:r>
              <w:rPr>
                <w:webHidden/>
                <w:rStyle w:val="IndexLink"/>
              </w:rPr>
              <w:t>3.13 Důvěryhodnost a auditní stopa</w:t>
              <w:tab/>
              <w:t>34</w:t>
            </w:r>
          </w:hyperlink>
        </w:p>
        <w:p>
          <w:pPr>
            <w:pStyle w:val="TOC3"/>
            <w:tabs>
              <w:tab w:val="clear" w:pos="8505"/>
              <w:tab w:val="right" w:pos="9071" w:leader="dot"/>
            </w:tabs>
            <w:rPr/>
          </w:pPr>
          <w:hyperlink w:anchor="__RefHeading___Toc2191_2077070603">
            <w:r>
              <w:rPr>
                <w:webHidden/>
                <w:rStyle w:val="IndexLink"/>
              </w:rPr>
              <w:t>3.13.1 Dohledatelnost</w:t>
              <w:tab/>
              <w:t>34</w:t>
            </w:r>
          </w:hyperlink>
        </w:p>
        <w:p>
          <w:pPr>
            <w:pStyle w:val="TOC3"/>
            <w:tabs>
              <w:tab w:val="clear" w:pos="8505"/>
              <w:tab w:val="right" w:pos="9071" w:leader="dot"/>
            </w:tabs>
            <w:rPr/>
          </w:pPr>
          <w:hyperlink w:anchor="__RefHeading___Toc2193_2077070603">
            <w:r>
              <w:rPr>
                <w:webHidden/>
                <w:rStyle w:val="IndexLink"/>
              </w:rPr>
              <w:t>3.13.2 Negativní případy</w:t>
              <w:tab/>
              <w:t>34</w:t>
            </w:r>
          </w:hyperlink>
        </w:p>
        <w:p>
          <w:pPr>
            <w:pStyle w:val="TOC3"/>
            <w:tabs>
              <w:tab w:val="clear" w:pos="8505"/>
              <w:tab w:val="right" w:pos="9071" w:leader="dot"/>
            </w:tabs>
            <w:rPr/>
          </w:pPr>
          <w:hyperlink w:anchor="__RefHeading___Toc2195_2077070603">
            <w:r>
              <w:rPr>
                <w:webHidden/>
                <w:rStyle w:val="IndexLink"/>
              </w:rPr>
              <w:t>3.13.3 Alternativní výklad</w:t>
              <w:tab/>
              <w:t>35</w:t>
            </w:r>
          </w:hyperlink>
        </w:p>
        <w:p>
          <w:pPr>
            <w:pStyle w:val="TOC3"/>
            <w:tabs>
              <w:tab w:val="clear" w:pos="8505"/>
              <w:tab w:val="right" w:pos="9071" w:leader="dot"/>
            </w:tabs>
            <w:rPr/>
          </w:pPr>
          <w:hyperlink w:anchor="__RefHeading___Toc2197_2077070603">
            <w:r>
              <w:rPr>
                <w:webHidden/>
                <w:rStyle w:val="IndexLink"/>
              </w:rPr>
              <w:t>3.13.4 Reflexivita</w:t>
              <w:tab/>
              <w:t>35</w:t>
            </w:r>
          </w:hyperlink>
        </w:p>
        <w:p>
          <w:pPr>
            <w:pStyle w:val="TOC3"/>
            <w:tabs>
              <w:tab w:val="clear" w:pos="8505"/>
              <w:tab w:val="right" w:pos="9071" w:leader="dot"/>
            </w:tabs>
            <w:rPr/>
          </w:pPr>
          <w:hyperlink w:anchor="__RefHeading___Toc2199_2077070603">
            <w:r>
              <w:rPr>
                <w:webHidden/>
                <w:rStyle w:val="IndexLink"/>
              </w:rPr>
              <w:t>3.13.5 Verzování</w:t>
              <w:tab/>
              <w:t>35</w:t>
            </w:r>
          </w:hyperlink>
        </w:p>
        <w:p>
          <w:pPr>
            <w:pStyle w:val="TOC2"/>
            <w:tabs>
              <w:tab w:val="clear" w:pos="8789"/>
              <w:tab w:val="right" w:pos="9071" w:leader="dot"/>
            </w:tabs>
            <w:rPr/>
          </w:pPr>
          <w:hyperlink w:anchor="__RefHeading___Toc2201_2077070603">
            <w:r>
              <w:rPr>
                <w:webHidden/>
                <w:rStyle w:val="IndexLink"/>
              </w:rPr>
              <w:t>3.14 Etické aspekty</w:t>
              <w:tab/>
              <w:t>35</w:t>
            </w:r>
          </w:hyperlink>
        </w:p>
        <w:p>
          <w:pPr>
            <w:pStyle w:val="TOC2"/>
            <w:tabs>
              <w:tab w:val="clear" w:pos="8789"/>
              <w:tab w:val="right" w:pos="9071" w:leader="dot"/>
            </w:tabs>
            <w:rPr/>
          </w:pPr>
          <w:hyperlink w:anchor="__RefHeading___Toc2203_2077070603">
            <w:r>
              <w:rPr>
                <w:webHidden/>
                <w:rStyle w:val="IndexLink"/>
              </w:rPr>
              <w:t>3.15 Limity výzkumného designu</w:t>
              <w:tab/>
              <w:t>35</w:t>
            </w:r>
          </w:hyperlink>
        </w:p>
        <w:p>
          <w:pPr>
            <w:pStyle w:val="TOC2"/>
            <w:tabs>
              <w:tab w:val="clear" w:pos="8789"/>
              <w:tab w:val="right" w:pos="9071" w:leader="dot"/>
            </w:tabs>
            <w:rPr/>
          </w:pPr>
          <w:hyperlink w:anchor="__RefHeading___Toc2205_2077070603">
            <w:r>
              <w:rPr>
                <w:webHidden/>
                <w:rStyle w:val="IndexLink"/>
              </w:rPr>
              <w:t>3.16 Kritérium analytické dostatečnosti</w:t>
              <w:tab/>
              <w:t>36</w:t>
            </w:r>
          </w:hyperlink>
        </w:p>
        <w:p>
          <w:pPr>
            <w:pStyle w:val="TOC1"/>
            <w:tabs>
              <w:tab w:val="clear" w:pos="9072"/>
              <w:tab w:val="right" w:pos="9071" w:leader="dot"/>
            </w:tabs>
            <w:rPr/>
          </w:pPr>
          <w:hyperlink w:anchor="__RefHeading___Toc2207_2077070603">
            <w:r>
              <w:rPr>
                <w:webHidden/>
                <w:rStyle w:val="IndexLink"/>
              </w:rPr>
              <w:t>4 Výsledky</w:t>
              <w:tab/>
              <w:t>37</w:t>
            </w:r>
          </w:hyperlink>
        </w:p>
        <w:p>
          <w:pPr>
            <w:pStyle w:val="TOC2"/>
            <w:tabs>
              <w:tab w:val="clear" w:pos="8789"/>
              <w:tab w:val="right" w:pos="9071" w:leader="dot"/>
            </w:tabs>
            <w:rPr/>
          </w:pPr>
          <w:hyperlink w:anchor="__RefHeading___Toc2209_2077070603">
            <w:r>
              <w:rPr>
                <w:webHidden/>
                <w:rStyle w:val="IndexLink"/>
              </w:rPr>
              <w:t>4.1 Charakteristika analytického korpusu</w:t>
              <w:tab/>
              <w:t>37</w:t>
            </w:r>
          </w:hyperlink>
        </w:p>
        <w:p>
          <w:pPr>
            <w:pStyle w:val="TOC2"/>
            <w:tabs>
              <w:tab w:val="clear" w:pos="8789"/>
              <w:tab w:val="right" w:pos="9071" w:leader="dot"/>
            </w:tabs>
            <w:rPr/>
          </w:pPr>
          <w:hyperlink w:anchor="__RefHeading___Toc2211_2077070603">
            <w:r>
              <w:rPr>
                <w:webHidden/>
                <w:rStyle w:val="IndexLink"/>
              </w:rPr>
              <w:t>4.2 Téma 1: Standardizovaná architektura reportingu zakrývá rozdílnou manažerskou hloubku</w:t>
              <w:tab/>
              <w:t>38</w:t>
            </w:r>
          </w:hyperlink>
        </w:p>
        <w:p>
          <w:pPr>
            <w:pStyle w:val="TOC3"/>
            <w:tabs>
              <w:tab w:val="clear" w:pos="8505"/>
              <w:tab w:val="right" w:pos="9071" w:leader="dot"/>
            </w:tabs>
            <w:rPr/>
          </w:pPr>
          <w:hyperlink w:anchor="__RefHeading___Toc2213_2077070603">
            <w:r>
              <w:rPr>
                <w:webHidden/>
                <w:rStyle w:val="IndexLink"/>
              </w:rPr>
              <w:t>4.2.1 ČEZ: standardizace propojená s investiční strukturou</w:t>
              <w:tab/>
              <w:t>38</w:t>
            </w:r>
          </w:hyperlink>
        </w:p>
        <w:p>
          <w:pPr>
            <w:pStyle w:val="TOC3"/>
            <w:tabs>
              <w:tab w:val="clear" w:pos="8505"/>
              <w:tab w:val="right" w:pos="9071" w:leader="dot"/>
            </w:tabs>
            <w:rPr/>
          </w:pPr>
          <w:hyperlink w:anchor="__RefHeading___Toc2215_2077070603">
            <w:r>
              <w:rPr>
                <w:webHidden/>
                <w:rStyle w:val="IndexLink"/>
              </w:rPr>
              <w:t>4.2.2 MONETA: povinná struktura a čtenářský překlad</w:t>
              <w:tab/>
              <w:t>38</w:t>
            </w:r>
          </w:hyperlink>
        </w:p>
        <w:p>
          <w:pPr>
            <w:pStyle w:val="TOC3"/>
            <w:tabs>
              <w:tab w:val="clear" w:pos="8505"/>
              <w:tab w:val="right" w:pos="9071" w:leader="dot"/>
            </w:tabs>
            <w:rPr/>
          </w:pPr>
          <w:hyperlink w:anchor="__RefHeading___Toc2217_2077070603">
            <w:r>
              <w:rPr>
                <w:webHidden/>
                <w:rStyle w:val="IndexLink"/>
              </w:rPr>
              <w:t>4.2.3 O2: přechod mezi GRI a ESRS</w:t>
              <w:tab/>
              <w:t>39</w:t>
            </w:r>
          </w:hyperlink>
        </w:p>
        <w:p>
          <w:pPr>
            <w:pStyle w:val="TOC3"/>
            <w:tabs>
              <w:tab w:val="clear" w:pos="8505"/>
              <w:tab w:val="right" w:pos="9071" w:leader="dot"/>
            </w:tabs>
            <w:rPr/>
          </w:pPr>
          <w:hyperlink w:anchor="__RefHeading___Toc2219_2077070603">
            <w:r>
              <w:rPr>
                <w:webHidden/>
                <w:rStyle w:val="IndexLink"/>
              </w:rPr>
              <w:t>4.2.4 Škoda Auto: standardizace v prostředí nadnárodní skupiny</w:t>
              <w:tab/>
              <w:t>39</w:t>
            </w:r>
          </w:hyperlink>
        </w:p>
        <w:p>
          <w:pPr>
            <w:pStyle w:val="TOC3"/>
            <w:tabs>
              <w:tab w:val="clear" w:pos="8505"/>
              <w:tab w:val="right" w:pos="9071" w:leader="dot"/>
            </w:tabs>
            <w:rPr/>
          </w:pPr>
          <w:hyperlink w:anchor="__RefHeading___Toc2221_2077070603">
            <w:r>
              <w:rPr>
                <w:webHidden/>
                <w:rStyle w:val="IndexLink"/>
              </w:rPr>
              <w:t>4.2.5 Mezipřípadový závěr</w:t>
              <w:tab/>
              <w:t>40</w:t>
            </w:r>
          </w:hyperlink>
        </w:p>
        <w:p>
          <w:pPr>
            <w:pStyle w:val="TOC2"/>
            <w:tabs>
              <w:tab w:val="clear" w:pos="8789"/>
              <w:tab w:val="right" w:pos="9071" w:leader="dot"/>
            </w:tabs>
            <w:rPr/>
          </w:pPr>
          <w:hyperlink w:anchor="__RefHeading___Toc2223_2077070603">
            <w:r>
              <w:rPr>
                <w:webHidden/>
                <w:rStyle w:val="IndexLink"/>
              </w:rPr>
              <w:t>4.3 Téma 2: ESG se stává řídicí agendou tam, kde získá provozní nebo finanční kotvu</w:t>
              <w:tab/>
              <w:t>40</w:t>
            </w:r>
          </w:hyperlink>
        </w:p>
        <w:p>
          <w:pPr>
            <w:pStyle w:val="TOC3"/>
            <w:tabs>
              <w:tab w:val="clear" w:pos="8505"/>
              <w:tab w:val="right" w:pos="9071" w:leader="dot"/>
            </w:tabs>
            <w:rPr/>
          </w:pPr>
          <w:hyperlink w:anchor="__RefHeading___Toc2225_2077070603">
            <w:r>
              <w:rPr>
                <w:webHidden/>
                <w:rStyle w:val="IndexLink"/>
              </w:rPr>
              <w:t>4.3.1 ČEZ: investiční plán jako kotva transformace</w:t>
              <w:tab/>
              <w:t>40</w:t>
            </w:r>
          </w:hyperlink>
        </w:p>
        <w:p>
          <w:pPr>
            <w:pStyle w:val="TOC3"/>
            <w:tabs>
              <w:tab w:val="clear" w:pos="8505"/>
              <w:tab w:val="right" w:pos="9071" w:leader="dot"/>
            </w:tabs>
            <w:rPr/>
          </w:pPr>
          <w:hyperlink w:anchor="__RefHeading___Toc2227_2077070603">
            <w:r>
              <w:rPr>
                <w:webHidden/>
                <w:rStyle w:val="IndexLink"/>
              </w:rPr>
              <w:t>4.3.2 MONETA: pobídky, riziko a financované portfolio</w:t>
              <w:tab/>
              <w:t>40</w:t>
            </w:r>
          </w:hyperlink>
        </w:p>
        <w:p>
          <w:pPr>
            <w:pStyle w:val="TOC3"/>
            <w:tabs>
              <w:tab w:val="clear" w:pos="8505"/>
              <w:tab w:val="right" w:pos="9071" w:leader="dot"/>
            </w:tabs>
            <w:rPr/>
          </w:pPr>
          <w:hyperlink w:anchor="__RefHeading___Toc2229_2077070603">
            <w:r>
              <w:rPr>
                <w:webHidden/>
                <w:rStyle w:val="IndexLink"/>
              </w:rPr>
              <w:t>4.3.3 O2: energetická účinnost digitální infrastruktury</w:t>
              <w:tab/>
              <w:t>41</w:t>
            </w:r>
          </w:hyperlink>
        </w:p>
        <w:p>
          <w:pPr>
            <w:pStyle w:val="TOC3"/>
            <w:tabs>
              <w:tab w:val="clear" w:pos="8505"/>
              <w:tab w:val="right" w:pos="9071" w:leader="dot"/>
            </w:tabs>
            <w:rPr/>
          </w:pPr>
          <w:hyperlink w:anchor="__RefHeading___Toc2231_2077070603">
            <w:r>
              <w:rPr>
                <w:webHidden/>
                <w:rStyle w:val="IndexLink"/>
              </w:rPr>
              <w:t>4.3.4 Škoda Auto: produkt, výroba, CapEx a dodavatelský řetězec</w:t>
              <w:tab/>
              <w:t>41</w:t>
            </w:r>
          </w:hyperlink>
        </w:p>
        <w:p>
          <w:pPr>
            <w:pStyle w:val="TOC3"/>
            <w:tabs>
              <w:tab w:val="clear" w:pos="8505"/>
              <w:tab w:val="right" w:pos="9071" w:leader="dot"/>
            </w:tabs>
            <w:rPr/>
          </w:pPr>
          <w:hyperlink w:anchor="__RefHeading___Toc2233_2077070603">
            <w:r>
              <w:rPr>
                <w:webHidden/>
                <w:rStyle w:val="IndexLink"/>
              </w:rPr>
              <w:t>4.3.5 Mezipřípadový závěr</w:t>
              <w:tab/>
              <w:t>42</w:t>
            </w:r>
          </w:hyperlink>
        </w:p>
        <w:p>
          <w:pPr>
            <w:pStyle w:val="TOC2"/>
            <w:tabs>
              <w:tab w:val="clear" w:pos="8789"/>
              <w:tab w:val="right" w:pos="9071" w:leader="dot"/>
            </w:tabs>
            <w:rPr/>
          </w:pPr>
          <w:hyperlink w:anchor="__RefHeading___Toc2235_2077070603">
            <w:r>
              <w:rPr>
                <w:webHidden/>
                <w:rStyle w:val="IndexLink"/>
              </w:rPr>
              <w:t>4.4 Téma 3: Governance je nejlépe doložena vlastnictvím, kadencí a korektivním mechanismem</w:t>
              <w:tab/>
              <w:t>42</w:t>
            </w:r>
          </w:hyperlink>
        </w:p>
        <w:p>
          <w:pPr>
            <w:pStyle w:val="TOC3"/>
            <w:tabs>
              <w:tab w:val="clear" w:pos="8505"/>
              <w:tab w:val="right" w:pos="9071" w:leader="dot"/>
            </w:tabs>
            <w:rPr/>
          </w:pPr>
          <w:hyperlink w:anchor="__RefHeading___Toc2237_2077070603">
            <w:r>
              <w:rPr>
                <w:webHidden/>
                <w:rStyle w:val="IndexLink"/>
              </w:rPr>
              <w:t>4.4.1 ČEZ: vlastnictví na úrovni představenstva a pobídková vazba</w:t>
              <w:tab/>
              <w:t>42</w:t>
            </w:r>
          </w:hyperlink>
        </w:p>
        <w:p>
          <w:pPr>
            <w:pStyle w:val="TOC3"/>
            <w:tabs>
              <w:tab w:val="clear" w:pos="8505"/>
              <w:tab w:val="right" w:pos="9071" w:leader="dot"/>
            </w:tabs>
            <w:rPr/>
          </w:pPr>
          <w:hyperlink w:anchor="__RefHeading___Toc2239_2077070603">
            <w:r>
              <w:rPr>
                <w:webHidden/>
                <w:rStyle w:val="IndexLink"/>
              </w:rPr>
              <w:t>4.4.2 MONETA: nejúplnější kombinace kadence, autority a kontroly</w:t>
              <w:tab/>
              <w:t>42</w:t>
            </w:r>
          </w:hyperlink>
        </w:p>
        <w:p>
          <w:pPr>
            <w:pStyle w:val="TOC3"/>
            <w:tabs>
              <w:tab w:val="clear" w:pos="8505"/>
              <w:tab w:val="right" w:pos="9071" w:leader="dot"/>
            </w:tabs>
            <w:rPr/>
          </w:pPr>
          <w:hyperlink w:anchor="__RefHeading___Toc2241_2077070603">
            <w:r>
              <w:rPr>
                <w:webHidden/>
                <w:rStyle w:val="IndexLink"/>
              </w:rPr>
              <w:t>4.4.3 O2: dohled existuje, hodnocení nejvyššího orgánu bylo neúplné</w:t>
              <w:tab/>
              <w:t>43</w:t>
            </w:r>
          </w:hyperlink>
        </w:p>
        <w:p>
          <w:pPr>
            <w:pStyle w:val="TOC3"/>
            <w:tabs>
              <w:tab w:val="clear" w:pos="8505"/>
              <w:tab w:val="right" w:pos="9071" w:leader="dot"/>
            </w:tabs>
            <w:rPr/>
          </w:pPr>
          <w:hyperlink w:anchor="__RefHeading___Toc2243_2077070603">
            <w:r>
              <w:rPr>
                <w:webHidden/>
                <w:rStyle w:val="IndexLink"/>
              </w:rPr>
              <w:t>4.4.4 Škoda Auto: interní role doplněné externí expertizou a odbory</w:t>
              <w:tab/>
              <w:t>43</w:t>
            </w:r>
          </w:hyperlink>
        </w:p>
        <w:p>
          <w:pPr>
            <w:pStyle w:val="TOC3"/>
            <w:tabs>
              <w:tab w:val="clear" w:pos="8505"/>
              <w:tab w:val="right" w:pos="9071" w:leader="dot"/>
            </w:tabs>
            <w:rPr/>
          </w:pPr>
          <w:hyperlink w:anchor="__RefHeading___Toc2245_2077070603">
            <w:r>
              <w:rPr>
                <w:webHidden/>
                <w:rStyle w:val="IndexLink"/>
              </w:rPr>
              <w:t>4.4.5 Mezipřípadový závěr</w:t>
              <w:tab/>
              <w:t>43</w:t>
            </w:r>
          </w:hyperlink>
        </w:p>
        <w:p>
          <w:pPr>
            <w:pStyle w:val="TOC2"/>
            <w:tabs>
              <w:tab w:val="clear" w:pos="8789"/>
              <w:tab w:val="right" w:pos="9071" w:leader="dot"/>
            </w:tabs>
            <w:rPr/>
          </w:pPr>
          <w:hyperlink w:anchor="__RefHeading___Toc2247_2077070603">
            <w:r>
              <w:rPr>
                <w:webHidden/>
                <w:rStyle w:val="IndexLink"/>
              </w:rPr>
              <w:t>4.5 Téma 4: Metriky častěji zachycují aktivity a provozní výsledky než ověřený širší dopad</w:t>
              <w:tab/>
              <w:t>44</w:t>
            </w:r>
          </w:hyperlink>
        </w:p>
        <w:p>
          <w:pPr>
            <w:pStyle w:val="TOC3"/>
            <w:tabs>
              <w:tab w:val="clear" w:pos="8505"/>
              <w:tab w:val="right" w:pos="9071" w:leader="dot"/>
            </w:tabs>
            <w:rPr/>
          </w:pPr>
          <w:hyperlink w:anchor="__RefHeading___Toc2249_2077070603">
            <w:r>
              <w:rPr>
                <w:webHidden/>
                <w:rStyle w:val="IndexLink"/>
              </w:rPr>
              <w:t>4.5.1 Výstup není outcome</w:t>
              <w:tab/>
              <w:t>44</w:t>
            </w:r>
          </w:hyperlink>
        </w:p>
        <w:p>
          <w:pPr>
            <w:pStyle w:val="TOC3"/>
            <w:tabs>
              <w:tab w:val="clear" w:pos="8505"/>
              <w:tab w:val="right" w:pos="9071" w:leader="dot"/>
            </w:tabs>
            <w:rPr/>
          </w:pPr>
          <w:hyperlink w:anchor="__RefHeading___Toc2251_2077070603">
            <w:r>
              <w:rPr>
                <w:webHidden/>
                <w:rStyle w:val="IndexLink"/>
              </w:rPr>
              <w:t>4.5.2 Provozní outcome a problém intenzity</w:t>
              <w:tab/>
              <w:t>44</w:t>
            </w:r>
          </w:hyperlink>
        </w:p>
        <w:p>
          <w:pPr>
            <w:pStyle w:val="TOC3"/>
            <w:tabs>
              <w:tab w:val="clear" w:pos="8505"/>
              <w:tab w:val="right" w:pos="9071" w:leader="dot"/>
            </w:tabs>
            <w:rPr/>
          </w:pPr>
          <w:hyperlink w:anchor="__RefHeading___Toc2253_2077070603">
            <w:r>
              <w:rPr>
                <w:webHidden/>
                <w:rStyle w:val="IndexLink"/>
              </w:rPr>
              <w:t>4.5.3 Časová řada bez stabilní hranice</w:t>
              <w:tab/>
              <w:t>45</w:t>
            </w:r>
          </w:hyperlink>
        </w:p>
        <w:p>
          <w:pPr>
            <w:pStyle w:val="TOC3"/>
            <w:tabs>
              <w:tab w:val="clear" w:pos="8505"/>
              <w:tab w:val="right" w:pos="9071" w:leader="dot"/>
            </w:tabs>
            <w:rPr/>
          </w:pPr>
          <w:hyperlink w:anchor="__RefHeading___Toc2255_2077070603">
            <w:r>
              <w:rPr>
                <w:webHidden/>
                <w:rStyle w:val="IndexLink"/>
              </w:rPr>
              <w:t>4.5.4 Assurance ověřuje vymezené tvrzení, nikoli celý příběh</w:t>
              <w:tab/>
              <w:t>45</w:t>
            </w:r>
          </w:hyperlink>
        </w:p>
        <w:p>
          <w:pPr>
            <w:pStyle w:val="TOC3"/>
            <w:tabs>
              <w:tab w:val="clear" w:pos="8505"/>
              <w:tab w:val="right" w:pos="9071" w:leader="dot"/>
            </w:tabs>
            <w:rPr/>
          </w:pPr>
          <w:hyperlink w:anchor="__RefHeading___Toc2257_2077070603">
            <w:r>
              <w:rPr>
                <w:webHidden/>
                <w:rStyle w:val="IndexLink"/>
              </w:rPr>
              <w:t>4.5.5 Mezipřípadový závěr</w:t>
              <w:tab/>
              <w:t>45</w:t>
            </w:r>
          </w:hyperlink>
        </w:p>
        <w:p>
          <w:pPr>
            <w:pStyle w:val="TOC2"/>
            <w:tabs>
              <w:tab w:val="clear" w:pos="8789"/>
              <w:tab w:val="right" w:pos="9071" w:leader="dot"/>
            </w:tabs>
            <w:rPr/>
          </w:pPr>
          <w:hyperlink w:anchor="__RefHeading___Toc2259_2077070603">
            <w:r>
              <w:rPr>
                <w:webHidden/>
                <w:rStyle w:val="IndexLink"/>
              </w:rPr>
              <w:t>4.6 Téma 5: Přiznané napětí, revize a negativní informace zvyšují informační hodnotu reportu</w:t>
              <w:tab/>
              <w:t>46</w:t>
            </w:r>
          </w:hyperlink>
        </w:p>
        <w:p>
          <w:pPr>
            <w:pStyle w:val="TOC3"/>
            <w:tabs>
              <w:tab w:val="clear" w:pos="8505"/>
              <w:tab w:val="right" w:pos="9071" w:leader="dot"/>
            </w:tabs>
            <w:rPr/>
          </w:pPr>
          <w:hyperlink w:anchor="__RefHeading___Toc2261_2077070603">
            <w:r>
              <w:rPr>
                <w:webHidden/>
                <w:rStyle w:val="IndexLink"/>
              </w:rPr>
              <w:t>4.6.1 ČEZ: transformace zahrnuje pokračující negativní dopad</w:t>
              <w:tab/>
              <w:t>46</w:t>
            </w:r>
          </w:hyperlink>
        </w:p>
        <w:p>
          <w:pPr>
            <w:pStyle w:val="TOC3"/>
            <w:tabs>
              <w:tab w:val="clear" w:pos="8505"/>
              <w:tab w:val="right" w:pos="9071" w:leader="dot"/>
            </w:tabs>
            <w:rPr/>
          </w:pPr>
          <w:hyperlink w:anchor="__RefHeading___Toc2263_2077070603">
            <w:r>
              <w:rPr>
                <w:webHidden/>
                <w:rStyle w:val="IndexLink"/>
              </w:rPr>
              <w:t>4.6.2 MONETA: otevřená kritika, zhoršený ukazatel a chybějící cíl</w:t>
              <w:tab/>
              <w:t>46</w:t>
            </w:r>
          </w:hyperlink>
        </w:p>
        <w:p>
          <w:pPr>
            <w:pStyle w:val="TOC3"/>
            <w:tabs>
              <w:tab w:val="clear" w:pos="8505"/>
              <w:tab w:val="right" w:pos="9071" w:leader="dot"/>
            </w:tabs>
            <w:rPr/>
          </w:pPr>
          <w:hyperlink w:anchor="__RefHeading___Toc2265_2077070603">
            <w:r>
              <w:rPr>
                <w:webHidden/>
                <w:rStyle w:val="IndexLink"/>
              </w:rPr>
              <w:t>4.6.3 O2: restrukturalizace, růst emisí a absence assurance</w:t>
              <w:tab/>
              <w:t>47</w:t>
            </w:r>
          </w:hyperlink>
        </w:p>
        <w:p>
          <w:pPr>
            <w:pStyle w:val="TOC3"/>
            <w:tabs>
              <w:tab w:val="clear" w:pos="8505"/>
              <w:tab w:val="right" w:pos="9071" w:leader="dot"/>
            </w:tabs>
            <w:rPr/>
          </w:pPr>
          <w:hyperlink w:anchor="__RefHeading___Toc2267_2077070603">
            <w:r>
              <w:rPr>
                <w:webHidden/>
                <w:rStyle w:val="IndexLink"/>
              </w:rPr>
              <w:t>4.6.4 Škoda Auto: korekce pozitivního narativu prostřednictvím hranic</w:t>
              <w:tab/>
              <w:t>47</w:t>
            </w:r>
          </w:hyperlink>
        </w:p>
        <w:p>
          <w:pPr>
            <w:pStyle w:val="TOC3"/>
            <w:tabs>
              <w:tab w:val="clear" w:pos="8505"/>
              <w:tab w:val="right" w:pos="9071" w:leader="dot"/>
            </w:tabs>
            <w:rPr/>
          </w:pPr>
          <w:hyperlink w:anchor="__RefHeading___Toc2269_2077070603">
            <w:r>
              <w:rPr>
                <w:webHidden/>
                <w:rStyle w:val="IndexLink"/>
              </w:rPr>
              <w:t>4.6.5 Mezipřípadový závěr</w:t>
              <w:tab/>
              <w:t>47</w:t>
            </w:r>
          </w:hyperlink>
        </w:p>
        <w:p>
          <w:pPr>
            <w:pStyle w:val="TOC2"/>
            <w:tabs>
              <w:tab w:val="clear" w:pos="8789"/>
              <w:tab w:val="right" w:pos="9071" w:leader="dot"/>
            </w:tabs>
            <w:rPr/>
          </w:pPr>
          <w:hyperlink w:anchor="__RefHeading___Toc2271_2077070603">
            <w:r>
              <w:rPr>
                <w:webHidden/>
                <w:rStyle w:val="IndexLink"/>
              </w:rPr>
              <w:t>4.7 Mezipřípadová typologie zveřejněné implementace</w:t>
              <w:tab/>
              <w:t>48</w:t>
            </w:r>
          </w:hyperlink>
        </w:p>
        <w:p>
          <w:pPr>
            <w:pStyle w:val="TOC2"/>
            <w:tabs>
              <w:tab w:val="clear" w:pos="8789"/>
              <w:tab w:val="right" w:pos="9071" w:leader="dot"/>
            </w:tabs>
            <w:rPr/>
          </w:pPr>
          <w:hyperlink w:anchor="__RefHeading___Toc2273_2077070603">
            <w:r>
              <w:rPr>
                <w:webHidden/>
                <w:rStyle w:val="IndexLink"/>
              </w:rPr>
              <w:t>4.8 Odpovědi na dílčí výzkumné otázky</w:t>
              <w:tab/>
              <w:t>48</w:t>
            </w:r>
          </w:hyperlink>
        </w:p>
        <w:p>
          <w:pPr>
            <w:pStyle w:val="TOC3"/>
            <w:tabs>
              <w:tab w:val="clear" w:pos="8505"/>
              <w:tab w:val="right" w:pos="9071" w:leader="dot"/>
            </w:tabs>
            <w:rPr/>
          </w:pPr>
          <w:hyperlink w:anchor="__RefHeading___Toc2275_2077070603">
            <w:r>
              <w:rPr>
                <w:webHidden/>
                <w:rStyle w:val="IndexLink"/>
              </w:rPr>
              <w:t>4.8.1 Materialita a podnikatelský model</w:t>
              <w:tab/>
              <w:t>48</w:t>
            </w:r>
          </w:hyperlink>
        </w:p>
        <w:p>
          <w:pPr>
            <w:pStyle w:val="TOC3"/>
            <w:tabs>
              <w:tab w:val="clear" w:pos="8505"/>
              <w:tab w:val="right" w:pos="9071" w:leader="dot"/>
            </w:tabs>
            <w:rPr/>
          </w:pPr>
          <w:hyperlink w:anchor="__RefHeading___Toc2277_2077070603">
            <w:r>
              <w:rPr>
                <w:webHidden/>
                <w:rStyle w:val="IndexLink"/>
              </w:rPr>
              <w:t>4.8.2 Odpovědnost a koordinace</w:t>
              <w:tab/>
              <w:t>49</w:t>
            </w:r>
          </w:hyperlink>
        </w:p>
        <w:p>
          <w:pPr>
            <w:pStyle w:val="TOC3"/>
            <w:tabs>
              <w:tab w:val="clear" w:pos="8505"/>
              <w:tab w:val="right" w:pos="9071" w:leader="dot"/>
            </w:tabs>
            <w:rPr/>
          </w:pPr>
          <w:hyperlink w:anchor="__RefHeading___Toc2279_2077070603">
            <w:r>
              <w:rPr>
                <w:webHidden/>
                <w:rStyle w:val="IndexLink"/>
              </w:rPr>
              <w:t>4.8.3 Rozhodovací vazba</w:t>
              <w:tab/>
              <w:t>49</w:t>
            </w:r>
          </w:hyperlink>
        </w:p>
        <w:p>
          <w:pPr>
            <w:pStyle w:val="TOC3"/>
            <w:tabs>
              <w:tab w:val="clear" w:pos="8505"/>
              <w:tab w:val="right" w:pos="9071" w:leader="dot"/>
            </w:tabs>
            <w:rPr/>
          </w:pPr>
          <w:hyperlink w:anchor="__RefHeading___Toc2281_2077070603">
            <w:r>
              <w:rPr>
                <w:webHidden/>
                <w:rStyle w:val="IndexLink"/>
              </w:rPr>
              <w:t>4.8.4 Evidenční síla cílů a metrik</w:t>
              <w:tab/>
              <w:t>49</w:t>
            </w:r>
          </w:hyperlink>
        </w:p>
        <w:p>
          <w:pPr>
            <w:pStyle w:val="TOC3"/>
            <w:tabs>
              <w:tab w:val="clear" w:pos="8505"/>
              <w:tab w:val="right" w:pos="9071" w:leader="dot"/>
            </w:tabs>
            <w:rPr/>
          </w:pPr>
          <w:hyperlink w:anchor="__RefHeading___Toc2283_2077070603">
            <w:r>
              <w:rPr>
                <w:webHidden/>
                <w:rStyle w:val="IndexLink"/>
              </w:rPr>
              <w:t>4.8.5 Negativní informace a trade-offy</w:t>
              <w:tab/>
              <w:t>49</w:t>
            </w:r>
          </w:hyperlink>
        </w:p>
        <w:p>
          <w:pPr>
            <w:pStyle w:val="TOC3"/>
            <w:tabs>
              <w:tab w:val="clear" w:pos="8505"/>
              <w:tab w:val="right" w:pos="9071" w:leader="dot"/>
            </w:tabs>
            <w:rPr/>
          </w:pPr>
          <w:hyperlink w:anchor="__RefHeading___Toc2285_2077070603">
            <w:r>
              <w:rPr>
                <w:webHidden/>
                <w:rStyle w:val="IndexLink"/>
              </w:rPr>
              <w:t>4.8.6 Sektorové rozdíly</w:t>
              <w:tab/>
              <w:t>49</w:t>
            </w:r>
          </w:hyperlink>
        </w:p>
        <w:p>
          <w:pPr>
            <w:pStyle w:val="TOC2"/>
            <w:tabs>
              <w:tab w:val="clear" w:pos="8789"/>
              <w:tab w:val="right" w:pos="9071" w:leader="dot"/>
            </w:tabs>
            <w:rPr/>
          </w:pPr>
          <w:hyperlink w:anchor="__RefHeading___Toc2287_2077070603">
            <w:r>
              <w:rPr>
                <w:webHidden/>
                <w:rStyle w:val="IndexLink"/>
              </w:rPr>
              <w:t>4.9 Shrnutí výsledků</w:t>
              <w:tab/>
              <w:t>50</w:t>
            </w:r>
          </w:hyperlink>
        </w:p>
        <w:p>
          <w:pPr>
            <w:pStyle w:val="TOC1"/>
            <w:tabs>
              <w:tab w:val="clear" w:pos="9072"/>
              <w:tab w:val="right" w:pos="9071" w:leader="dot"/>
            </w:tabs>
            <w:rPr/>
          </w:pPr>
          <w:hyperlink w:anchor="__RefHeading___Toc2289_2077070603">
            <w:r>
              <w:rPr>
                <w:webHidden/>
                <w:rStyle w:val="IndexLink"/>
              </w:rPr>
              <w:t>5 Diskuse</w:t>
              <w:tab/>
              <w:t>51</w:t>
            </w:r>
          </w:hyperlink>
        </w:p>
        <w:p>
          <w:pPr>
            <w:pStyle w:val="TOC2"/>
            <w:tabs>
              <w:tab w:val="clear" w:pos="8789"/>
              <w:tab w:val="right" w:pos="9071" w:leader="dot"/>
            </w:tabs>
            <w:rPr/>
          </w:pPr>
          <w:hyperlink w:anchor="__RefHeading___Toc2291_2077070603">
            <w:r>
              <w:rPr>
                <w:webHidden/>
                <w:rStyle w:val="IndexLink"/>
              </w:rPr>
              <w:t>5.1 Odpověď na hlavní výzkumnou otázku</w:t>
              <w:tab/>
              <w:t>51</w:t>
            </w:r>
          </w:hyperlink>
        </w:p>
        <w:p>
          <w:pPr>
            <w:pStyle w:val="TOC2"/>
            <w:tabs>
              <w:tab w:val="clear" w:pos="8789"/>
              <w:tab w:val="right" w:pos="9071" w:leader="dot"/>
            </w:tabs>
            <w:rPr/>
          </w:pPr>
          <w:hyperlink w:anchor="__RefHeading___Toc2293_2077070603">
            <w:r>
              <w:rPr>
                <w:webHidden/>
                <w:rStyle w:val="IndexLink"/>
              </w:rPr>
              <w:t>5.2 Institucionální izomorfismus: podobné reporty, odlišné řízení</w:t>
              <w:tab/>
              <w:t>52</w:t>
            </w:r>
          </w:hyperlink>
        </w:p>
        <w:p>
          <w:pPr>
            <w:pStyle w:val="TOC2"/>
            <w:tabs>
              <w:tab w:val="clear" w:pos="8789"/>
              <w:tab w:val="right" w:pos="9071" w:leader="dot"/>
            </w:tabs>
            <w:rPr/>
          </w:pPr>
          <w:hyperlink w:anchor="__RefHeading___Toc2295_2077070603">
            <w:r>
              <w:rPr>
                <w:webHidden/>
                <w:rStyle w:val="IndexLink"/>
              </w:rPr>
              <w:t>5.3 Materialita jako seznam versus materialita jako alokační mechanismus</w:t>
              <w:tab/>
              <w:t>52</w:t>
            </w:r>
          </w:hyperlink>
        </w:p>
        <w:p>
          <w:pPr>
            <w:pStyle w:val="TOC2"/>
            <w:tabs>
              <w:tab w:val="clear" w:pos="8789"/>
              <w:tab w:val="right" w:pos="9071" w:leader="dot"/>
            </w:tabs>
            <w:rPr/>
          </w:pPr>
          <w:hyperlink w:anchor="__RefHeading___Toc2297_2077070603">
            <w:r>
              <w:rPr>
                <w:webHidden/>
                <w:rStyle w:val="IndexLink"/>
              </w:rPr>
              <w:t>5.4 Governance: od organigramu ke schopnosti korigovat rozhodnutí</w:t>
              <w:tab/>
              <w:t>53</w:t>
            </w:r>
          </w:hyperlink>
        </w:p>
        <w:p>
          <w:pPr>
            <w:pStyle w:val="TOC2"/>
            <w:tabs>
              <w:tab w:val="clear" w:pos="8789"/>
              <w:tab w:val="right" w:pos="9071" w:leader="dot"/>
            </w:tabs>
            <w:rPr/>
          </w:pPr>
          <w:hyperlink w:anchor="__RefHeading___Toc2299_2077070603">
            <w:r>
              <w:rPr>
                <w:webHidden/>
                <w:rStyle w:val="IndexLink"/>
              </w:rPr>
              <w:t>5.5 Legitimita, pozitivní narativ a význam negativních informací</w:t>
              <w:tab/>
              <w:t>54</w:t>
            </w:r>
          </w:hyperlink>
        </w:p>
        <w:p>
          <w:pPr>
            <w:pStyle w:val="TOC2"/>
            <w:tabs>
              <w:tab w:val="clear" w:pos="8789"/>
              <w:tab w:val="right" w:pos="9071" w:leader="dot"/>
            </w:tabs>
            <w:rPr/>
          </w:pPr>
          <w:hyperlink w:anchor="__RefHeading___Toc2301_2077070603">
            <w:r>
              <w:rPr>
                <w:webHidden/>
                <w:rStyle w:val="IndexLink"/>
              </w:rPr>
              <w:t>5.6 Aktivita, outcome a dopad</w:t>
              <w:tab/>
              <w:t>55</w:t>
            </w:r>
          </w:hyperlink>
        </w:p>
        <w:p>
          <w:pPr>
            <w:pStyle w:val="TOC2"/>
            <w:tabs>
              <w:tab w:val="clear" w:pos="8789"/>
              <w:tab w:val="right" w:pos="9071" w:leader="dot"/>
            </w:tabs>
            <w:rPr/>
          </w:pPr>
          <w:hyperlink w:anchor="__RefHeading___Toc2303_2077070603">
            <w:r>
              <w:rPr>
                <w:webHidden/>
                <w:rStyle w:val="IndexLink"/>
              </w:rPr>
              <w:t>5.7 Externí ujištění bez halo efektu</w:t>
              <w:tab/>
              <w:t>56</w:t>
            </w:r>
          </w:hyperlink>
        </w:p>
        <w:p>
          <w:pPr>
            <w:pStyle w:val="TOC2"/>
            <w:tabs>
              <w:tab w:val="clear" w:pos="8789"/>
              <w:tab w:val="right" w:pos="9071" w:leader="dot"/>
            </w:tabs>
            <w:rPr/>
          </w:pPr>
          <w:hyperlink w:anchor="__RefHeading___Toc2305_2077070603">
            <w:r>
              <w:rPr>
                <w:webHidden/>
                <w:rStyle w:val="IndexLink"/>
              </w:rPr>
              <w:t>5.8 Přínos a limity škály E0–E4</w:t>
              <w:tab/>
              <w:t>56</w:t>
            </w:r>
          </w:hyperlink>
        </w:p>
        <w:p>
          <w:pPr>
            <w:pStyle w:val="TOC2"/>
            <w:tabs>
              <w:tab w:val="clear" w:pos="8789"/>
              <w:tab w:val="right" w:pos="9071" w:leader="dot"/>
            </w:tabs>
            <w:rPr/>
          </w:pPr>
          <w:hyperlink w:anchor="__RefHeading___Toc2307_2077070603">
            <w:r>
              <w:rPr>
                <w:webHidden/>
                <w:rStyle w:val="IndexLink"/>
              </w:rPr>
              <w:t>5.9 Sektorová materialita a nemožnost jednotného skóre</w:t>
              <w:tab/>
              <w:t>57</w:t>
            </w:r>
          </w:hyperlink>
        </w:p>
        <w:p>
          <w:pPr>
            <w:pStyle w:val="TOC2"/>
            <w:tabs>
              <w:tab w:val="clear" w:pos="8789"/>
              <w:tab w:val="right" w:pos="9071" w:leader="dot"/>
            </w:tabs>
            <w:rPr/>
          </w:pPr>
          <w:hyperlink w:anchor="__RefHeading___Toc2309_2077070603">
            <w:r>
              <w:rPr>
                <w:webHidden/>
                <w:rStyle w:val="IndexLink"/>
              </w:rPr>
              <w:t>5.10 Praktická doporučení pro podniky</w:t>
              <w:tab/>
              <w:t>57</w:t>
            </w:r>
          </w:hyperlink>
        </w:p>
        <w:p>
          <w:pPr>
            <w:pStyle w:val="TOC3"/>
            <w:tabs>
              <w:tab w:val="clear" w:pos="8505"/>
              <w:tab w:val="right" w:pos="9071" w:leader="dot"/>
            </w:tabs>
            <w:rPr/>
          </w:pPr>
          <w:hyperlink w:anchor="__RefHeading___Toc2311_2077070603">
            <w:r>
              <w:rPr>
                <w:webHidden/>
                <w:rStyle w:val="IndexLink"/>
              </w:rPr>
              <w:t>5.10.1 Spojit tvrzení s rozhodovacím mechanismem</w:t>
              <w:tab/>
              <w:t>57</w:t>
            </w:r>
          </w:hyperlink>
        </w:p>
        <w:p>
          <w:pPr>
            <w:pStyle w:val="TOC3"/>
            <w:tabs>
              <w:tab w:val="clear" w:pos="8505"/>
              <w:tab w:val="right" w:pos="9071" w:leader="dot"/>
            </w:tabs>
            <w:rPr/>
          </w:pPr>
          <w:hyperlink w:anchor="__RefHeading___Toc2313_2077070603">
            <w:r>
              <w:rPr>
                <w:webHidden/>
                <w:rStyle w:val="IndexLink"/>
              </w:rPr>
              <w:t>5.10.2 Oddělit aktivitu, outcome a dopad</w:t>
              <w:tab/>
              <w:t>57</w:t>
            </w:r>
          </w:hyperlink>
        </w:p>
        <w:p>
          <w:pPr>
            <w:pStyle w:val="TOC3"/>
            <w:tabs>
              <w:tab w:val="clear" w:pos="8505"/>
              <w:tab w:val="right" w:pos="9071" w:leader="dot"/>
            </w:tabs>
            <w:rPr/>
          </w:pPr>
          <w:hyperlink w:anchor="__RefHeading___Toc2315_2077070603">
            <w:r>
              <w:rPr>
                <w:webHidden/>
                <w:rStyle w:val="IndexLink"/>
              </w:rPr>
              <w:t>5.10.3 Zveřejnit hranice a změny metodiky</w:t>
              <w:tab/>
              <w:t>58</w:t>
            </w:r>
          </w:hyperlink>
        </w:p>
        <w:p>
          <w:pPr>
            <w:pStyle w:val="TOC3"/>
            <w:tabs>
              <w:tab w:val="clear" w:pos="8505"/>
              <w:tab w:val="right" w:pos="9071" w:leader="dot"/>
            </w:tabs>
            <w:rPr/>
          </w:pPr>
          <w:hyperlink w:anchor="__RefHeading___Toc2317_2077070603">
            <w:r>
              <w:rPr>
                <w:webHidden/>
                <w:rStyle w:val="IndexLink"/>
              </w:rPr>
              <w:t>5.10.4 Ukázat, co se stane při neplnění</w:t>
              <w:tab/>
              <w:t>58</w:t>
            </w:r>
          </w:hyperlink>
        </w:p>
        <w:p>
          <w:pPr>
            <w:pStyle w:val="TOC3"/>
            <w:tabs>
              <w:tab w:val="clear" w:pos="8505"/>
              <w:tab w:val="right" w:pos="9071" w:leader="dot"/>
            </w:tabs>
            <w:rPr/>
          </w:pPr>
          <w:hyperlink w:anchor="__RefHeading___Toc2319_2077070603">
            <w:r>
              <w:rPr>
                <w:webHidden/>
                <w:rStyle w:val="IndexLink"/>
              </w:rPr>
              <w:t>5.10.5 Nezakrývat neúspěch</w:t>
              <w:tab/>
              <w:t>58</w:t>
            </w:r>
          </w:hyperlink>
        </w:p>
        <w:p>
          <w:pPr>
            <w:pStyle w:val="TOC3"/>
            <w:tabs>
              <w:tab w:val="clear" w:pos="8505"/>
              <w:tab w:val="right" w:pos="9071" w:leader="dot"/>
            </w:tabs>
            <w:rPr/>
          </w:pPr>
          <w:hyperlink w:anchor="__RefHeading___Toc2321_2077070603">
            <w:r>
              <w:rPr>
                <w:webHidden/>
                <w:rStyle w:val="IndexLink"/>
              </w:rPr>
              <w:t>5.10.6 Přesně vymezit assurance</w:t>
              <w:tab/>
              <w:t>58</w:t>
            </w:r>
          </w:hyperlink>
        </w:p>
        <w:p>
          <w:pPr>
            <w:pStyle w:val="TOC2"/>
            <w:tabs>
              <w:tab w:val="clear" w:pos="8789"/>
              <w:tab w:val="right" w:pos="9071" w:leader="dot"/>
            </w:tabs>
            <w:rPr/>
          </w:pPr>
          <w:hyperlink w:anchor="__RefHeading___Toc2323_2077070603">
            <w:r>
              <w:rPr>
                <w:webHidden/>
                <w:rStyle w:val="IndexLink"/>
              </w:rPr>
              <w:t>5.11 Doporučení pro čtenáře, investory a hodnotitele</w:t>
              <w:tab/>
              <w:t>58</w:t>
            </w:r>
          </w:hyperlink>
        </w:p>
        <w:p>
          <w:pPr>
            <w:pStyle w:val="TOC2"/>
            <w:tabs>
              <w:tab w:val="clear" w:pos="8789"/>
              <w:tab w:val="right" w:pos="9071" w:leader="dot"/>
            </w:tabs>
            <w:rPr/>
          </w:pPr>
          <w:hyperlink w:anchor="__RefHeading___Toc2325_2077070603">
            <w:r>
              <w:rPr>
                <w:webHidden/>
                <w:rStyle w:val="IndexLink"/>
              </w:rPr>
              <w:t>5.12 Doporučení pro další výzkum</w:t>
              <w:tab/>
              <w:t>58</w:t>
            </w:r>
          </w:hyperlink>
        </w:p>
        <w:p>
          <w:pPr>
            <w:pStyle w:val="TOC2"/>
            <w:tabs>
              <w:tab w:val="clear" w:pos="8789"/>
              <w:tab w:val="right" w:pos="9071" w:leader="dot"/>
            </w:tabs>
            <w:rPr/>
          </w:pPr>
          <w:hyperlink w:anchor="__RefHeading___Toc2327_2077070603">
            <w:r>
              <w:rPr>
                <w:webHidden/>
                <w:rStyle w:val="IndexLink"/>
              </w:rPr>
              <w:t>5.13 Limity interpretace výsledků</w:t>
              <w:tab/>
              <w:t>59</w:t>
            </w:r>
          </w:hyperlink>
        </w:p>
        <w:p>
          <w:pPr>
            <w:pStyle w:val="TOC2"/>
            <w:tabs>
              <w:tab w:val="clear" w:pos="8789"/>
              <w:tab w:val="right" w:pos="9071" w:leader="dot"/>
            </w:tabs>
            <w:rPr/>
          </w:pPr>
          <w:hyperlink w:anchor="__RefHeading___Toc2329_2077070603">
            <w:r>
              <w:rPr>
                <w:webHidden/>
                <w:rStyle w:val="IndexLink"/>
              </w:rPr>
              <w:t>5.14 Shrnutí diskuse</w:t>
              <w:tab/>
              <w:t>60</w:t>
            </w:r>
          </w:hyperlink>
        </w:p>
        <w:p>
          <w:pPr>
            <w:pStyle w:val="TOC1"/>
            <w:tabs>
              <w:tab w:val="clear" w:pos="9072"/>
              <w:tab w:val="right" w:pos="9071" w:leader="dot"/>
            </w:tabs>
            <w:rPr/>
          </w:pPr>
          <w:hyperlink w:anchor="__RefHeading___Toc2331_2077070603">
            <w:r>
              <w:rPr>
                <w:webHidden/>
                <w:rStyle w:val="IndexLink"/>
              </w:rPr>
              <w:t>Závěr</w:t>
              <w:tab/>
              <w:t>61</w:t>
            </w:r>
          </w:hyperlink>
        </w:p>
        <w:p>
          <w:pPr>
            <w:pStyle w:val="TOC1"/>
            <w:tabs>
              <w:tab w:val="clear" w:pos="9072"/>
              <w:tab w:val="right" w:pos="9071" w:leader="dot"/>
            </w:tabs>
            <w:rPr/>
          </w:pPr>
          <w:hyperlink w:anchor="__RefHeading___Toc2333_2077070603">
            <w:r>
              <w:rPr>
                <w:webHidden/>
                <w:rStyle w:val="IndexLink"/>
              </w:rPr>
              <w:t>Seznam použitých zdrojů</w:t>
              <w:tab/>
              <w:t>64</w:t>
            </w:r>
          </w:hyperlink>
        </w:p>
        <w:p>
          <w:pPr>
            <w:pStyle w:val="TOC2"/>
            <w:tabs>
              <w:tab w:val="clear" w:pos="8789"/>
              <w:tab w:val="right" w:pos="9071" w:leader="dot"/>
            </w:tabs>
            <w:rPr/>
          </w:pPr>
          <w:hyperlink w:anchor="__RefHeading___Toc2335_2077070603">
            <w:r>
              <w:rPr>
                <w:webHidden/>
                <w:rStyle w:val="IndexLink"/>
              </w:rPr>
              <w:t>Akademická literatura</w:t>
              <w:tab/>
              <w:t>64</w:t>
            </w:r>
          </w:hyperlink>
        </w:p>
        <w:p>
          <w:pPr>
            <w:pStyle w:val="TOC2"/>
            <w:tabs>
              <w:tab w:val="clear" w:pos="8789"/>
              <w:tab w:val="right" w:pos="9071" w:leader="dot"/>
            </w:tabs>
            <w:rPr/>
          </w:pPr>
          <w:hyperlink w:anchor="__RefHeading___Toc2337_2077070603">
            <w:r>
              <w:rPr>
                <w:webHidden/>
                <w:rStyle w:val="IndexLink"/>
              </w:rPr>
              <w:t>Právní a regulatorní prameny</w:t>
              <w:tab/>
              <w:t>65</w:t>
            </w:r>
          </w:hyperlink>
        </w:p>
        <w:p>
          <w:pPr>
            <w:pStyle w:val="TOC2"/>
            <w:tabs>
              <w:tab w:val="clear" w:pos="8789"/>
              <w:tab w:val="right" w:pos="9071" w:leader="dot"/>
            </w:tabs>
            <w:rPr/>
          </w:pPr>
          <w:hyperlink w:anchor="__RefHeading___Toc2339_2077070603">
            <w:r>
              <w:rPr>
                <w:webHidden/>
                <w:rStyle w:val="IndexLink"/>
              </w:rPr>
              <w:t>Analyzované firemní dokumenty</w:t>
              <w:tab/>
              <w:t>65</w:t>
            </w:r>
          </w:hyperlink>
          <w:r>
            <w:rPr>
              <w:rStyle w:val="IndexLink"/>
            </w:rPr>
            <w:fldChar w:fldCharType="end"/>
          </w:r>
        </w:p>
      </w:sdtContent>
    </w:sdt>
    <w:p>
      <w:pPr>
        <w:pStyle w:val="Normal"/>
        <w:widowControl/>
        <w:bidi w:val="0"/>
        <w:spacing w:lineRule="auto" w:line="360" w:before="0" w:after="0"/>
        <w:ind w:firstLine="709"/>
        <w:jc w:val="both"/>
        <w:rPr>
          <w:rFonts w:ascii="Times New Roman" w:hAnsi="Times New Roman" w:eastAsia="Times New Roman"/>
          <w:sz w:val="24"/>
        </w:rPr>
      </w:pPr>
      <w:r>
        <w:rPr>
          <w:rFonts w:eastAsia="Times New Roman"/>
          <w:sz w:val="24"/>
        </w:rPr>
      </w:r>
      <w:r>
        <w:br w:type="page"/>
      </w:r>
    </w:p>
    <w:p>
      <w:pPr>
        <w:pStyle w:val="Heading1"/>
        <w:keepNext w:val="true"/>
        <w:widowControl/>
        <w:spacing w:before="0" w:after="180"/>
        <w:ind w:hanging="0"/>
        <w:rPr/>
      </w:pPr>
      <w:bookmarkStart w:id="0" w:name="__RefHeading___Toc2093_2077070603"/>
      <w:bookmarkEnd w:id="0"/>
      <w:r>
        <w:rPr/>
        <w:t>Úvod</w:t>
      </w:r>
    </w:p>
    <w:p>
      <w:pPr>
        <w:pStyle w:val="Normal"/>
        <w:widowControl/>
        <w:spacing w:lineRule="auto" w:line="360"/>
        <w:ind w:firstLine="709"/>
        <w:jc w:val="both"/>
        <w:rPr/>
      </w:pPr>
      <w:r>
        <w:rPr/>
        <w:t>Environmentální, sociální a správní témata se během posledních let stala běžnou součástí strategických dokumentů, výročních zpráv i veřejné komunikace velkých podniků. Zkratka ESG přitom označuje velmi rozdílné skutečnosti. V jednom případě může jít o přejmenování dlouhodobě zavedených provozních opatření, v jiném o systém řízení rizik a investic a v dalším především o strukturu povinného reportu. Samotná přítomnost strategie, výboru nebo souboru ukazatelů proto ještě neodpovídá na otázku, zda environmentální a sociální hlediska skutečně vstupují do rozhodování podniku.</w:t>
      </w:r>
    </w:p>
    <w:p>
      <w:pPr>
        <w:pStyle w:val="Normal"/>
        <w:widowControl/>
        <w:spacing w:lineRule="auto" w:line="360"/>
        <w:ind w:firstLine="709"/>
        <w:jc w:val="both"/>
        <w:rPr/>
      </w:pPr>
      <w:r>
        <w:rPr/>
        <w:t>Tento rozdíl získal nový význam s nástupem směrnice o podávání zpráv podniků o udržitelnosti (Corporate Sustainability Reporting Directive, CSRD) a evropských standardů pro podávání zpráv o udržitelnosti (European Sustainability Reporting Standards, ESRS). Standardy požadují, aby dotčené podniky zveřejňovaly informace o správě, strategii, významných dopadech, rizicích a příležitostech, politikách, opatřeních, cílech a metrikách. Vytvářejí tak podrobnější a do určité míry srovnatelnou architekturu zveřejnění. Tato architektura však může mít dvojí účinek. Na jedné straně zvyšuje viditelnost procesů, které byly dříve obtížně dohledatelné. Na straně druhé může vést k formální podobnosti dokumentů, která zastírá rozdíly v tom, jak hluboko je téma zakotveno v každodenním řízení.</w:t>
      </w:r>
    </w:p>
    <w:p>
      <w:pPr>
        <w:pStyle w:val="Normal"/>
        <w:widowControl/>
        <w:spacing w:lineRule="auto" w:line="360"/>
        <w:ind w:firstLine="709"/>
        <w:jc w:val="both"/>
        <w:rPr/>
      </w:pPr>
      <w:r>
        <w:rPr/>
        <w:t xml:space="preserve">Výzkumný problém práce lze proto vyjádřit jednoduchou otázkou: </w:t>
      </w:r>
      <w:r>
        <w:rPr>
          <w:b/>
        </w:rPr>
        <w:t>co přesně veřejný ESG report dokazuje?</w:t>
      </w:r>
      <w:r>
        <w:rPr/>
        <w:t xml:space="preserve"> Rozsáhlý dokument může obsahovat stovky datových bodů, aniž ukáže, zda některý z nich změnil investiční rozhodnutí. Podnik může zveřejnit desítky cílů, ale neuvést jejich vlastníka, výchozí hodnotu nebo postup při neplnění. Naopak stručnější informace může mít vysokou evidenční hodnotu, pokud transparentně propojí materiální téma s odpovědností, zdroji, rozhodovacím pravidlem a výsledkem. Objem zveřejnění a síla důkazu tedy nejsou totožné veličiny.</w:t>
      </w:r>
    </w:p>
    <w:p>
      <w:pPr>
        <w:pStyle w:val="Normal"/>
        <w:widowControl/>
        <w:spacing w:lineRule="auto" w:line="360"/>
        <w:ind w:firstLine="709"/>
        <w:jc w:val="both"/>
        <w:rPr/>
      </w:pPr>
      <w:r>
        <w:rPr/>
        <w:t>Práce vychází z předpokladu, že firemní report je zároveň zdrojem informací a nástrojem sebeprezentace. Organizace prostřednictvím reportu vysvětluje vlastní jednání, reaguje na požadavky regulátorů a stakeholderů a usiluje o důvěryhodnost. To neznamená, že zveřejněné informace jsou nutně nepravdivé nebo pouze marketingové. Znamená to, že musí být interpretovány s ohledem na účel dokumentu, jeho hranice a asymetrii mezi tím, co podnik ví, a tím, co může ověřit externí čtenář. Dokumentová analýza nemůže nahradit audit provozu, rozhovory se zaměstnanci ani měření skutečných dopadů. Může však systematicky ukázat, jaké mechanismy podnik zveřejňuje, jak silně je dokládá a kde zůstávají mezery.</w:t>
      </w:r>
    </w:p>
    <w:p>
      <w:pPr>
        <w:pStyle w:val="Heading2"/>
        <w:keepNext w:val="true"/>
        <w:widowControl/>
        <w:ind w:hanging="0"/>
        <w:rPr/>
      </w:pPr>
      <w:bookmarkStart w:id="1" w:name="__RefHeading___Toc2095_2077070603"/>
      <w:bookmarkEnd w:id="1"/>
      <w:r>
        <w:rPr/>
        <w:t>Cíl práce</w:t>
      </w:r>
    </w:p>
    <w:p>
      <w:pPr>
        <w:pStyle w:val="Normal"/>
        <w:widowControl/>
        <w:spacing w:lineRule="auto" w:line="360"/>
        <w:ind w:firstLine="709"/>
        <w:jc w:val="both"/>
        <w:rPr/>
      </w:pPr>
      <w:r>
        <w:rPr/>
        <w:t xml:space="preserve">Cílem práce je pomocí kvalitativní obsahové analýzy veřejných firemních dokumentů zjistit, </w:t>
      </w:r>
      <w:r>
        <w:rPr>
          <w:b/>
        </w:rPr>
        <w:t>jak vybrané velké podniky působící v České republice ve zprávách za rok 2024 dokládají implementaci ESG, jak propojují cíle s odpovědností, metrikami a rozhodováním a jaké rozdíly se objevují mezi sektory a institucionálními kontexty</w:t>
      </w:r>
      <w:r>
        <w:rPr/>
        <w:t>.</w:t>
      </w:r>
    </w:p>
    <w:p>
      <w:pPr>
        <w:pStyle w:val="Normal"/>
        <w:widowControl/>
        <w:spacing w:lineRule="auto" w:line="360"/>
        <w:ind w:firstLine="709"/>
        <w:jc w:val="both"/>
        <w:rPr/>
      </w:pPr>
      <w:r>
        <w:rPr/>
        <w:t>Práce nesestavuje žebříček „nejudržitelnějších“ podniků. Nesrovnává absolutní ekologickou stopu energetické skupiny, banky, telekomunikační společnosti a výrobce automobilů, protože jejich podnikatelské modely, dopady a hranice měření jsou zásadně odlišné. Srovnává způsob, jakým veřejné dokumenty dokládají přechod od deklarace k formalizaci a od formalizace k manažerské integraci.</w:t>
      </w:r>
    </w:p>
    <w:p>
      <w:pPr>
        <w:pStyle w:val="Heading2"/>
        <w:keepNext w:val="true"/>
        <w:widowControl/>
        <w:ind w:hanging="0"/>
        <w:rPr/>
      </w:pPr>
      <w:bookmarkStart w:id="2" w:name="__RefHeading___Toc2097_2077070603"/>
      <w:bookmarkEnd w:id="2"/>
      <w:r>
        <w:rPr/>
        <w:t>Výzkumné otázky</w:t>
      </w:r>
    </w:p>
    <w:p>
      <w:pPr>
        <w:pStyle w:val="Normal"/>
        <w:widowControl/>
        <w:spacing w:lineRule="auto" w:line="360"/>
        <w:ind w:firstLine="709"/>
        <w:jc w:val="both"/>
        <w:rPr/>
      </w:pPr>
      <w:r>
        <w:rPr/>
        <w:t>Hlavní výzkumná otázka zní:</w:t>
      </w:r>
    </w:p>
    <w:p>
      <w:pPr>
        <w:pStyle w:val="BlockQuote"/>
        <w:rPr/>
      </w:pPr>
      <w:r>
        <w:rPr>
          <w:b/>
        </w:rPr>
        <w:t>Jak vybrané velké podniky působící v České republice ve veřejných zprávách za rok 2024 konstruují a dokládají implementaci ESG a které znaky odlišují deklaraci, formalizaci a manažerskou integraci?</w:t>
      </w:r>
    </w:p>
    <w:p>
      <w:pPr>
        <w:pStyle w:val="Normal"/>
        <w:widowControl/>
        <w:spacing w:lineRule="auto" w:line="360"/>
        <w:ind w:firstLine="709"/>
        <w:jc w:val="both"/>
        <w:rPr/>
      </w:pPr>
      <w:r>
        <w:rPr/>
        <w:t>Hlavní otázku rozvíjí šest dílčích výzkumných otázek:</w:t>
      </w:r>
    </w:p>
    <w:p>
      <w:pPr>
        <w:pStyle w:val="Normal"/>
        <w:widowControl/>
        <w:spacing w:lineRule="auto" w:line="360" w:before="0" w:after="0"/>
        <w:ind w:hanging="255" w:start="425"/>
        <w:jc w:val="both"/>
        <w:rPr/>
      </w:pPr>
      <w:r>
        <w:rPr/>
        <w:t>1. Jak podniky vymezují materiální ESG témata a jak vysvětlují jejich vazbu na strategii a podnikatelský model?</w:t>
      </w:r>
    </w:p>
    <w:p>
      <w:pPr>
        <w:pStyle w:val="Normal"/>
        <w:widowControl/>
        <w:spacing w:lineRule="auto" w:line="360" w:before="0" w:after="0"/>
        <w:ind w:hanging="255" w:start="425"/>
        <w:jc w:val="both"/>
        <w:rPr/>
      </w:pPr>
      <w:r>
        <w:rPr/>
        <w:t>2. Jaké struktury odpovědnosti, dohledu a interní koordinace v reportech uvádějí?</w:t>
      </w:r>
    </w:p>
    <w:p>
      <w:pPr>
        <w:pStyle w:val="Normal"/>
        <w:widowControl/>
        <w:spacing w:lineRule="auto" w:line="360" w:before="0" w:after="0"/>
        <w:ind w:hanging="255" w:start="425"/>
        <w:jc w:val="both"/>
        <w:rPr/>
      </w:pPr>
      <w:r>
        <w:rPr/>
        <w:t>3. Kde je doložena vazba ESG na investice, řízení rizik, odměňování, produkty, nákup nebo provozní rozhodování?</w:t>
      </w:r>
    </w:p>
    <w:p>
      <w:pPr>
        <w:pStyle w:val="Normal"/>
        <w:widowControl/>
        <w:spacing w:lineRule="auto" w:line="360" w:before="0" w:after="0"/>
        <w:ind w:hanging="255" w:start="425"/>
        <w:jc w:val="both"/>
        <w:rPr/>
      </w:pPr>
      <w:r>
        <w:rPr/>
        <w:t>4. Jakou evidenční sílu mají zveřejněné cíle a ukazatele: rozlišují vstupy, aktivity, výstupy, výsledky a dopady?</w:t>
      </w:r>
    </w:p>
    <w:p>
      <w:pPr>
        <w:pStyle w:val="Normal"/>
        <w:widowControl/>
        <w:spacing w:lineRule="auto" w:line="360" w:before="0" w:after="0"/>
        <w:ind w:hanging="255" w:start="425"/>
        <w:jc w:val="both"/>
        <w:rPr/>
      </w:pPr>
      <w:r>
        <w:rPr/>
        <w:t>5. Jak podniky komunikují nesplněné cíle, trade-offy, nejistoty a negativní dopady?</w:t>
      </w:r>
    </w:p>
    <w:p>
      <w:pPr>
        <w:pStyle w:val="Normal"/>
        <w:widowControl/>
        <w:spacing w:lineRule="auto" w:line="360" w:before="0" w:after="0"/>
        <w:ind w:hanging="255" w:start="425"/>
        <w:jc w:val="both"/>
        <w:rPr/>
      </w:pPr>
      <w:r>
        <w:rPr/>
        <w:t>6. Jak se způsoby dokládání implementace liší mezi energetikou, bankovnictvím, telekomunikacemi a automobilovým průmyslem?</w:t>
      </w:r>
    </w:p>
    <w:p>
      <w:pPr>
        <w:pStyle w:val="Heading2"/>
        <w:keepNext w:val="true"/>
        <w:widowControl/>
        <w:ind w:hanging="0"/>
        <w:rPr/>
      </w:pPr>
      <w:bookmarkStart w:id="3" w:name="__RefHeading___Toc2099_2077070603"/>
      <w:bookmarkEnd w:id="3"/>
      <w:r>
        <w:rPr/>
        <w:t>Výběr případů a období</w:t>
      </w:r>
    </w:p>
    <w:p>
      <w:pPr>
        <w:pStyle w:val="Normal"/>
        <w:widowControl/>
        <w:spacing w:lineRule="auto" w:line="360"/>
        <w:ind w:firstLine="709"/>
        <w:jc w:val="both"/>
        <w:rPr/>
      </w:pPr>
      <w:r>
        <w:rPr/>
        <w:t>Empirický korpus tvoří oficiální zprávy za rok 2024 čtyř velkých podniků nebo skupin s významnou činností v České republice: ČEZ Group, MONETA Money Bank, O2 Czech Republic a Škoda Auto. Případy byly vybrány účelově tak, aby zachytily odlišné mechanismy, prostřednictvím nichž se ESG může promítat do řízení.</w:t>
      </w:r>
    </w:p>
    <w:p>
      <w:pPr>
        <w:pStyle w:val="Normal"/>
        <w:widowControl/>
        <w:spacing w:lineRule="auto" w:line="360"/>
        <w:ind w:firstLine="709"/>
        <w:jc w:val="both"/>
        <w:rPr/>
      </w:pPr>
      <w:r>
        <w:rPr/>
        <w:t>ČEZ představuje kapitálově náročný energetický podnik, u něhož je udržitelnost spojena s transformací výrobního portfolia, dlouhodobým investičním plánem, bezpečností dodávek a sociálními důsledky útlumu uhlí. MONETA reprezentuje finanční sektor, kde je třeba rozlišit relativně malé provozní emise banky od dopadů financovaného portfolia a kde se ESG může promítat do risk managementu, úvěrování a odměňování. O2 umožňuje zkoumat digitální infrastrukturu, spotřebu energie, kyberbezpečnost, dostupnost služeb a vztah k dodavatelům elektroniky. Škoda Auto představuje průmyslový podnik, v němž se environmentální a sociální otázky propojují s konstrukcí produktu, výrobou, kapitálovými výdaji a globálním dodavatelským řetězcem.</w:t>
      </w:r>
    </w:p>
    <w:p>
      <w:pPr>
        <w:pStyle w:val="Normal"/>
        <w:widowControl/>
        <w:spacing w:lineRule="auto" w:line="360"/>
        <w:ind w:firstLine="709"/>
        <w:jc w:val="both"/>
        <w:rPr/>
      </w:pPr>
      <w:r>
        <w:rPr/>
        <w:t>Rok 2024 byl zvolen jako společný časový řez. U části analyzovaných podniků šlo o období prvního rozsáhlejšího zveřejnění podle CSRD a ESRS, zatímco jiné dokumenty ještě kombinovaly dřívější rámce, zejména GRI, se strukturou připravovanou pro nový regulatorní režim. Tento přechod umožňuje sledovat nejen obsah témat, ale také proměnu samotné reportovací infrastruktury. Pozdější regulatorní změny jsou v práci uvedeny pouze jako kontext; nemění způsob, jakým jsou hodnoceny dokumenty vytvořené za rok 2024.</w:t>
      </w:r>
    </w:p>
    <w:p>
      <w:pPr>
        <w:pStyle w:val="Heading2"/>
        <w:keepNext w:val="true"/>
        <w:widowControl/>
        <w:ind w:hanging="0"/>
        <w:rPr/>
      </w:pPr>
      <w:bookmarkStart w:id="4" w:name="__RefHeading___Toc2101_2077070603"/>
      <w:bookmarkEnd w:id="4"/>
      <w:r>
        <w:rPr/>
        <w:t>Teoretické a metodické vymezení</w:t>
      </w:r>
    </w:p>
    <w:p>
      <w:pPr>
        <w:pStyle w:val="Normal"/>
        <w:widowControl/>
        <w:spacing w:lineRule="auto" w:line="360"/>
        <w:ind w:firstLine="709"/>
        <w:jc w:val="both"/>
        <w:rPr/>
      </w:pPr>
      <w:r>
        <w:rPr/>
        <w:t>Teoretická část propojuje čtyři skupiny východisek. Stakeholderová perspektiva pomáhá vysvětlit, od koho požadavky na ESG přicházejí. Institucionální teorie objasňuje, proč se struktury a jazyk organizací pod tlakem regulace, profesních norem a napodobování sbližují (DiMaggio &amp; Powell, 1983). Teorie legitimity upozorňuje, že zveřejnění slouží také k získání a udržení společenské přijatelnosti (Suchman, 1995). Literatura o materialitě, reportingu a organizačních procesech pak umožňuje rozlišit mezi pouhým zveřejněním tématu a jeho zapojením do řízení (Eccles et al., 2014; Christensen et al., 2021).</w:t>
      </w:r>
    </w:p>
    <w:p>
      <w:pPr>
        <w:pStyle w:val="Normal"/>
        <w:widowControl/>
        <w:spacing w:lineRule="auto" w:line="360"/>
        <w:ind w:firstLine="709"/>
        <w:jc w:val="both"/>
        <w:rPr/>
      </w:pPr>
      <w:r>
        <w:rPr/>
        <w:t>Empirická část používá dokumentovou analýzu (Bowen, 2009) a řízenou kvalitativní obsahovou analýzu (Hsieh &amp; Shannon, 2005). Počáteční kódovací rámec vychází z teorie, ale umožňuje doplňovat kategorie vzniklé z korpusu. Jednotkou kódování je významově ucelený segment, který obsahuje tvrzení o cíli, odpovědnosti, procesu, rozhodnutí, metrice, výsledku, negativním dopadu nebo ověření. Každý významný segment je spojen s přesným lokátorem a je odlišeno, zda jde o firemní tvrzení, metriku, externí ujištění, analytickou interpretaci nebo explicitní omezení.</w:t>
      </w:r>
    </w:p>
    <w:p>
      <w:pPr>
        <w:pStyle w:val="Normal"/>
        <w:widowControl/>
        <w:spacing w:lineRule="auto" w:line="360"/>
        <w:ind w:firstLine="709"/>
        <w:jc w:val="both"/>
        <w:rPr/>
      </w:pPr>
      <w:r>
        <w:rPr/>
        <w:t>Pro potřeby srovnání je navržena škála evidenční síly E0–E4:</w:t>
      </w:r>
    </w:p>
    <w:p>
      <w:pPr>
        <w:pStyle w:val="ListBullet"/>
        <w:widowControl/>
        <w:numPr>
          <w:ilvl w:val="0"/>
          <w:numId w:val="1"/>
        </w:numPr>
        <w:spacing w:lineRule="auto" w:line="360" w:before="0" w:after="0"/>
        <w:ind w:hanging="142" w:start="425"/>
        <w:contextualSpacing/>
        <w:rPr/>
      </w:pPr>
      <w:r>
        <w:rPr>
          <w:b/>
        </w:rPr>
        <w:t>E0 – deklarace:</w:t>
      </w:r>
      <w:r>
        <w:rPr/>
        <w:t xml:space="preserve"> hodnotový nebo strategický závazek bez konkrétního mechanismu;</w:t>
      </w:r>
    </w:p>
    <w:p>
      <w:pPr>
        <w:pStyle w:val="ListBullet"/>
        <w:widowControl/>
        <w:numPr>
          <w:ilvl w:val="0"/>
          <w:numId w:val="1"/>
        </w:numPr>
        <w:spacing w:lineRule="auto" w:line="360" w:before="0" w:after="0"/>
        <w:ind w:hanging="142" w:start="425"/>
        <w:contextualSpacing/>
        <w:rPr/>
      </w:pPr>
      <w:r>
        <w:rPr>
          <w:b/>
        </w:rPr>
        <w:t>E1 – aktivita:</w:t>
      </w:r>
      <w:r>
        <w:rPr/>
        <w:t xml:space="preserve"> konkrétní opatření nebo výstup, ale bez přesvědčivého dokladu řízeného výsledku;</w:t>
      </w:r>
    </w:p>
    <w:p>
      <w:pPr>
        <w:pStyle w:val="ListBullet"/>
        <w:widowControl/>
        <w:numPr>
          <w:ilvl w:val="0"/>
          <w:numId w:val="1"/>
        </w:numPr>
        <w:spacing w:lineRule="auto" w:line="360" w:before="0" w:after="0"/>
        <w:ind w:hanging="142" w:start="425"/>
        <w:contextualSpacing/>
        <w:rPr/>
      </w:pPr>
      <w:r>
        <w:rPr>
          <w:b/>
        </w:rPr>
        <w:t>E2 – řízený výsledek:</w:t>
      </w:r>
      <w:r>
        <w:rPr/>
        <w:t xml:space="preserve"> cíl, vlastník, proces, metodika nebo sledovaný vývoj;</w:t>
      </w:r>
    </w:p>
    <w:p>
      <w:pPr>
        <w:pStyle w:val="ListBullet"/>
        <w:widowControl/>
        <w:numPr>
          <w:ilvl w:val="0"/>
          <w:numId w:val="1"/>
        </w:numPr>
        <w:spacing w:lineRule="auto" w:line="360" w:before="0" w:after="0"/>
        <w:ind w:hanging="142" w:start="425"/>
        <w:contextualSpacing/>
        <w:rPr/>
      </w:pPr>
      <w:r>
        <w:rPr>
          <w:b/>
        </w:rPr>
        <w:t>E3 – rozhodovací vazba:</w:t>
      </w:r>
      <w:r>
        <w:rPr/>
        <w:t xml:space="preserve"> ESG informace prokazatelně vstupuje do kapitálové alokace, řízení rizik, produktu, nákupu nebo odměny;</w:t>
      </w:r>
    </w:p>
    <w:p>
      <w:pPr>
        <w:pStyle w:val="ListBullet"/>
        <w:widowControl/>
        <w:numPr>
          <w:ilvl w:val="0"/>
          <w:numId w:val="1"/>
        </w:numPr>
        <w:spacing w:lineRule="auto" w:line="360" w:before="0" w:after="0"/>
        <w:ind w:hanging="142" w:start="425"/>
        <w:contextualSpacing/>
        <w:rPr/>
      </w:pPr>
      <w:r>
        <w:rPr>
          <w:b/>
        </w:rPr>
        <w:t>E4 – externě podpořený konkrétní výsledek:</w:t>
      </w:r>
      <w:r>
        <w:rPr/>
        <w:t xml:space="preserve"> konkrétní výsledek s jasnou hranicí a metodikou, který je podpořen silným nezávislým ověřením nebo triangulací.</w:t>
      </w:r>
    </w:p>
    <w:p>
      <w:pPr>
        <w:pStyle w:val="Normal"/>
        <w:widowControl/>
        <w:spacing w:lineRule="auto" w:line="360"/>
        <w:ind w:firstLine="709"/>
        <w:jc w:val="both"/>
        <w:rPr/>
      </w:pPr>
      <w:r>
        <w:rPr/>
        <w:t>Škála není přiřazována podniku jako celku. Jedna společnost může současně zveřejňovat E0 deklarace, E1 aktivity i E3 rozhodovací mechanismy. Tento postup brání zjednodušujícímu závěru, že existence assurance, taxonomického KPI nebo velkého množství dat automaticky dokládá vysokou kvalitu celé implementace.</w:t>
      </w:r>
    </w:p>
    <w:p>
      <w:pPr>
        <w:pStyle w:val="Heading2"/>
        <w:keepNext w:val="true"/>
        <w:widowControl/>
        <w:ind w:hanging="0"/>
        <w:rPr/>
      </w:pPr>
      <w:bookmarkStart w:id="5" w:name="__RefHeading___Toc2103_2077070603"/>
      <w:bookmarkEnd w:id="5"/>
      <w:r>
        <w:rPr/>
        <w:t>Přínos práce</w:t>
      </w:r>
    </w:p>
    <w:p>
      <w:pPr>
        <w:pStyle w:val="Normal"/>
        <w:widowControl/>
        <w:spacing w:lineRule="auto" w:line="360"/>
        <w:ind w:firstLine="709"/>
        <w:jc w:val="both"/>
        <w:rPr/>
      </w:pPr>
      <w:r>
        <w:rPr/>
        <w:t>Práce usiluje o tři druhy přínosu. Prvním je konceptuální rozlišení mezi jazykem ESG, konkrétními praktikami, formalizací a manažerskou integrací. Toto rozlišení reaguje na častou kategorickou chybu, kdy je report zaměněn za praxi nebo naopak absence konkrétního označení za absenci odpovědného řízení.</w:t>
      </w:r>
    </w:p>
    <w:p>
      <w:pPr>
        <w:pStyle w:val="Normal"/>
        <w:widowControl/>
        <w:spacing w:lineRule="auto" w:line="360"/>
        <w:ind w:firstLine="709"/>
        <w:jc w:val="both"/>
        <w:rPr/>
      </w:pPr>
      <w:r>
        <w:rPr/>
        <w:t>Druhým přínosem je operacionalizace síly zveřejněného důkazu. Škála E0–E4 umožňuje kriticky číst jednotlivá tvrzení bez nutnosti převést celý podnik na jediné skóre. Zároveň pomáhá oddělit metodu měření od výsledku a výsledek od kauzálního dopadu. Externě ověřený výpočet může být metodicky velmi kvalitní, i když podnik zatím nemá dostatečný cíl; počet proškolených osob může být přesně změřen, ale nemusí dokládat změnu chování.</w:t>
      </w:r>
    </w:p>
    <w:p>
      <w:pPr>
        <w:pStyle w:val="Normal"/>
        <w:widowControl/>
        <w:spacing w:lineRule="auto" w:line="360"/>
        <w:ind w:firstLine="709"/>
        <w:jc w:val="both"/>
        <w:rPr/>
      </w:pPr>
      <w:r>
        <w:rPr/>
        <w:t>Třetím přínosem je mezipřípadové srovnání. Výsledky ukazují, že rozhodovací vazba má sektorově odlišnou podobu. U energetiky se projevuje především v investičním a přechodovém plánu, u banky v riziku, portfoliu a pobídkách, u telekomunikací v provozu infrastruktury, bezpečnosti a dodavatelích a u automobilového průmyslu v produktu, výrobě, CapEx a nákupním řetězci. Srovnání proto nehledá jednu univerzální metriku, ale společný princip: zda a jak může zveřejněná ESG informace ovlivnit rozhodnutí.</w:t>
      </w:r>
    </w:p>
    <w:p>
      <w:pPr>
        <w:pStyle w:val="Heading2"/>
        <w:keepNext w:val="true"/>
        <w:widowControl/>
        <w:ind w:hanging="0"/>
        <w:rPr/>
      </w:pPr>
      <w:bookmarkStart w:id="6" w:name="__RefHeading___Toc2105_2077070603"/>
      <w:bookmarkEnd w:id="6"/>
      <w:r>
        <w:rPr/>
        <w:t>Struktura práce</w:t>
      </w:r>
    </w:p>
    <w:p>
      <w:pPr>
        <w:pStyle w:val="Normal"/>
        <w:widowControl/>
        <w:spacing w:lineRule="auto" w:line="360"/>
        <w:ind w:firstLine="709"/>
        <w:jc w:val="both"/>
        <w:rPr/>
      </w:pPr>
      <w:r>
        <w:rPr/>
        <w:t>První kapitola vymezuje CSR a ESG a rozvíjí stakeholderovou, institucionální a legitimizační perspektivu. Zabývá se materialitou, organizační implementací, výkonností, ratingy a kvalitou reportingu a uzavírá se pracovním modelem zveřejněné implementace. Druhá kapitola představuje regulatorní a reportovací kontext CSRD, ESRS a EU Taxonomie se zvláštním důrazem na dvojí materialitu a hranice omezeného ujištění. Třetí kapitola popisuje výběr dokumentů, jednotky analýzy, kódovací rámec, kontrolní postupy a limity.</w:t>
      </w:r>
    </w:p>
    <w:p>
      <w:pPr>
        <w:pStyle w:val="Normal"/>
        <w:widowControl/>
        <w:spacing w:lineRule="auto" w:line="360"/>
        <w:ind w:firstLine="709"/>
        <w:jc w:val="both"/>
        <w:rPr/>
      </w:pPr>
      <w:r>
        <w:rPr/>
        <w:t>Čtvrtá kapitola prezentuje výsledky v pěti mezipřípadových tématech: standardizovaná architektura a rozdílná manažerská hloubka; provozní a finanční ukotvení ESG; governance jako vlastnictví, kadence a korektivní mechanismus; převaha aktivit a provozních výsledků nad ověřeným dopadem; a informační význam přiznaných napětí, změn a negativních výsledků. Pátá kapitola interpretuje zjištění ve vztahu k teorii a formuluje doporučení pro podniky, čtenáře reportů a další výzkum. Závěr odpovídá na výzkumné otázky a shrnuje hranice toho, co lze z veřejných firemních dokumentů důvodně tvrdit.</w:t>
      </w:r>
    </w:p>
    <w:p>
      <w:pPr>
        <w:pStyle w:val="Normal"/>
        <w:rPr/>
      </w:pPr>
      <w:r>
        <w:rPr/>
      </w:r>
      <w:r>
        <w:br w:type="page"/>
      </w:r>
    </w:p>
    <w:p>
      <w:pPr>
        <w:pStyle w:val="Heading1"/>
        <w:keepNext w:val="true"/>
        <w:widowControl/>
        <w:spacing w:before="0" w:after="180"/>
        <w:ind w:hanging="0"/>
        <w:rPr/>
      </w:pPr>
      <w:bookmarkStart w:id="7" w:name="__RefHeading___Toc2107_2077070603"/>
      <w:bookmarkEnd w:id="7"/>
      <w:r>
        <w:rPr/>
        <w:t>1 Teoretická východiska</w:t>
      </w:r>
    </w:p>
    <w:p>
      <w:pPr>
        <w:pStyle w:val="Heading2"/>
        <w:keepNext w:val="true"/>
        <w:widowControl/>
        <w:ind w:hanging="0"/>
        <w:rPr/>
      </w:pPr>
      <w:bookmarkStart w:id="8" w:name="__RefHeading___Toc2109_2077070603"/>
      <w:bookmarkEnd w:id="8"/>
      <w:r>
        <w:rPr/>
        <w:t>1.1 Od společenské odpovědnosti k ESG</w:t>
      </w:r>
    </w:p>
    <w:p>
      <w:pPr>
        <w:pStyle w:val="Normal"/>
        <w:widowControl/>
        <w:spacing w:lineRule="auto" w:line="360"/>
        <w:ind w:firstLine="709"/>
        <w:jc w:val="both"/>
        <w:rPr/>
      </w:pPr>
      <w:r>
        <w:rPr/>
        <w:t>Debata o odpovědnosti podniku vůči společnosti předchází současnému používání zkratky ESG. Carroll (1991) ve známém modelu rozlišuje ekonomickou, právní, etickou a filantropickou odpovědnost. Podnik v tomto pojetí nemá pouze vytvářet ekonomickou hodnotu a dodržovat právo, ale také reagovat na etická očekávání a podle možností přispívat širší společnosti. Model bývá zobrazován jako pyramida, jeho podstatou však není jednoduchá hierarchie dobrovolných aktivit nad ekonomickým základem. Důležitější je, že různé vrstvy odpovědnosti existují současně a vztahují se k odlišným očekáváním stakeholderů.</w:t>
      </w:r>
    </w:p>
    <w:p>
      <w:pPr>
        <w:pStyle w:val="Normal"/>
        <w:widowControl/>
        <w:spacing w:lineRule="auto" w:line="360"/>
        <w:ind w:firstLine="709"/>
        <w:jc w:val="both"/>
        <w:rPr/>
      </w:pPr>
      <w:r>
        <w:rPr/>
        <w:t>ESG — environmental, social and governance — představuje jiný způsob členění. Namísto vrstev odpovědnosti rozděluje témata do environmentální, sociální a správní oblasti a vytváří jazyk, v němž lze dopady, rizika, politiky a ukazatele začlenit do rozhodování investorů a podniků. Gillan, Koch a Starks (2021) ukazují, že současná debata o ESG navazuje na výzkum CSR, ale přidává výraznější důraz na měřitelnost, finanční materialitu, ratingy a vazbu na podnikové finance. ESG proto nelze chápat pouze jako nové označení filantropie nebo dobrovolné společenské odpovědnosti.</w:t>
      </w:r>
    </w:p>
    <w:p>
      <w:pPr>
        <w:pStyle w:val="Normal"/>
        <w:widowControl/>
        <w:spacing w:lineRule="auto" w:line="360"/>
        <w:ind w:firstLine="709"/>
        <w:jc w:val="both"/>
        <w:rPr/>
      </w:pPr>
      <w:r>
        <w:rPr/>
        <w:t>Pro tuto práci je užitečné odlišit čtyři jevy, které bývají v praxi zaměňovány:</w:t>
      </w:r>
    </w:p>
    <w:p>
      <w:pPr>
        <w:pStyle w:val="Normal"/>
        <w:widowControl/>
        <w:spacing w:lineRule="auto" w:line="360" w:before="0" w:after="0"/>
        <w:ind w:hanging="255" w:start="425"/>
        <w:jc w:val="both"/>
        <w:rPr/>
      </w:pPr>
      <w:r>
        <w:rPr/>
        <w:t>1. podnik používá jazyk ESG nebo udržitelnosti;</w:t>
      </w:r>
    </w:p>
    <w:p>
      <w:pPr>
        <w:pStyle w:val="Normal"/>
        <w:widowControl/>
        <w:spacing w:lineRule="auto" w:line="360" w:before="0" w:after="0"/>
        <w:ind w:hanging="255" w:start="425"/>
        <w:jc w:val="both"/>
        <w:rPr/>
      </w:pPr>
      <w:r>
        <w:rPr/>
        <w:t>2. provádí konkrétní environmentální, sociální nebo governance aktivitu;</w:t>
      </w:r>
    </w:p>
    <w:p>
      <w:pPr>
        <w:pStyle w:val="Normal"/>
        <w:widowControl/>
        <w:spacing w:lineRule="auto" w:line="360" w:before="0" w:after="0"/>
        <w:ind w:hanging="255" w:start="425"/>
        <w:jc w:val="both"/>
        <w:rPr/>
      </w:pPr>
      <w:r>
        <w:rPr/>
        <w:t>3. aktivitu formalizuje prostřednictvím vlastníka, procesu, cíle a metriky;</w:t>
      </w:r>
    </w:p>
    <w:p>
      <w:pPr>
        <w:pStyle w:val="Normal"/>
        <w:widowControl/>
        <w:spacing w:lineRule="auto" w:line="360" w:before="0" w:after="0"/>
        <w:ind w:hanging="255" w:start="425"/>
        <w:jc w:val="both"/>
        <w:rPr/>
      </w:pPr>
      <w:r>
        <w:rPr/>
        <w:t>4. výsledek vstupuje do investic, rizika, produktu, odměňování nebo jiného rozhodnutí.</w:t>
      </w:r>
    </w:p>
    <w:p>
      <w:pPr>
        <w:pStyle w:val="Normal"/>
        <w:widowControl/>
        <w:spacing w:lineRule="auto" w:line="360"/>
        <w:ind w:firstLine="709"/>
        <w:jc w:val="both"/>
        <w:rPr/>
      </w:pPr>
      <w:r>
        <w:rPr/>
        <w:t>Pátou, částečně samostatnou vrstvou je externí zveřejnění a ověření. Podnik může kvalitně reportovat slabě integrovanou praxi a naopak může provozně řídit určité dopady, aniž je popisuje jazykem současných standardů. Tato distinkce je základem empirické analýzy. Předmětem není zjištění, zda podnik „má ESG“, ale jaký druh zveřejněného důkazu o implementaci nabízí.</w:t>
      </w:r>
    </w:p>
    <w:p>
      <w:pPr>
        <w:pStyle w:val="Heading2"/>
        <w:keepNext w:val="true"/>
        <w:widowControl/>
        <w:ind w:hanging="0"/>
        <w:rPr/>
      </w:pPr>
      <w:bookmarkStart w:id="9" w:name="__RefHeading___Toc2111_2077070603"/>
      <w:bookmarkEnd w:id="9"/>
      <w:r>
        <w:rPr/>
        <w:t>1.2 Stakeholderová perspektiva</w:t>
      </w:r>
    </w:p>
    <w:p>
      <w:pPr>
        <w:pStyle w:val="Normal"/>
        <w:widowControl/>
        <w:spacing w:lineRule="auto" w:line="360"/>
        <w:ind w:firstLine="709"/>
        <w:jc w:val="both"/>
        <w:rPr/>
      </w:pPr>
      <w:r>
        <w:rPr/>
        <w:t>Podnik je ovlivňován více skupinami než pouze vlastníky. Zaměstnanci, zákazníci, dodavatelé, věřitelé, regulátoři, místní komunity a občanská společnost mají rozdílná očekávání i rozdílnou schopnost prosadit je do rozhodování. Carroll (1991) pracuje s organizačními stakeholdery jako s adresáty ekonomické, právní, etické a filantropické odpovědnosti. Gillan et al. (2021) doplňují finanční perspektivu, v níž se stakeholderové požadavky mohou projevit prostřednictvím ceny kapitálu, reputačních rizik, vztahu se zaměstnanci nebo poptávky zákazníků.</w:t>
      </w:r>
    </w:p>
    <w:p>
      <w:pPr>
        <w:pStyle w:val="Normal"/>
        <w:widowControl/>
        <w:spacing w:lineRule="auto" w:line="360"/>
        <w:ind w:firstLine="709"/>
        <w:jc w:val="both"/>
        <w:rPr/>
      </w:pPr>
      <w:r>
        <w:rPr/>
        <w:t>Pro analýzu implementace nestačí stakeholdera pouze vyjmenovat. Je třeba sledovat mechanismus vlivu. Požadavek investora může vést k lepšímu zveřejnění, ale nemusí změnit provoz. Požadavek velkého odběratele může prostřednictvím smluvních podmínek zásadně ovlivnit dodavatele, i když na něj přímo nedopadá reportovací regulace. Odborová organizace může ovlivnit sociální část transformačního plánu prostřednictvím kolektivního vyjednávání. Regulátor může požadovat data, jejichž vytvoření následně umožní interně porovnávat projekty.</w:t>
      </w:r>
    </w:p>
    <w:p>
      <w:pPr>
        <w:pStyle w:val="Normal"/>
        <w:widowControl/>
        <w:spacing w:lineRule="auto" w:line="360"/>
        <w:ind w:firstLine="709"/>
        <w:jc w:val="both"/>
        <w:rPr/>
      </w:pPr>
      <w:r>
        <w:rPr/>
        <w:t>V empirické části je proto stakeholderová perspektiva operacionalizována otázkami: kdo požadavek vznesl, jaká byla jeho moc, do jakého procesu vstoupil, kdo jej převzal a zda změnil cíl, rozpočet, pravidlo nebo metriku. Pouhý seznam konzultovaných stakeholderů má nižší evidenční sílu než doložení, že jejich vstup ovlivnil materialitu nebo rozhodnutí.</w:t>
      </w:r>
    </w:p>
    <w:p>
      <w:pPr>
        <w:pStyle w:val="Normal"/>
        <w:widowControl/>
        <w:spacing w:lineRule="auto" w:line="360"/>
        <w:ind w:firstLine="709"/>
        <w:jc w:val="both"/>
        <w:rPr/>
      </w:pPr>
      <w:r>
        <w:rPr/>
        <w:t>Současný akademický korpus práce neobsahuje kanonický primární text Freemanovy stakeholderové teorie. Stakeholderová perspektiva je proto používána zdrženlivě jako analytická čočka, nikoli jako úplná aplikace konkrétní Freemanovy typologie. Toto omezení je uvedeno záměrně: doplnění jména známé teorie bez práce s jejím primárním zdrojem by vytvářelo zdání hlubšího ukotvení, než jaké korpus skutečně poskytuje.</w:t>
      </w:r>
    </w:p>
    <w:p>
      <w:pPr>
        <w:pStyle w:val="Heading2"/>
        <w:keepNext w:val="true"/>
        <w:widowControl/>
        <w:ind w:hanging="0"/>
        <w:rPr/>
      </w:pPr>
      <w:bookmarkStart w:id="10" w:name="__RefHeading___Toc2113_2077070603"/>
      <w:bookmarkEnd w:id="10"/>
      <w:r>
        <w:rPr/>
        <w:t>1.3 Institucionální tlaky a organizační podobnost</w:t>
      </w:r>
    </w:p>
    <w:p>
      <w:pPr>
        <w:pStyle w:val="Normal"/>
        <w:widowControl/>
        <w:spacing w:lineRule="auto" w:line="360"/>
        <w:ind w:firstLine="709"/>
        <w:jc w:val="both"/>
        <w:rPr/>
      </w:pPr>
      <w:r>
        <w:rPr/>
        <w:t>DiMaggio a Powell (1983) vysvětlují, proč se organizace v témže poli postupně podobají, i když formálně usilují o efektivitu a odlišnost. Rozlišují tři mechanismy institucionálního izomorfismu. Donucovací tlak vzniká z právních pravidel, závislosti na mocných aktérech a očekávání institucí. Normativní tlak se šíří profesními komunitami, vzděláním, standardy a expertními rolemi. Mimetický tlak vede organizace v nejistotě k napodobování postupů považovaných za legitimní nebo úspěšné.</w:t>
      </w:r>
    </w:p>
    <w:p>
      <w:pPr>
        <w:pStyle w:val="Normal"/>
        <w:widowControl/>
        <w:spacing w:lineRule="auto" w:line="360"/>
        <w:ind w:firstLine="709"/>
        <w:jc w:val="both"/>
        <w:rPr/>
      </w:pPr>
      <w:r>
        <w:rPr/>
        <w:t>V kontextu ESG má tato perspektiva přímou relevanci. CSRD a ESRS vytvářejí donucovací tlak na strukturu zveřejnění. Auditoři, poradci, profesní sítě a nově vznikající sustainability role přenášejí normativní představu o tom, jak má vypadat materialitní proces, výbor, datový model nebo klimatický plán. Organizace sledují reporty konkurentů a přebírají cíle, formulace i vizuální strukturu, protože podmínky transformace jsou nejisté.</w:t>
      </w:r>
    </w:p>
    <w:p>
      <w:pPr>
        <w:pStyle w:val="Normal"/>
        <w:widowControl/>
        <w:spacing w:lineRule="auto" w:line="360"/>
        <w:ind w:firstLine="709"/>
        <w:jc w:val="both"/>
        <w:rPr/>
      </w:pPr>
      <w:r>
        <w:rPr/>
        <w:t>Výsledkem může být vysoká formální podobnost. Reporty používají stejné kategorie dopadů, rizik a příležitostí, obdobné governance diagramy a tabulky cílů. Institucionální teorie však varuje před závěrem, že podobná forma znamená podobnou praxi. Výbor může být skutečným rozhodovacím fórem, nebo pouze místem, kam jsou informace jednou ročně předloženy. Dvojí materialita může změnit strategické priority, nebo jen seřadit témata pro report. Existence cíle může přesměrovat kapitál, nebo zůstat bez rozpočtového mechanismu.</w:t>
      </w:r>
    </w:p>
    <w:p>
      <w:pPr>
        <w:pStyle w:val="Normal"/>
        <w:widowControl/>
        <w:spacing w:lineRule="auto" w:line="360"/>
        <w:ind w:firstLine="709"/>
        <w:jc w:val="both"/>
        <w:rPr/>
      </w:pPr>
      <w:r>
        <w:rPr/>
        <w:t>Pro tuto práci je proto standardizace dvojznačná. Zvyšuje dohledatelnost a umožňuje srovnání, ale současně může standardizovat legitimní vzhled bez stejné hloubky řízení. Empirická analýza nehledá pouze přítomnost standardizované položky. Hledá vazbu mezi položkou a rozhodovacím mechanismem.</w:t>
      </w:r>
    </w:p>
    <w:p>
      <w:pPr>
        <w:pStyle w:val="Heading2"/>
        <w:keepNext w:val="true"/>
        <w:widowControl/>
        <w:ind w:hanging="0"/>
        <w:rPr/>
      </w:pPr>
      <w:bookmarkStart w:id="11" w:name="__RefHeading___Toc2115_2077070603"/>
      <w:bookmarkEnd w:id="11"/>
      <w:r>
        <w:rPr/>
        <w:t>1.4 Legitimita a firemní zveřejnění</w:t>
      </w:r>
    </w:p>
    <w:p>
      <w:pPr>
        <w:pStyle w:val="Normal"/>
        <w:widowControl/>
        <w:spacing w:lineRule="auto" w:line="360"/>
        <w:ind w:firstLine="709"/>
        <w:jc w:val="both"/>
        <w:rPr/>
      </w:pPr>
      <w:r>
        <w:rPr/>
        <w:t>Suchman (1995) chápe legitimitu jako obecné vnímání, že jednání organizace je v rámci společensky vytvořeného systému norem a hodnot žádoucí, správné nebo přiměřené. Rozlišuje strategické přístupy, v nichž organizace legitimitu aktivně získává a udržuje, a institucionální přístupy, v nichž je legitimita součástí širšího organizačního prostředí.</w:t>
      </w:r>
    </w:p>
    <w:p>
      <w:pPr>
        <w:pStyle w:val="Normal"/>
        <w:widowControl/>
        <w:spacing w:lineRule="auto" w:line="360"/>
        <w:ind w:firstLine="709"/>
        <w:jc w:val="both"/>
        <w:rPr/>
      </w:pPr>
      <w:r>
        <w:rPr/>
        <w:t>Udržitelnostní report může plnit několik legitimačních funkcí. Podnik jím vysvětluje svou strategii, reaguje na kritiku, ukazuje soulad s normami, stabilizuje vztahy se stakeholdery a vytváří obraz kontrolovatelné organizace. Legitimizační motiv není sám o sobě známkou manipulace. Organizace musí být schopna své jednání vysvětlovat a transparentnost může podporovat odpovědnost. Problém vzniká tehdy, když je komunikovaná forma oddělena od mechanismu, který by mohl změnit praxi.</w:t>
      </w:r>
    </w:p>
    <w:p>
      <w:pPr>
        <w:pStyle w:val="Normal"/>
        <w:widowControl/>
        <w:spacing w:lineRule="auto" w:line="360"/>
        <w:ind w:firstLine="709"/>
        <w:jc w:val="both"/>
        <w:rPr/>
      </w:pPr>
      <w:r>
        <w:rPr/>
        <w:t>Delmas a Burbano (2011) třídí faktory greenwashingu na vnější, organizační a individuální. Vnější tlak vytváří poptávku po pozitivních environmentálních tvrzeních, zatímco nízká pravděpodobnost kontroly může snižovat náklady nepřesnosti. Uvnitř organizace mohou přispívat slabé informační toky, roztříštěná odpovědnost nebo pobídky odměňující obraz více než výsledek. Jednotlivec může podlehnout kognitivnímu zkreslení a vnímat dílčí aktivitu jako důkaz širší změny.</w:t>
      </w:r>
    </w:p>
    <w:p>
      <w:pPr>
        <w:pStyle w:val="Normal"/>
        <w:widowControl/>
        <w:spacing w:lineRule="auto" w:line="360"/>
        <w:ind w:firstLine="709"/>
        <w:jc w:val="both"/>
        <w:rPr/>
      </w:pPr>
      <w:r>
        <w:rPr/>
        <w:t>Dokumentová analýza však nemůže bezpečně určit úmysl autora reportu. Označit text za greenwashing pouze proto, že je pozitivní, by bylo metodologicky neobhajitelné. Práce proto sleduje pozorovatelné znaky nesouladu: tvrzení bez metriky, cíl bez vlastníka, aktivitu bez výsledku, výsledek bez hranice, rating vydávaný za dopad nebo report bez přiznání negativních trendů. Tyto znaky jsou konzistentní se symbolickou implementací, ale mohou mít i jiná vysvětlení, například ranou fázi systému, nedostupnost dat nebo odlišný účel dokumentu.</w:t>
      </w:r>
    </w:p>
    <w:p>
      <w:pPr>
        <w:pStyle w:val="Heading2"/>
        <w:keepNext w:val="true"/>
        <w:widowControl/>
        <w:ind w:hanging="0"/>
        <w:rPr/>
      </w:pPr>
      <w:bookmarkStart w:id="12" w:name="__RefHeading___Toc2117_2077070603"/>
      <w:bookmarkEnd w:id="12"/>
      <w:r>
        <w:rPr/>
        <w:t>1.5 Materialita jako mechanismus prioritizace</w:t>
      </w:r>
    </w:p>
    <w:p>
      <w:pPr>
        <w:pStyle w:val="Normal"/>
        <w:widowControl/>
        <w:spacing w:lineRule="auto" w:line="360"/>
        <w:ind w:firstLine="709"/>
        <w:jc w:val="both"/>
        <w:rPr/>
      </w:pPr>
      <w:r>
        <w:rPr/>
        <w:t>Podnik nemůže řídit všechna environmentální a sociální témata se stejnou intenzitou. Materialita převádí široký seznam možných dopadů a rizik na rozhodnutí o prioritách. Khan, Serafeim a Yoon (2016) odlišují materiální a nemateriální témata z hlediska jejich relevance pro finanční výkonnost odvětví a ukazují, že soustředění na materiální témata je důležité pro interpretaci vztahu mezi udržitelností a výkonem. Jejich přístup se však vztahuje především k finanční materialitě a nelze jej automaticky zaměnit za evropskou dvojí materialitu.</w:t>
      </w:r>
    </w:p>
    <w:p>
      <w:pPr>
        <w:pStyle w:val="Normal"/>
        <w:widowControl/>
        <w:spacing w:lineRule="auto" w:line="360"/>
        <w:ind w:firstLine="709"/>
        <w:jc w:val="both"/>
        <w:rPr/>
      </w:pPr>
      <w:r>
        <w:rPr/>
        <w:t>Dvojí materialita kombinuje dva směry. Finanční materialita sleduje, jak environmentální a sociální okolnosti vytvářejí rizika a příležitosti pro podnik. Dopadová materialita sleduje, jak podnik skutečně nebo potenciálně působí na lidi a životní prostředí. Téma může být materiální v jednom nebo v obou směrech. Tím se rozšiřuje perspektiva za rámec toho, co bezprostředně ovlivní finanční výsledky podniku.</w:t>
      </w:r>
    </w:p>
    <w:p>
      <w:pPr>
        <w:pStyle w:val="Normal"/>
        <w:widowControl/>
        <w:spacing w:lineRule="auto" w:line="360"/>
        <w:ind w:firstLine="709"/>
        <w:jc w:val="both"/>
        <w:rPr/>
      </w:pPr>
      <w:r>
        <w:rPr/>
        <w:t>V praxi je materialita procesem, nikoli pouze výslednou maticí. Lze rozlišit nejméně čtyři kroky:</w:t>
      </w:r>
    </w:p>
    <w:p>
      <w:pPr>
        <w:pStyle w:val="Normal"/>
        <w:widowControl/>
        <w:spacing w:lineRule="auto" w:line="360" w:before="0" w:after="0"/>
        <w:ind w:hanging="255" w:start="425"/>
        <w:jc w:val="both"/>
        <w:rPr/>
      </w:pPr>
      <w:r>
        <w:rPr/>
        <w:t>1. identifikace dopadů, rizik, příležitostí a dotčených stakeholderů;</w:t>
      </w:r>
    </w:p>
    <w:p>
      <w:pPr>
        <w:pStyle w:val="Normal"/>
        <w:widowControl/>
        <w:spacing w:lineRule="auto" w:line="360" w:before="0" w:after="0"/>
        <w:ind w:hanging="255" w:start="425"/>
        <w:jc w:val="both"/>
        <w:rPr/>
      </w:pPr>
      <w:r>
        <w:rPr/>
        <w:t>2. posouzení závažnosti, pravděpodobnosti a časového horizontu;</w:t>
      </w:r>
    </w:p>
    <w:p>
      <w:pPr>
        <w:pStyle w:val="Normal"/>
        <w:widowControl/>
        <w:spacing w:lineRule="auto" w:line="360" w:before="0" w:after="0"/>
        <w:ind w:hanging="255" w:start="425"/>
        <w:jc w:val="both"/>
        <w:rPr/>
      </w:pPr>
      <w:r>
        <w:rPr/>
        <w:t>3. určení hranice, vlastníka a priority;</w:t>
      </w:r>
    </w:p>
    <w:p>
      <w:pPr>
        <w:pStyle w:val="Normal"/>
        <w:widowControl/>
        <w:spacing w:lineRule="auto" w:line="360" w:before="0" w:after="0"/>
        <w:ind w:hanging="255" w:start="425"/>
        <w:jc w:val="both"/>
        <w:rPr/>
      </w:pPr>
      <w:r>
        <w:rPr/>
        <w:t>4. převod priority do politiky, cíle, zdrojů a rozhodování.</w:t>
      </w:r>
    </w:p>
    <w:p>
      <w:pPr>
        <w:pStyle w:val="Normal"/>
        <w:widowControl/>
        <w:spacing w:lineRule="auto" w:line="360"/>
        <w:ind w:firstLine="709"/>
        <w:jc w:val="both"/>
        <w:rPr/>
      </w:pPr>
      <w:r>
        <w:rPr/>
        <w:t>Empirická analýza věnuje zvláštní pozornost čtvrtému kroku. Report může podrobně popsat scoring a výsledný seznam témat, ale pokud není patrné, jak se materialita promítla do investic, risk managementu, produktu nebo nákupu, zůstává důkaz implementace převážně formální. Naopak rozhodovací vazba může ukázat, že materialita funguje jako mechanismus alokace omezených zdrojů.</w:t>
      </w:r>
    </w:p>
    <w:p>
      <w:pPr>
        <w:pStyle w:val="Heading2"/>
        <w:keepNext w:val="true"/>
        <w:widowControl/>
        <w:ind w:hanging="0"/>
        <w:rPr/>
      </w:pPr>
      <w:bookmarkStart w:id="13" w:name="__RefHeading___Toc2119_2077070603"/>
      <w:bookmarkEnd w:id="13"/>
      <w:r>
        <w:rPr/>
        <w:t>1.6 Organizační procesy a hloubka implementace</w:t>
      </w:r>
    </w:p>
    <w:p>
      <w:pPr>
        <w:pStyle w:val="Normal"/>
        <w:widowControl/>
        <w:spacing w:lineRule="auto" w:line="360"/>
        <w:ind w:firstLine="709"/>
        <w:jc w:val="both"/>
        <w:rPr/>
      </w:pPr>
      <w:r>
        <w:rPr/>
        <w:t>Eccles, Ioannou a Serafeim (2014) porovnávají podniky s vysokou a nízkou mírou dlouhodobého zaměření na udržitelnost a nacházejí rozdíly v organizačních procesech, zapojení vedení, měření a časovém horizontu. Studie bývá citována v souvislosti s lepší dlouhodobou výkonností „high sustainability“ podniků. Pro tuto práci je důležitější mechanismus než jednoduchý výsledkový slogan: udržitelnost je spojena s tím, jak organizace řídí odpovědnost, informace a rozhodnutí.</w:t>
      </w:r>
    </w:p>
    <w:p>
      <w:pPr>
        <w:pStyle w:val="Normal"/>
        <w:widowControl/>
        <w:spacing w:lineRule="auto" w:line="360"/>
        <w:ind w:firstLine="709"/>
        <w:jc w:val="both"/>
        <w:rPr/>
      </w:pPr>
      <w:r>
        <w:rPr/>
        <w:t>Implementace může mít několik stupňů. Nejnižším je jazyk a závazek. Následuje konkrétní praxe, například modernizace technologie, školení nebo sociální program. Třetím stupněm je formalizace: vlastník, proces, politika, metrika a kontrolní kadence. Čtvrtým je manažerská integrace, kdy téma mění alokaci kapitálu, řízení rizika, vývoj produktu, výběr dodavatele nebo odměnu. Pátým je externí vykazování a ověření.</w:t>
      </w:r>
    </w:p>
    <w:p>
      <w:pPr>
        <w:pStyle w:val="Normal"/>
        <w:widowControl/>
        <w:spacing w:lineRule="auto" w:line="360"/>
        <w:ind w:firstLine="709"/>
        <w:jc w:val="both"/>
        <w:rPr/>
      </w:pPr>
      <w:r>
        <w:rPr/>
        <w:t>Tyto stupně nejsou jednoduchou časovou posloupností. Podnik může mít externě ověřený report, ale slabou rozhodovací vazbu. Jiný podnik může provozně snižovat spotřebu z ekonomických důvodů, ale nevytvářet ESG report. Smyslem modelu není určit „vyspělost“ celé organizace, nýbrž přesněji klasifikovat jednotlivá tvrzení.</w:t>
      </w:r>
    </w:p>
    <w:p>
      <w:pPr>
        <w:pStyle w:val="Normal"/>
        <w:widowControl/>
        <w:spacing w:lineRule="auto" w:line="360"/>
        <w:ind w:firstLine="709"/>
        <w:jc w:val="both"/>
        <w:rPr/>
      </w:pPr>
      <w:r>
        <w:rPr/>
        <w:t>Rozhodovací vazba je v této práci považována za klíčový přechod mezi formalizací a integrací. Má několik podob:</w:t>
      </w:r>
    </w:p>
    <w:p>
      <w:pPr>
        <w:pStyle w:val="ListBullet"/>
        <w:widowControl/>
        <w:numPr>
          <w:ilvl w:val="0"/>
          <w:numId w:val="1"/>
        </w:numPr>
        <w:spacing w:lineRule="auto" w:line="360" w:before="0" w:after="0"/>
        <w:ind w:hanging="142" w:start="425"/>
        <w:contextualSpacing/>
        <w:rPr/>
      </w:pPr>
      <w:r>
        <w:rPr>
          <w:b/>
        </w:rPr>
        <w:t>kapitálová:</w:t>
      </w:r>
      <w:r>
        <w:rPr/>
        <w:t xml:space="preserve"> přechodový plán nebo taxonomická informace ovlivňuje investiční portfolio;</w:t>
      </w:r>
    </w:p>
    <w:p>
      <w:pPr>
        <w:pStyle w:val="ListBullet"/>
        <w:widowControl/>
        <w:numPr>
          <w:ilvl w:val="0"/>
          <w:numId w:val="1"/>
        </w:numPr>
        <w:spacing w:lineRule="auto" w:line="360" w:before="0" w:after="0"/>
        <w:ind w:hanging="142" w:start="425"/>
        <w:contextualSpacing/>
        <w:rPr/>
      </w:pPr>
      <w:r>
        <w:rPr>
          <w:b/>
        </w:rPr>
        <w:t>riziková:</w:t>
      </w:r>
      <w:r>
        <w:rPr/>
        <w:t xml:space="preserve"> ESG faktor vstupuje do underwritingového, kreditního nebo provozního rizika;</w:t>
      </w:r>
    </w:p>
    <w:p>
      <w:pPr>
        <w:pStyle w:val="ListBullet"/>
        <w:widowControl/>
        <w:numPr>
          <w:ilvl w:val="0"/>
          <w:numId w:val="1"/>
        </w:numPr>
        <w:spacing w:lineRule="auto" w:line="360" w:before="0" w:after="0"/>
        <w:ind w:hanging="142" w:start="425"/>
        <w:contextualSpacing/>
        <w:rPr/>
      </w:pPr>
      <w:r>
        <w:rPr>
          <w:b/>
        </w:rPr>
        <w:t>produktová:</w:t>
      </w:r>
      <w:r>
        <w:rPr/>
        <w:t xml:space="preserve"> cíl mění konstrukci produktu, služby nebo financovaného portfolia;</w:t>
      </w:r>
    </w:p>
    <w:p>
      <w:pPr>
        <w:pStyle w:val="ListBullet"/>
        <w:widowControl/>
        <w:numPr>
          <w:ilvl w:val="0"/>
          <w:numId w:val="1"/>
        </w:numPr>
        <w:spacing w:lineRule="auto" w:line="360" w:before="0" w:after="0"/>
        <w:ind w:hanging="142" w:start="425"/>
        <w:contextualSpacing/>
        <w:rPr/>
      </w:pPr>
      <w:r>
        <w:rPr>
          <w:b/>
        </w:rPr>
        <w:t>nákupní:</w:t>
      </w:r>
      <w:r>
        <w:rPr/>
        <w:t xml:space="preserve"> kritérium ovlivňuje výběr, hodnocení nebo nápravný plán dodavatele;</w:t>
      </w:r>
    </w:p>
    <w:p>
      <w:pPr>
        <w:pStyle w:val="ListBullet"/>
        <w:widowControl/>
        <w:numPr>
          <w:ilvl w:val="0"/>
          <w:numId w:val="1"/>
        </w:numPr>
        <w:spacing w:lineRule="auto" w:line="360" w:before="0" w:after="0"/>
        <w:ind w:hanging="142" w:start="425"/>
        <w:contextualSpacing/>
        <w:rPr/>
      </w:pPr>
      <w:r>
        <w:rPr>
          <w:b/>
        </w:rPr>
        <w:t>pobídková:</w:t>
      </w:r>
      <w:r>
        <w:rPr/>
        <w:t xml:space="preserve"> dosažení cíle má důsledek pro odměňování a odpovědnost;</w:t>
      </w:r>
    </w:p>
    <w:p>
      <w:pPr>
        <w:pStyle w:val="ListBullet"/>
        <w:widowControl/>
        <w:numPr>
          <w:ilvl w:val="0"/>
          <w:numId w:val="1"/>
        </w:numPr>
        <w:spacing w:lineRule="auto" w:line="360" w:before="0" w:after="0"/>
        <w:ind w:hanging="142" w:start="425"/>
        <w:contextualSpacing/>
        <w:rPr/>
      </w:pPr>
      <w:r>
        <w:rPr>
          <w:b/>
        </w:rPr>
        <w:t>provozní:</w:t>
      </w:r>
      <w:r>
        <w:rPr/>
        <w:t xml:space="preserve"> metrika ovlivňuje údržbu, obnovu zařízení nebo organizaci práce.</w:t>
      </w:r>
    </w:p>
    <w:p>
      <w:pPr>
        <w:pStyle w:val="Normal"/>
        <w:widowControl/>
        <w:spacing w:lineRule="auto" w:line="360"/>
        <w:ind w:firstLine="709"/>
        <w:jc w:val="both"/>
        <w:rPr/>
      </w:pPr>
      <w:r>
        <w:rPr/>
        <w:t>Přítomnost tohoto mechanismu neprokazuje, že rozhodnutí je environmentálně či sociálně dostatečné. Dokládá však, že ESG informace má možnost ovlivnit řízení a není pouze popisem již provedených aktivit.</w:t>
      </w:r>
    </w:p>
    <w:p>
      <w:pPr>
        <w:pStyle w:val="Heading2"/>
        <w:keepNext w:val="true"/>
        <w:widowControl/>
        <w:ind w:hanging="0"/>
        <w:rPr/>
      </w:pPr>
      <w:bookmarkStart w:id="14" w:name="__RefHeading___Toc2121_2077070603"/>
      <w:bookmarkEnd w:id="14"/>
      <w:r>
        <w:rPr/>
        <w:t>1.7 ESG a podniková výkonnost</w:t>
      </w:r>
    </w:p>
    <w:p>
      <w:pPr>
        <w:pStyle w:val="Normal"/>
        <w:widowControl/>
        <w:spacing w:lineRule="auto" w:line="360"/>
        <w:ind w:firstLine="709"/>
        <w:jc w:val="both"/>
        <w:rPr/>
      </w:pPr>
      <w:r>
        <w:rPr/>
        <w:t>Vztah mezi ESG a finanční výkonností je často zjednodušován do tvrzení, že „udržitelnost se vyplácí“. Friede, Busch a Bassen (2015) agregují výsledky více než dvou tisíc empirických studií a nacházejí převážně nezáporný vztah mezi ESG a finanční výkonností. Eccles et al. (2014) zjišťují rozdíly v dlouhodobé výkonnosti mezi skupinami podniků s odlišnými organizačními charakteristikami udržitelnosti. Khan et al. (2016) zdůrazňují, že výsledky závisejí na materialitě témat.</w:t>
      </w:r>
    </w:p>
    <w:p>
      <w:pPr>
        <w:pStyle w:val="Normal"/>
        <w:widowControl/>
        <w:spacing w:lineRule="auto" w:line="360"/>
        <w:ind w:firstLine="709"/>
        <w:jc w:val="both"/>
        <w:rPr/>
      </w:pPr>
      <w:r>
        <w:rPr/>
        <w:t>Tato literatura však neopravňuje k jednoduché kauzální interpretaci. Gillan et al. (2021) upozorňují na rozdíly v definici ESG, měřítkách, časovém horizontu, výběru vzorku a endogenitě. Výkonnější podnik může mít více zdrojů na ESG, kvalitnější data i lepší report. Zároveň může určitá governance zlepšovat jak finanční, tak nefinanční výsledky, aniž by bylo možné oddělit jeden směr kauzality.</w:t>
      </w:r>
    </w:p>
    <w:p>
      <w:pPr>
        <w:pStyle w:val="Normal"/>
        <w:widowControl/>
        <w:spacing w:lineRule="auto" w:line="360"/>
        <w:ind w:firstLine="709"/>
        <w:jc w:val="both"/>
        <w:rPr/>
      </w:pPr>
      <w:r>
        <w:rPr/>
        <w:t>Dokumentová analýza navíc nemá design, který by mohl finanční efekt testovat. Pokud podnik uvádí úsporu energie nebo obchodní přínos, jde o firemní tvrzení, které musí být posouzeno podle hranice, metriky a případného ověření. Práce proto rozlišuje:</w:t>
      </w:r>
    </w:p>
    <w:p>
      <w:pPr>
        <w:pStyle w:val="ListBullet"/>
        <w:widowControl/>
        <w:numPr>
          <w:ilvl w:val="0"/>
          <w:numId w:val="1"/>
        </w:numPr>
        <w:spacing w:lineRule="auto" w:line="360" w:before="0" w:after="0"/>
        <w:ind w:hanging="142" w:start="425"/>
        <w:contextualSpacing/>
        <w:rPr/>
      </w:pPr>
      <w:r>
        <w:rPr/>
        <w:t>pozorovaný provozní výsledek;</w:t>
      </w:r>
    </w:p>
    <w:p>
      <w:pPr>
        <w:pStyle w:val="ListBullet"/>
        <w:widowControl/>
        <w:numPr>
          <w:ilvl w:val="0"/>
          <w:numId w:val="1"/>
        </w:numPr>
        <w:spacing w:lineRule="auto" w:line="360" w:before="0" w:after="0"/>
        <w:ind w:hanging="142" w:start="425"/>
        <w:contextualSpacing/>
        <w:rPr/>
      </w:pPr>
      <w:r>
        <w:rPr/>
        <w:t>vnímaný manažerský přínos;</w:t>
      </w:r>
    </w:p>
    <w:p>
      <w:pPr>
        <w:pStyle w:val="ListBullet"/>
        <w:widowControl/>
        <w:numPr>
          <w:ilvl w:val="0"/>
          <w:numId w:val="1"/>
        </w:numPr>
        <w:spacing w:lineRule="auto" w:line="360" w:before="0" w:after="0"/>
        <w:ind w:hanging="142" w:start="425"/>
        <w:contextualSpacing/>
        <w:rPr/>
      </w:pPr>
      <w:r>
        <w:rPr/>
        <w:t>očekávaný budoucí přínos;</w:t>
      </w:r>
    </w:p>
    <w:p>
      <w:pPr>
        <w:pStyle w:val="ListBullet"/>
        <w:widowControl/>
        <w:numPr>
          <w:ilvl w:val="0"/>
          <w:numId w:val="1"/>
        </w:numPr>
        <w:spacing w:lineRule="auto" w:line="360" w:before="0" w:after="0"/>
        <w:ind w:hanging="142" w:start="425"/>
        <w:contextualSpacing/>
        <w:rPr/>
      </w:pPr>
      <w:r>
        <w:rPr/>
        <w:t>širší dopad, jehož kauzalita zůstává neprokázaná.</w:t>
      </w:r>
    </w:p>
    <w:p>
      <w:pPr>
        <w:pStyle w:val="Normal"/>
        <w:widowControl/>
        <w:spacing w:lineRule="auto" w:line="360"/>
        <w:ind w:firstLine="709"/>
        <w:jc w:val="both"/>
        <w:rPr/>
      </w:pPr>
      <w:r>
        <w:rPr/>
        <w:t>Toto rozlišení brání tomu, aby se počet aktivit nebo dobré ratingové skóre automaticky proměnily v tvrzení o zisku, konkurenceschopnosti nebo společenském přínosu.</w:t>
      </w:r>
    </w:p>
    <w:p>
      <w:pPr>
        <w:pStyle w:val="Heading2"/>
        <w:keepNext w:val="true"/>
        <w:widowControl/>
        <w:ind w:hanging="0"/>
        <w:rPr/>
      </w:pPr>
      <w:bookmarkStart w:id="15" w:name="__RefHeading___Toc2123_2077070603"/>
      <w:bookmarkEnd w:id="15"/>
      <w:r>
        <w:rPr/>
        <w:t>1.8 Ratingy a problém agregace</w:t>
      </w:r>
    </w:p>
    <w:p>
      <w:pPr>
        <w:pStyle w:val="Normal"/>
        <w:widowControl/>
        <w:spacing w:lineRule="auto" w:line="360"/>
        <w:ind w:firstLine="709"/>
        <w:jc w:val="both"/>
        <w:rPr/>
      </w:pPr>
      <w:r>
        <w:rPr/>
        <w:t>ESG ratingy převádějí velké množství heterogenních informací na srovnatelný výsledek. Berg, Kölbel a Rigobon (2022) ukazují, že rozdíly mezi ratingy vznikají zejména odlišným rozsahem témat, způsobem měření a vážením. Stejná firma tak může získat významně rozdílné hodnocení, aniž by se její skutečná praxe změnila. Rating není neutrálním odečtem jedné objektivní vlastnosti.</w:t>
      </w:r>
    </w:p>
    <w:p>
      <w:pPr>
        <w:pStyle w:val="Normal"/>
        <w:widowControl/>
        <w:spacing w:lineRule="auto" w:line="360"/>
        <w:ind w:firstLine="709"/>
        <w:jc w:val="both"/>
        <w:rPr/>
      </w:pPr>
      <w:r>
        <w:rPr/>
        <w:t>Drempetic, Klein a Zwergel (2020) upozorňují na vztah mezi velikostí podniku a ESG skóre. Velké podniky mají více zdrojů na sběr a zveřejnění dat a mohou být ratingově zvýhodněny informační dostupností. Tento problém je zvlášť relevantní pro zde analyzovaný korpus, který tvoří výhradně velké organizace s vysokou reportovací kapacitou.</w:t>
      </w:r>
    </w:p>
    <w:p>
      <w:pPr>
        <w:pStyle w:val="Normal"/>
        <w:widowControl/>
        <w:spacing w:lineRule="auto" w:line="360"/>
        <w:ind w:firstLine="709"/>
        <w:jc w:val="both"/>
        <w:rPr/>
      </w:pPr>
      <w:r>
        <w:rPr/>
        <w:t>Rating může mít v organizaci různé funkce. Může sloužit investorům, být KPI vedení, vytvářet benchmark nebo motivovat doplnění dat. Jeho přítomnost je proto analyzována jako součást řídicího a legitimačního procesu, nikoli jako výsledek, který by nahradil posouzení konkrétních mechanismů. Vysoké skóre samo o sobě neukazuje, zda podnik změnil investici, produkt nebo dopad.</w:t>
      </w:r>
    </w:p>
    <w:p>
      <w:pPr>
        <w:pStyle w:val="Heading2"/>
        <w:keepNext w:val="true"/>
        <w:widowControl/>
        <w:ind w:hanging="0"/>
        <w:rPr/>
      </w:pPr>
      <w:bookmarkStart w:id="16" w:name="__RefHeading___Toc2125_2077070603"/>
      <w:bookmarkEnd w:id="16"/>
      <w:r>
        <w:rPr/>
        <w:t>1.9 Povinný reporting a organizační změna</w:t>
      </w:r>
    </w:p>
    <w:p>
      <w:pPr>
        <w:pStyle w:val="Normal"/>
        <w:widowControl/>
        <w:spacing w:lineRule="auto" w:line="360"/>
        <w:ind w:firstLine="709"/>
        <w:jc w:val="both"/>
        <w:rPr/>
      </w:pPr>
      <w:r>
        <w:rPr/>
        <w:t>Christensen, Hail a Leuz (2021) shrnují ekonomické mechanismy povinného CSR a sustainability reportingu. Povinné zveřejnění může snižovat informační asymetrii, podporovat srovnání a vytvořit reputační nebo regulační tlak na změnu chování. Současně vytváří náklady, problémy s měřením a riziko boilerplate formulací. Účinek proto závisí na standardu, vymahatelnosti, ověření a tom, jak informace používají příjemci i samotný management.</w:t>
      </w:r>
    </w:p>
    <w:p>
      <w:pPr>
        <w:pStyle w:val="Normal"/>
        <w:widowControl/>
        <w:spacing w:lineRule="auto" w:line="360"/>
        <w:ind w:firstLine="709"/>
        <w:jc w:val="both"/>
        <w:rPr/>
      </w:pPr>
      <w:r>
        <w:rPr/>
        <w:t>Hahn a Kühnen (2013) ve své rešerši ukazují, že rozsah a kvalitu reportingu ovlivňují mimo jiné velikost, viditelnost, sektor a institucionální prostředí. Tato zjištění podporují účelový výběr kontrastních sektorů. Energetická skupina a výrobce automobilů čelí jiným materiálním dopadům než banka nebo telekomunikační podnik. Srovnávání počtu environmentálních ukazatelů bez ohledu na podnikatelský model by proto bylo zavádějící.</w:t>
      </w:r>
    </w:p>
    <w:p>
      <w:pPr>
        <w:pStyle w:val="Normal"/>
        <w:widowControl/>
        <w:spacing w:lineRule="auto" w:line="360"/>
        <w:ind w:firstLine="709"/>
        <w:jc w:val="both"/>
        <w:rPr/>
      </w:pPr>
      <w:r>
        <w:rPr/>
        <w:t>Povinný reporting může působit i dovnitř organizace. Požadavek na data vede k přiřazení vlastníků, sjednocení definic a zavedení kontrol. Proces dvojí materiality může přivést různé funkce k jednomu stolu. Externí ujištění může zvýšit tlak na auditní stopu. Tyto změny představují potenciální implementační mechanismus, ale není automatický. Organizace může vytvořit paralelní reportingovou vrstvu, která sbírá informace pro zveřejnění bez významného dopadu na rozhodování.</w:t>
      </w:r>
    </w:p>
    <w:p>
      <w:pPr>
        <w:pStyle w:val="Heading2"/>
        <w:keepNext w:val="true"/>
        <w:widowControl/>
        <w:ind w:hanging="0"/>
        <w:rPr/>
      </w:pPr>
      <w:bookmarkStart w:id="17" w:name="__RefHeading___Toc2127_2077070603"/>
      <w:bookmarkEnd w:id="17"/>
      <w:r>
        <w:rPr/>
        <w:t>1.10 Kvalita zveřejnění: množství, přesnost a vyváženost</w:t>
      </w:r>
    </w:p>
    <w:p>
      <w:pPr>
        <w:pStyle w:val="Normal"/>
        <w:widowControl/>
        <w:spacing w:lineRule="auto" w:line="360"/>
        <w:ind w:firstLine="709"/>
        <w:jc w:val="both"/>
        <w:rPr/>
      </w:pPr>
      <w:r>
        <w:rPr/>
        <w:t>Michelon, Pilonato a Ricceri (2015) rozlišují několik dimenzí kvality CSR zveřejnění: obsah, způsob prezentace a manažerskou orientaci. Jejich výsledky zpochybňují předpoklad, že samostatná zpráva, použití GRI nebo assurance automaticky zvyšují kvalitu informací. Tyto nástroje mohou být používány substantivně i symbolicky.</w:t>
      </w:r>
    </w:p>
    <w:p>
      <w:pPr>
        <w:pStyle w:val="Normal"/>
        <w:widowControl/>
        <w:spacing w:lineRule="auto" w:line="360"/>
        <w:ind w:firstLine="709"/>
        <w:jc w:val="both"/>
        <w:rPr/>
      </w:pPr>
      <w:r>
        <w:rPr/>
        <w:t>Boiral (2013) analyzuje vysoce hodnocené GRI reporty a upozorňuje na tendenci vytvářet idealizovaný obraz organizace, v němž jsou negativní události, rozpory a stakeholderové konflikty upozaděny. Pro tuto práci je podstatný princip „counter-account“: kvalitu nelze posoudit jen podle toho, co dokument obsahuje, ale také podle toho, zda poskytuje čtenáři možnost porozumět nepříznivému trendu, hranici nebo nevyřešenému dopadu.</w:t>
      </w:r>
    </w:p>
    <w:p>
      <w:pPr>
        <w:pStyle w:val="Normal"/>
        <w:widowControl/>
        <w:spacing w:lineRule="auto" w:line="360"/>
        <w:ind w:firstLine="709"/>
        <w:jc w:val="both"/>
        <w:rPr/>
      </w:pPr>
      <w:r>
        <w:rPr/>
        <w:t>Vyváženost však nesmí být redukována na počet negativních vět. Zhoršení ukazatele může být důsledkem změny hranice, akvizice nebo přesnější metody. Přiznaný restatement může zhoršit zdánlivou časovou řadu, ale zvýšit metodickou kvalitu. Zrušený cíl může být známkou oportunismu, nebo naopak korekce špatně navrženého KPI. Dokumentová analýza proto zaznamenává negativní informace společně s vysvětlením a omezením.</w:t>
      </w:r>
    </w:p>
    <w:p>
      <w:pPr>
        <w:pStyle w:val="Normal"/>
        <w:widowControl/>
        <w:spacing w:lineRule="auto" w:line="360"/>
        <w:ind w:firstLine="709"/>
        <w:jc w:val="both"/>
        <w:rPr/>
      </w:pPr>
      <w:r>
        <w:rPr/>
        <w:t>Kvalitní zveřejnění má podle pracovního rámce několik znaků:</w:t>
      </w:r>
    </w:p>
    <w:p>
      <w:pPr>
        <w:pStyle w:val="ListBullet"/>
        <w:widowControl/>
        <w:numPr>
          <w:ilvl w:val="0"/>
          <w:numId w:val="1"/>
        </w:numPr>
        <w:spacing w:lineRule="auto" w:line="360" w:before="0" w:after="0"/>
        <w:ind w:hanging="142" w:start="425"/>
        <w:contextualSpacing/>
        <w:rPr/>
      </w:pPr>
      <w:r>
        <w:rPr/>
        <w:t>tvrzení je specifické a připsané odpovědnému procesu;</w:t>
      </w:r>
    </w:p>
    <w:p>
      <w:pPr>
        <w:pStyle w:val="ListBullet"/>
        <w:widowControl/>
        <w:numPr>
          <w:ilvl w:val="0"/>
          <w:numId w:val="1"/>
        </w:numPr>
        <w:spacing w:lineRule="auto" w:line="360" w:before="0" w:after="0"/>
        <w:ind w:hanging="142" w:start="425"/>
        <w:contextualSpacing/>
        <w:rPr/>
      </w:pPr>
      <w:r>
        <w:rPr/>
        <w:t>metrika má hranici, definici a srovnatelný časový údaj;</w:t>
      </w:r>
    </w:p>
    <w:p>
      <w:pPr>
        <w:pStyle w:val="ListBullet"/>
        <w:widowControl/>
        <w:numPr>
          <w:ilvl w:val="0"/>
          <w:numId w:val="1"/>
        </w:numPr>
        <w:spacing w:lineRule="auto" w:line="360" w:before="0" w:after="0"/>
        <w:ind w:hanging="142" w:start="425"/>
        <w:contextualSpacing/>
        <w:rPr/>
      </w:pPr>
      <w:r>
        <w:rPr/>
        <w:t>cíl má výchozí hodnotu, termín a vlastníka;</w:t>
      </w:r>
    </w:p>
    <w:p>
      <w:pPr>
        <w:pStyle w:val="ListBullet"/>
        <w:widowControl/>
        <w:numPr>
          <w:ilvl w:val="0"/>
          <w:numId w:val="1"/>
        </w:numPr>
        <w:spacing w:lineRule="auto" w:line="360" w:before="0" w:after="0"/>
        <w:ind w:hanging="142" w:start="425"/>
        <w:contextualSpacing/>
        <w:rPr/>
      </w:pPr>
      <w:r>
        <w:rPr/>
        <w:t>výsledek je odlišen od aktivity a dopadu;</w:t>
      </w:r>
    </w:p>
    <w:p>
      <w:pPr>
        <w:pStyle w:val="ListBullet"/>
        <w:widowControl/>
        <w:numPr>
          <w:ilvl w:val="0"/>
          <w:numId w:val="1"/>
        </w:numPr>
        <w:spacing w:lineRule="auto" w:line="360" w:before="0" w:after="0"/>
        <w:ind w:hanging="142" w:start="425"/>
        <w:contextualSpacing/>
        <w:rPr/>
      </w:pPr>
      <w:r>
        <w:rPr/>
        <w:t>metodická změna je přiznána;</w:t>
      </w:r>
    </w:p>
    <w:p>
      <w:pPr>
        <w:pStyle w:val="ListBullet"/>
        <w:widowControl/>
        <w:numPr>
          <w:ilvl w:val="0"/>
          <w:numId w:val="1"/>
        </w:numPr>
        <w:spacing w:lineRule="auto" w:line="360" w:before="0" w:after="0"/>
        <w:ind w:hanging="142" w:start="425"/>
        <w:contextualSpacing/>
        <w:rPr/>
      </w:pPr>
      <w:r>
        <w:rPr/>
        <w:t>negativní trend nebo nejistota nejsou skryty;</w:t>
      </w:r>
    </w:p>
    <w:p>
      <w:pPr>
        <w:pStyle w:val="ListBullet"/>
        <w:widowControl/>
        <w:numPr>
          <w:ilvl w:val="0"/>
          <w:numId w:val="1"/>
        </w:numPr>
        <w:spacing w:lineRule="auto" w:line="360" w:before="0" w:after="0"/>
        <w:ind w:hanging="142" w:start="425"/>
        <w:contextualSpacing/>
        <w:rPr/>
      </w:pPr>
      <w:r>
        <w:rPr/>
        <w:t>externí ujištění je interpretováno pouze v rozsahu, který skutečně pokrývá.</w:t>
      </w:r>
    </w:p>
    <w:p>
      <w:pPr>
        <w:pStyle w:val="Heading2"/>
        <w:keepNext w:val="true"/>
        <w:widowControl/>
        <w:ind w:hanging="0"/>
        <w:rPr/>
      </w:pPr>
      <w:bookmarkStart w:id="18" w:name="__RefHeading___Toc2129_2077070603"/>
      <w:bookmarkEnd w:id="18"/>
      <w:r>
        <w:rPr/>
        <w:t>1.11 Assurance a hranice ověření</w:t>
      </w:r>
    </w:p>
    <w:p>
      <w:pPr>
        <w:pStyle w:val="Normal"/>
        <w:widowControl/>
        <w:spacing w:lineRule="auto" w:line="360"/>
        <w:ind w:firstLine="709"/>
        <w:jc w:val="both"/>
        <w:rPr/>
      </w:pPr>
      <w:r>
        <w:rPr/>
        <w:t>Externí ujištění může zvýšit důvěryhodnost sustainability informace, ale jeho význam závisí na úrovni a rozsahu. Omezené ujištění pracuje s menším rozsahem postupů a poskytuje nižší jistotu než ujištění přiměřené. Praktik může ověřovat, zda report neobsahuje významnou nesprávnost a zda byl materialitní proces popsán v souladu se standardem, aniž hodnotí účinnost strategie nebo dostatečnost cíle.</w:t>
      </w:r>
    </w:p>
    <w:p>
      <w:pPr>
        <w:pStyle w:val="Normal"/>
        <w:widowControl/>
        <w:spacing w:lineRule="auto" w:line="360"/>
        <w:ind w:firstLine="709"/>
        <w:jc w:val="both"/>
        <w:rPr/>
      </w:pPr>
      <w:r>
        <w:rPr/>
        <w:t>Pro empirickou analýzu z toho plyne restriktivní pravidlo. Existence assurance reportu není vlastností celé firmy a nepovyšuje všechny její výroky na nejvyšší evidenční stupeň. U konkrétní metriky je třeba zjistit:</w:t>
      </w:r>
    </w:p>
    <w:p>
      <w:pPr>
        <w:pStyle w:val="Normal"/>
        <w:widowControl/>
        <w:spacing w:lineRule="auto" w:line="360" w:before="0" w:after="0"/>
        <w:ind w:hanging="255" w:start="425"/>
        <w:jc w:val="both"/>
        <w:rPr/>
      </w:pPr>
      <w:r>
        <w:rPr/>
        <w:t>1. zda je zahrnuta do rozsahu ujištění;</w:t>
      </w:r>
    </w:p>
    <w:p>
      <w:pPr>
        <w:pStyle w:val="Normal"/>
        <w:widowControl/>
        <w:spacing w:lineRule="auto" w:line="360" w:before="0" w:after="0"/>
        <w:ind w:hanging="255" w:start="425"/>
        <w:jc w:val="both"/>
        <w:rPr/>
      </w:pPr>
      <w:r>
        <w:rPr/>
        <w:t>2. zda jde o omezené nebo přiměřené ujištění;</w:t>
      </w:r>
    </w:p>
    <w:p>
      <w:pPr>
        <w:pStyle w:val="Normal"/>
        <w:widowControl/>
        <w:spacing w:lineRule="auto" w:line="360" w:before="0" w:after="0"/>
        <w:ind w:hanging="255" w:start="425"/>
        <w:jc w:val="both"/>
        <w:rPr/>
      </w:pPr>
      <w:r>
        <w:rPr/>
        <w:t>3. zda je ověřena správnost výpočtu, nebo také výsledek;</w:t>
      </w:r>
    </w:p>
    <w:p>
      <w:pPr>
        <w:pStyle w:val="Normal"/>
        <w:widowControl/>
        <w:spacing w:lineRule="auto" w:line="360" w:before="0" w:after="0"/>
        <w:ind w:hanging="255" w:start="425"/>
        <w:jc w:val="both"/>
        <w:rPr/>
      </w:pPr>
      <w:r>
        <w:rPr/>
        <w:t>4. zda tvrzení v textu nepřekračuje to, co bylo ověřeno.</w:t>
      </w:r>
    </w:p>
    <w:p>
      <w:pPr>
        <w:pStyle w:val="Normal"/>
        <w:widowControl/>
        <w:spacing w:lineRule="auto" w:line="360"/>
        <w:ind w:firstLine="709"/>
        <w:jc w:val="both"/>
        <w:rPr/>
      </w:pPr>
      <w:r>
        <w:rPr/>
        <w:t>Metodicky přesný výpočet financovaných emisí může mít vysokou evidenční sílu, ale neprokazuje, že se portfolio dekarbonizuje. Ujištění nad přechodovým plánem může ověřit soulad zveřejnění se standardem, ne jeho budoucí úspěch.</w:t>
      </w:r>
    </w:p>
    <w:p>
      <w:pPr>
        <w:pStyle w:val="Heading2"/>
        <w:keepNext w:val="true"/>
        <w:widowControl/>
        <w:ind w:hanging="0"/>
        <w:rPr/>
      </w:pPr>
      <w:bookmarkStart w:id="19" w:name="__RefHeading___Toc2131_2077070603"/>
      <w:bookmarkEnd w:id="19"/>
      <w:r>
        <w:rPr/>
        <w:t>1.12 Dokument jako empirický zdroj</w:t>
      </w:r>
    </w:p>
    <w:p>
      <w:pPr>
        <w:pStyle w:val="Normal"/>
        <w:widowControl/>
        <w:spacing w:lineRule="auto" w:line="360"/>
        <w:ind w:firstLine="709"/>
        <w:jc w:val="both"/>
        <w:rPr/>
      </w:pPr>
      <w:r>
        <w:rPr/>
        <w:t>Bowen (2009) popisuje dokumentovou analýzu jako systematické posuzování tištěných i elektronických dokumentů. Její výhodou je stabilita zdroje, možnost opakovaného přístupu, nízká reaktivita a schopnost rekonstruovat oficiální procesy. Omezením je selektivita: dokument nebyl vytvořen pro potřeby výzkumníka, může být neúplný a odráží institucionální účel autora.</w:t>
      </w:r>
    </w:p>
    <w:p>
      <w:pPr>
        <w:pStyle w:val="Normal"/>
        <w:widowControl/>
        <w:spacing w:lineRule="auto" w:line="360"/>
        <w:ind w:firstLine="709"/>
        <w:jc w:val="both"/>
        <w:rPr/>
      </w:pPr>
      <w:r>
        <w:rPr/>
        <w:t>Hsieh a Shannon (2005) rozlišují konvenční, řízenou a sumativní obsahovou analýzu. Řízený přístup začíná teorií a existujícími zjištěními, která poskytují počáteční kategorie. Hrozí však, že výzkumník bude vidět pouze to, co očekává. Tato práce proto ukládá negativní případy, umožňuje induktivní kódy a u každého tématu vyžaduje hranici nebo alternativní výklad.</w:t>
      </w:r>
    </w:p>
    <w:p>
      <w:pPr>
        <w:pStyle w:val="Normal"/>
        <w:widowControl/>
        <w:spacing w:lineRule="auto" w:line="360"/>
        <w:ind w:firstLine="709"/>
        <w:jc w:val="both"/>
        <w:rPr/>
      </w:pPr>
      <w:r>
        <w:rPr/>
        <w:t>Schreier (2012) zdůrazňuje význam coding frame, segmentace a zkušebního kódování. Jasné rozlišení jednotky analýzy, kódovací jednotky a kontextové jednotky je zásadní zejména u firemních reportů, kde se význam čísla často nachází v poznámce pod tabulkou. Izolovaná hodnota bez hranice a metodiky může vést k opačnému závěru než celý oddíl.</w:t>
      </w:r>
    </w:p>
    <w:p>
      <w:pPr>
        <w:pStyle w:val="Heading2"/>
        <w:keepNext w:val="true"/>
        <w:widowControl/>
        <w:ind w:hanging="0"/>
        <w:rPr/>
      </w:pPr>
      <w:bookmarkStart w:id="20" w:name="__RefHeading___Toc2133_2077070603"/>
      <w:bookmarkEnd w:id="20"/>
      <w:r>
        <w:rPr/>
        <w:t>1.13 Pracovní model zveřejněné implementace</w:t>
      </w:r>
    </w:p>
    <w:p>
      <w:pPr>
        <w:pStyle w:val="Normal"/>
        <w:widowControl/>
        <w:spacing w:lineRule="auto" w:line="360"/>
        <w:ind w:firstLine="709"/>
        <w:jc w:val="both"/>
        <w:rPr/>
      </w:pPr>
      <w:r>
        <w:rPr/>
        <w:t>Na základě uvedené literatury je použit tento senzitivizující model:</w:t>
      </w:r>
    </w:p>
    <w:p>
      <w:pPr>
        <w:pStyle w:val="BlockQuote"/>
        <w:rPr/>
      </w:pPr>
      <w:r>
        <w:rPr>
          <w:b/>
        </w:rPr>
        <w:t>tlak stakeholderů a institucí → vymezení materiality → přiřazení odpovědnosti → proces a kontrola → rozhodovací vazba → metrika a výsledek → zveřejnění a ověření → zpětná vazba</w:t>
      </w:r>
    </w:p>
    <w:p>
      <w:pPr>
        <w:pStyle w:val="Normal"/>
        <w:widowControl/>
        <w:spacing w:lineRule="auto" w:line="360"/>
        <w:ind w:firstLine="709"/>
        <w:jc w:val="both"/>
        <w:rPr/>
      </w:pPr>
      <w:r>
        <w:rPr/>
        <w:t>Model není lineární kauzální teorií. Zpětná vazba může změnit materialitu, cíl i způsob reportingu. Externí tlak může obejít formální strategii a působit přímo prostřednictvím smlouvy nebo financování. Provozní úspora může předcházet ESG označení. Přesto model umožňuje klást konzistentní otázky napříč sektory.</w:t>
      </w:r>
    </w:p>
    <w:p>
      <w:pPr>
        <w:pStyle w:val="Normal"/>
        <w:widowControl/>
        <w:spacing w:lineRule="auto" w:line="360"/>
        <w:ind w:firstLine="709"/>
        <w:jc w:val="both"/>
        <w:rPr/>
      </w:pPr>
      <w:r>
        <w:rPr/>
        <w:t>Pro klasifikaci jednotlivých tvrzení je doplněna škála E0–E4:</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Třída</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Charakter důkazu</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Rozhodující otázka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E0</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deklarace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Je uveden pouze závazek nebo hodnota?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E1</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aktivita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Je popsáno konkrétní opatření nebo výstup?</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E2</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řízený výsledek</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Existuje cíl, vlastník, proces, metoda nebo sledovaný vývoj?</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E3</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rozhodovací vazba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Může informace změnit zdroje, riziko, produkt, dodavatele nebo odměnu?</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E4</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externě podpořený konkrétní výsledek</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Je konkrétní výsledek jasně vymezen a silně nezávisle ověřen?</w:t>
            </w:r>
          </w:p>
        </w:tc>
      </w:tr>
    </w:tbl>
    <w:p>
      <w:pPr>
        <w:pStyle w:val="Normal"/>
        <w:spacing w:before="0" w:after="40"/>
        <w:rPr/>
      </w:pPr>
      <w:r>
        <w:rPr/>
      </w:r>
    </w:p>
    <w:p>
      <w:pPr>
        <w:pStyle w:val="Normal"/>
        <w:widowControl/>
        <w:spacing w:lineRule="auto" w:line="360"/>
        <w:ind w:firstLine="709"/>
        <w:jc w:val="both"/>
        <w:rPr/>
      </w:pPr>
      <w:r>
        <w:rPr/>
        <w:t>E4 je používána výjimečně a pouze na úrovni konkrétního tvrzení. Tím se omezuje riziko, že formální assurance nebo vysoký rating vytvoří nezasloužený halo efekt nad celým reportem.</w:t>
      </w:r>
    </w:p>
    <w:p>
      <w:pPr>
        <w:pStyle w:val="Heading2"/>
        <w:keepNext w:val="true"/>
        <w:widowControl/>
        <w:ind w:hanging="0"/>
        <w:rPr/>
      </w:pPr>
      <w:bookmarkStart w:id="21" w:name="__RefHeading___Toc2135_2077070603"/>
      <w:bookmarkEnd w:id="21"/>
      <w:r>
        <w:rPr/>
        <w:t>1.14 Shrnutí teoretické kapitoly</w:t>
      </w:r>
    </w:p>
    <w:p>
      <w:pPr>
        <w:pStyle w:val="Normal"/>
        <w:widowControl/>
        <w:spacing w:lineRule="auto" w:line="360"/>
        <w:ind w:firstLine="709"/>
        <w:jc w:val="both"/>
        <w:rPr/>
      </w:pPr>
      <w:r>
        <w:rPr/>
        <w:t>Teoretická východiska ukazují, že ESG implementaci nelze odvodit z jediné viditelné charakteristiky. Stakeholderové a institucionální tlaky vysvětlují, proč podniky téma přijímají a proč se jejich reporty strukturálně podobají. Legitimita vysvětluje, proč je zveřejnění současně informačním i strategickým jednáním. Materialita ukazuje, jak mají být vybírány priority. Organizační literatura posouvá pozornost od cíle k odpovědnosti a rozhodování. Výzkum ratingů a reportingu upozorňuje, že agregace, objem dat ani assurance nejsou automatickým důkazem substantivní změny.</w:t>
      </w:r>
    </w:p>
    <w:p>
      <w:pPr>
        <w:pStyle w:val="Normal"/>
        <w:widowControl/>
        <w:spacing w:lineRule="auto" w:line="360"/>
        <w:ind w:firstLine="709"/>
        <w:jc w:val="both"/>
        <w:rPr/>
      </w:pPr>
      <w:r>
        <w:rPr/>
        <w:t>Pro empirickou část je klíčovým rozlišovacím znakem rozhodovací vazba. Deklarace se mění ve formalizaci, když získá vlastníka, proces a metriku. Formalizace se mění v manažerskou integraci, když informace vstoupí do kapitálu, rizika, produktu, nákupu, odměny nebo provozního pravidla. Ani tento krok však sám neprokazuje konečný dopad. Právě oddělení mechanismu, výsledku a dopadu umožňuje porovnat heterogenní podniky bez vytvoření zavádějícího univerzálního ESG skóre.</w:t>
      </w:r>
    </w:p>
    <w:p>
      <w:pPr>
        <w:pStyle w:val="Normal"/>
        <w:rPr/>
      </w:pPr>
      <w:r>
        <w:rPr/>
      </w:r>
      <w:r>
        <w:br w:type="page"/>
      </w:r>
    </w:p>
    <w:p>
      <w:pPr>
        <w:pStyle w:val="Heading1"/>
        <w:keepNext w:val="true"/>
        <w:widowControl/>
        <w:spacing w:before="0" w:after="180"/>
        <w:ind w:hanging="0"/>
        <w:rPr/>
      </w:pPr>
      <w:bookmarkStart w:id="22" w:name="__RefHeading___Toc2137_2077070603"/>
      <w:bookmarkEnd w:id="22"/>
      <w:r>
        <w:rPr/>
        <w:t>2 Regulatorní a reportovací kontext</w:t>
      </w:r>
    </w:p>
    <w:p>
      <w:pPr>
        <w:pStyle w:val="Heading2"/>
        <w:keepNext w:val="true"/>
        <w:widowControl/>
        <w:ind w:hanging="0"/>
        <w:rPr/>
      </w:pPr>
      <w:bookmarkStart w:id="23" w:name="__RefHeading___Toc2139_2077070603"/>
      <w:bookmarkEnd w:id="23"/>
      <w:r>
        <w:rPr/>
        <w:t>2.1 Význam regulatorního rámce pro výzkumnou otázku</w:t>
      </w:r>
    </w:p>
    <w:p>
      <w:pPr>
        <w:pStyle w:val="Normal"/>
        <w:widowControl/>
        <w:spacing w:lineRule="auto" w:line="360"/>
        <w:ind w:firstLine="709"/>
        <w:jc w:val="both"/>
        <w:rPr/>
      </w:pPr>
      <w:r>
        <w:rPr/>
        <w:t>Regulace není v této práci hodnocena primárně jako právní problém, ale jako součást institucionálního prostředí, které ovlivňuje podobu firemních dokumentů a vnitřních procesů. Zavedení standardizovaných požadavků může změnit to, jak podnik vymezuje materialitu, kdo odpovídá za data, jak jsou informace kontrolovány a zda se udržitelnostní témata propojují s finančním plánováním. Současně může vytvořit jednotný jazyk, který zvyšuje formální podobnost reportů bez odpovídající podobnosti řízení.</w:t>
      </w:r>
    </w:p>
    <w:p>
      <w:pPr>
        <w:pStyle w:val="Normal"/>
        <w:widowControl/>
        <w:spacing w:lineRule="auto" w:line="360"/>
        <w:ind w:firstLine="709"/>
        <w:jc w:val="both"/>
        <w:rPr/>
      </w:pPr>
      <w:r>
        <w:rPr/>
        <w:t>Empirický korpus pokrývá rok 2024 a dokumenty zveřejněné převážně v roce 2025. Právně i analyticky je proto nutné rozlišit tři časové roviny:</w:t>
      </w:r>
    </w:p>
    <w:p>
      <w:pPr>
        <w:pStyle w:val="Normal"/>
        <w:widowControl/>
        <w:spacing w:lineRule="auto" w:line="360" w:before="0" w:after="0"/>
        <w:ind w:hanging="255" w:start="425"/>
        <w:jc w:val="both"/>
        <w:rPr/>
      </w:pPr>
      <w:r>
        <w:rPr/>
        <w:t>1. rámec, podle něhož podniky připravovaly informace za rok 2024;</w:t>
      </w:r>
    </w:p>
    <w:p>
      <w:pPr>
        <w:pStyle w:val="Normal"/>
        <w:widowControl/>
        <w:spacing w:lineRule="auto" w:line="360" w:before="0" w:after="0"/>
        <w:ind w:hanging="255" w:start="425"/>
        <w:jc w:val="both"/>
        <w:rPr/>
      </w:pPr>
      <w:r>
        <w:rPr/>
        <w:t>2. způsob, jakým jej jednotlivé podniky aplikovaly nebo se na něj připravovaly;</w:t>
      </w:r>
    </w:p>
    <w:p>
      <w:pPr>
        <w:pStyle w:val="Normal"/>
        <w:widowControl/>
        <w:spacing w:lineRule="auto" w:line="360" w:before="0" w:after="0"/>
        <w:ind w:hanging="255" w:start="425"/>
        <w:jc w:val="both"/>
        <w:rPr/>
      </w:pPr>
      <w:r>
        <w:rPr/>
        <w:t>3. pozdější změny evropského a českého práva, které mohou ovlivnit další reportovací období, ale nemění obsah již vytvořených dokumentů.</w:t>
      </w:r>
    </w:p>
    <w:p>
      <w:pPr>
        <w:pStyle w:val="Normal"/>
        <w:widowControl/>
        <w:spacing w:lineRule="auto" w:line="360"/>
        <w:ind w:firstLine="709"/>
        <w:jc w:val="both"/>
        <w:rPr/>
      </w:pPr>
      <w:r>
        <w:rPr/>
        <w:t>Práce neposuzuje právní soulad analyzovaných podniků. Neprovádí test, zda konkrétní subjekt správně určil svou působnost, zda zveřejnil každý povinný datový bod ani zda splnil požadavky assurance. Právní rámec slouží k vysvětlení struktury a významu zveřejněných informací.</w:t>
      </w:r>
    </w:p>
    <w:p>
      <w:pPr>
        <w:pStyle w:val="Heading2"/>
        <w:keepNext w:val="true"/>
        <w:widowControl/>
        <w:ind w:hanging="0"/>
        <w:rPr/>
      </w:pPr>
      <w:bookmarkStart w:id="24" w:name="__RefHeading___Toc2141_2077070603"/>
      <w:bookmarkEnd w:id="24"/>
      <w:r>
        <w:rPr/>
        <w:t>2.2 CSRD a změna logiky podávání zpráv</w:t>
      </w:r>
    </w:p>
    <w:p>
      <w:pPr>
        <w:pStyle w:val="Normal"/>
        <w:widowControl/>
        <w:spacing w:lineRule="auto" w:line="360"/>
        <w:ind w:firstLine="709"/>
        <w:jc w:val="both"/>
        <w:rPr/>
      </w:pPr>
      <w:r>
        <w:rPr/>
        <w:t>Směrnice Evropského parlamentu a Rady (EU) 2022/2464 o podávání zpráv podniků o udržitelnosti, označovaná jako CSRD, novelizovala zejména účetní směrnici 2013/34/EU. Jejím účelem bylo rozšířit a standardizovat informace, které vymezené podniky zveřejňují o udržitelnosti, a přiblížit jejich postavení finančnímu výkaznictví. Povinné informace byly začleněny do zprávy vedení a podléhají ověření (Evropský parlament a Rada EU, 2022).</w:t>
      </w:r>
    </w:p>
    <w:p>
      <w:pPr>
        <w:pStyle w:val="Normal"/>
        <w:widowControl/>
        <w:spacing w:lineRule="auto" w:line="360"/>
        <w:ind w:firstLine="709"/>
        <w:jc w:val="both"/>
        <w:rPr/>
      </w:pPr>
      <w:r>
        <w:rPr/>
        <w:t>Z hlediska této práce jsou důležité čtyři změny.</w:t>
      </w:r>
    </w:p>
    <w:p>
      <w:pPr>
        <w:pStyle w:val="Normal"/>
        <w:widowControl/>
        <w:spacing w:lineRule="auto" w:line="360"/>
        <w:ind w:firstLine="709"/>
        <w:jc w:val="both"/>
        <w:rPr/>
      </w:pPr>
      <w:r>
        <w:rPr/>
        <w:t>Za prvé, CSRD pracuje se dvěma směry informační relevance. Podnik má zveřejnit informace potřebné k pochopení jeho dopadů na udržitelnost a současně informace potřebné k pochopení, jak udržitelnostní otázky ovlivňují vývoj, výkonnost a postavení podniku. Tento princip tvoří právní základ dvojí materiality.</w:t>
      </w:r>
    </w:p>
    <w:p>
      <w:pPr>
        <w:pStyle w:val="Normal"/>
        <w:widowControl/>
        <w:spacing w:lineRule="auto" w:line="360"/>
        <w:ind w:firstLine="709"/>
        <w:jc w:val="both"/>
        <w:rPr/>
      </w:pPr>
      <w:r>
        <w:rPr/>
        <w:t>Za druhé, zpráva nemá obsahovat pouze výsledkové ukazatele. Má vysvětlovat podnikatelský model a strategii, odolnost, příležitosti, plány, roli správních, řídicích a dozorčích orgánů, politiky, due diligence, hlavní nepříznivé dopady, přijatá opatření a způsob měření pokroku. Regulace tak vytváří předpoklad pro sledování řetězce od tématu přes odpovědnost a opatření k metrice.</w:t>
      </w:r>
    </w:p>
    <w:p>
      <w:pPr>
        <w:pStyle w:val="Normal"/>
        <w:widowControl/>
        <w:spacing w:lineRule="auto" w:line="360"/>
        <w:ind w:firstLine="709"/>
        <w:jc w:val="both"/>
        <w:rPr/>
      </w:pPr>
      <w:r>
        <w:rPr/>
        <w:t>Za třetí, informace mají podle potřeby pokrývat vlastní činnost i hodnotový řetězec. To je významné zejména pro banku, výrobce automobilů a telekomunikační podnik. Největší dopady nemusí vznikat uvnitř vlastních budov a závodů, ale prostřednictvím financovaného portfolia, užívání výrobku, výroby dodavatelů nebo zákaznických vztahů.</w:t>
      </w:r>
    </w:p>
    <w:p>
      <w:pPr>
        <w:pStyle w:val="Normal"/>
        <w:widowControl/>
        <w:spacing w:lineRule="auto" w:line="360"/>
        <w:ind w:firstLine="709"/>
        <w:jc w:val="both"/>
        <w:rPr/>
      </w:pPr>
      <w:r>
        <w:rPr/>
        <w:t>Za čtvrté, směrnice vytvořila vazbu mezi zveřejněním a externím ujištěním. Tím zvyšuje požadavek na auditní stopu, konsistentní definice, kontrolu hranic a odpovědnost za data. Assurance však nemá být interpretováno jako potvrzení environmentální nebo sociální dostatečnosti strategie. Ověřovatel posuzuje vymezené informace a postupy v rozsahu konkrétní zakázky.</w:t>
      </w:r>
    </w:p>
    <w:p>
      <w:pPr>
        <w:pStyle w:val="Normal"/>
        <w:widowControl/>
        <w:spacing w:lineRule="auto" w:line="360"/>
        <w:ind w:firstLine="709"/>
        <w:jc w:val="both"/>
        <w:rPr/>
      </w:pPr>
      <w:r>
        <w:rPr/>
        <w:t>Pro empirickou analýzu z toho plyne, že podobná struktura čtyř reportů může být alespoň částečně výsledkem donucovacího institucionálního tlaku. Zveřejnění governance schématu, materialitního procesu a tabulky cílů nelze samo považovat za nezávislý důkaz stejné manažerské integrace.</w:t>
      </w:r>
    </w:p>
    <w:p>
      <w:pPr>
        <w:pStyle w:val="Heading2"/>
        <w:keepNext w:val="true"/>
        <w:widowControl/>
        <w:ind w:hanging="0"/>
        <w:rPr/>
      </w:pPr>
      <w:bookmarkStart w:id="25" w:name="__RefHeading___Toc2143_2077070603"/>
      <w:bookmarkEnd w:id="25"/>
      <w:r>
        <w:rPr/>
        <w:t>2.3 ESRS jako společná informační architektura</w:t>
      </w:r>
    </w:p>
    <w:p>
      <w:pPr>
        <w:pStyle w:val="Normal"/>
        <w:widowControl/>
        <w:spacing w:lineRule="auto" w:line="360"/>
        <w:ind w:firstLine="709"/>
        <w:jc w:val="both"/>
        <w:rPr/>
      </w:pPr>
      <w:r>
        <w:rPr/>
        <w:t>První soubor evropských standardů pro podávání zpráv o udržitelnosti byl přijat nařízením Komise v přenesené pravomoci (EU) 2023/2772 (Evropská komise, 2023). Standardy obsahují průřezové požadavky a tematické standardy pro environmentální, sociální a governance oblasti.</w:t>
      </w:r>
    </w:p>
    <w:p>
      <w:pPr>
        <w:pStyle w:val="Normal"/>
        <w:widowControl/>
        <w:spacing w:lineRule="auto" w:line="360"/>
        <w:ind w:firstLine="709"/>
        <w:jc w:val="both"/>
        <w:rPr/>
      </w:pPr>
      <w:r>
        <w:rPr/>
        <w:t>ESRS 1 stanoví obecné zásady, včetně dvojí materiality, práce s hodnotovým řetězcem, časových horizontů a kvalitativních vlastností informací. ESRS 2 obsahuje obecná zveřejnění vztahující se ke správě, strategii, řízení dopadů, rizik a příležitostí a metrikám a cílům. Tematické standardy pak konkretizují informace například ke změně klimatu, znečištění, vodě, biodiverzitě, oběhovému hospodářství, vlastní pracovní síle, pracovníkům v hodnotovém řetězci, komunitám, spotřebitelům a obchodnímu jednání.</w:t>
      </w:r>
    </w:p>
    <w:p>
      <w:pPr>
        <w:pStyle w:val="Normal"/>
        <w:widowControl/>
        <w:spacing w:lineRule="auto" w:line="360"/>
        <w:ind w:firstLine="709"/>
        <w:jc w:val="both"/>
        <w:rPr/>
      </w:pPr>
      <w:r>
        <w:rPr/>
        <w:t>Pro analytické účely lze strukturu ESRS zjednodušit do následujícího řetězce:</w:t>
      </w:r>
    </w:p>
    <w:p>
      <w:pPr>
        <w:pStyle w:val="BlockQuote"/>
        <w:rPr/>
      </w:pPr>
      <w:r>
        <w:rPr>
          <w:b/>
        </w:rPr>
        <w:t>governance – strategie – významné dopady, rizika a příležitosti – politiky – opatření a zdroje – cíle – metriky</w:t>
      </w:r>
    </w:p>
    <w:p>
      <w:pPr>
        <w:pStyle w:val="Normal"/>
        <w:widowControl/>
        <w:spacing w:lineRule="auto" w:line="360"/>
        <w:ind w:firstLine="709"/>
        <w:jc w:val="both"/>
        <w:rPr/>
      </w:pPr>
      <w:r>
        <w:rPr/>
        <w:t>Tento řetězec je užitečný, protože umožňuje odlišit několik stupňů. Podnik může identifikovat téma, ale nemít politiku. Může mít politiku, ale neuvést zdroje. Může zveřejnit metriku, ale bez cíle nebo hranice. Může mít cíl, ale neukázat, jak ovlivňuje rozhodování. Povinná architektura tedy poskytuje mapu možných vazeb, nikoli důkaz jejich funkčnosti.</w:t>
      </w:r>
    </w:p>
    <w:p>
      <w:pPr>
        <w:pStyle w:val="Heading3"/>
        <w:keepNext w:val="true"/>
        <w:widowControl/>
        <w:ind w:hanging="0"/>
        <w:rPr/>
      </w:pPr>
      <w:bookmarkStart w:id="26" w:name="__RefHeading___Toc2145_2077070603"/>
      <w:bookmarkEnd w:id="26"/>
      <w:r>
        <w:rPr/>
        <w:t>2.3.1 Dvojí materialita</w:t>
      </w:r>
    </w:p>
    <w:p>
      <w:pPr>
        <w:pStyle w:val="Normal"/>
        <w:widowControl/>
        <w:spacing w:lineRule="auto" w:line="360"/>
        <w:ind w:firstLine="709"/>
        <w:jc w:val="both"/>
        <w:rPr/>
      </w:pPr>
      <w:r>
        <w:rPr/>
        <w:t>Dvojí materialita je východiskem pro určení, které tematické informace má podnik zveřejnit. Dopadová materialita posuzuje skutečné a potenciální pozitivní i negativní dopady podniku na lidi a životní prostředí. Finanční materialita posuzuje rizika a příležitosti, u nichž lze důvodně očekávat vliv na finanční vývoj, výkonnost, postavení, peněžní toky, přístup k financování nebo cenu kapitálu.</w:t>
      </w:r>
    </w:p>
    <w:p>
      <w:pPr>
        <w:pStyle w:val="Normal"/>
        <w:widowControl/>
        <w:spacing w:lineRule="auto" w:line="360"/>
        <w:ind w:firstLine="709"/>
        <w:jc w:val="both"/>
        <w:rPr/>
      </w:pPr>
      <w:r>
        <w:rPr/>
        <w:t>Oba směry jsou propojené, ale nejsou totožné. Negativní dopad může existovat dříve, než se promění ve finanční riziko. Finanční příležitost může být pro podnik významná, i když její pozitivní společenský dopad není prokázán. Empirická analýza proto nespojuje automaticky „materiální téma“ s pozitivním přínosem.</w:t>
      </w:r>
    </w:p>
    <w:p>
      <w:pPr>
        <w:pStyle w:val="Normal"/>
        <w:widowControl/>
        <w:spacing w:lineRule="auto" w:line="360"/>
        <w:ind w:firstLine="709"/>
        <w:jc w:val="both"/>
        <w:rPr/>
      </w:pPr>
      <w:r>
        <w:rPr/>
        <w:t>Vysokou evidenční hodnotu má popis, který uvádí:</w:t>
      </w:r>
    </w:p>
    <w:p>
      <w:pPr>
        <w:pStyle w:val="ListBullet"/>
        <w:widowControl/>
        <w:numPr>
          <w:ilvl w:val="0"/>
          <w:numId w:val="1"/>
        </w:numPr>
        <w:spacing w:lineRule="auto" w:line="360" w:before="0" w:after="0"/>
        <w:ind w:hanging="142" w:start="425"/>
        <w:contextualSpacing/>
        <w:rPr/>
      </w:pPr>
      <w:r>
        <w:rPr/>
        <w:t>zdroje identifikace dopadů, rizik a příležitostí;</w:t>
      </w:r>
    </w:p>
    <w:p>
      <w:pPr>
        <w:pStyle w:val="ListBullet"/>
        <w:widowControl/>
        <w:numPr>
          <w:ilvl w:val="0"/>
          <w:numId w:val="1"/>
        </w:numPr>
        <w:spacing w:lineRule="auto" w:line="360" w:before="0" w:after="0"/>
        <w:ind w:hanging="142" w:start="425"/>
        <w:contextualSpacing/>
        <w:rPr/>
      </w:pPr>
      <w:r>
        <w:rPr/>
        <w:t>zapojení dotčených stakeholderů nebo jejich zástupců;</w:t>
      </w:r>
    </w:p>
    <w:p>
      <w:pPr>
        <w:pStyle w:val="ListBullet"/>
        <w:widowControl/>
        <w:numPr>
          <w:ilvl w:val="0"/>
          <w:numId w:val="1"/>
        </w:numPr>
        <w:spacing w:lineRule="auto" w:line="360" w:before="0" w:after="0"/>
        <w:ind w:hanging="142" w:start="425"/>
        <w:contextualSpacing/>
        <w:rPr/>
      </w:pPr>
      <w:r>
        <w:rPr/>
        <w:t>hranice vlastních operací a hodnotového řetězce;</w:t>
      </w:r>
    </w:p>
    <w:p>
      <w:pPr>
        <w:pStyle w:val="ListBullet"/>
        <w:widowControl/>
        <w:numPr>
          <w:ilvl w:val="0"/>
          <w:numId w:val="1"/>
        </w:numPr>
        <w:spacing w:lineRule="auto" w:line="360" w:before="0" w:after="0"/>
        <w:ind w:hanging="142" w:start="425"/>
        <w:contextualSpacing/>
        <w:rPr/>
      </w:pPr>
      <w:r>
        <w:rPr/>
        <w:t>kritéria závažnosti, pravděpodobnosti a časového horizontu;</w:t>
      </w:r>
    </w:p>
    <w:p>
      <w:pPr>
        <w:pStyle w:val="ListBullet"/>
        <w:widowControl/>
        <w:numPr>
          <w:ilvl w:val="0"/>
          <w:numId w:val="1"/>
        </w:numPr>
        <w:spacing w:lineRule="auto" w:line="360" w:before="0" w:after="0"/>
        <w:ind w:hanging="142" w:start="425"/>
        <w:contextualSpacing/>
        <w:rPr/>
      </w:pPr>
      <w:r>
        <w:rPr/>
        <w:t>validační a schvalovací proces;</w:t>
      </w:r>
    </w:p>
    <w:p>
      <w:pPr>
        <w:pStyle w:val="ListBullet"/>
        <w:widowControl/>
        <w:numPr>
          <w:ilvl w:val="0"/>
          <w:numId w:val="1"/>
        </w:numPr>
        <w:spacing w:lineRule="auto" w:line="360" w:before="0" w:after="0"/>
        <w:ind w:hanging="142" w:start="425"/>
        <w:contextualSpacing/>
        <w:rPr/>
      </w:pPr>
      <w:r>
        <w:rPr/>
        <w:t>převod výsledku do strategie, politik, cílů a zdrojů.</w:t>
      </w:r>
    </w:p>
    <w:p>
      <w:pPr>
        <w:pStyle w:val="Normal"/>
        <w:widowControl/>
        <w:spacing w:lineRule="auto" w:line="360"/>
        <w:ind w:firstLine="709"/>
        <w:jc w:val="both"/>
        <w:rPr/>
      </w:pPr>
      <w:r>
        <w:rPr/>
        <w:t>Samotná materialitní matice bez vysvětlení procesu poskytuje slabší důkaz. Stejně tak detailní proces bez viditelné rozhodovací vazby dokládá formalizaci, nikoli plnou integraci.</w:t>
      </w:r>
    </w:p>
    <w:p>
      <w:pPr>
        <w:pStyle w:val="Heading3"/>
        <w:keepNext w:val="true"/>
        <w:widowControl/>
        <w:ind w:hanging="0"/>
        <w:rPr/>
      </w:pPr>
      <w:bookmarkStart w:id="27" w:name="__RefHeading___Toc2147_2077070603"/>
      <w:bookmarkEnd w:id="27"/>
      <w:r>
        <w:rPr/>
        <w:t>2.3.2 Dopady, rizika a příležitosti</w:t>
      </w:r>
    </w:p>
    <w:p>
      <w:pPr>
        <w:pStyle w:val="Normal"/>
        <w:widowControl/>
        <w:spacing w:lineRule="auto" w:line="360"/>
        <w:ind w:firstLine="709"/>
        <w:jc w:val="both"/>
        <w:rPr/>
      </w:pPr>
      <w:r>
        <w:rPr/>
        <w:t>ESRS rozlišují dopady, rizika a příležitosti, často souhrnně označované IRO. Rozlišení je analyticky důležité. Dopad se vztahuje k působení podniku na lidi nebo životní prostředí. Riziko a příležitost se vztahují k možné finanční nebo strategické konsekvenci pro podnik. Jeden jev může mít více rolí: emise výrobku představují dopad, mohou vytvářet regulační a tržní riziko a současně příležitost pro nízkoemisní produkt.</w:t>
      </w:r>
    </w:p>
    <w:p>
      <w:pPr>
        <w:pStyle w:val="Normal"/>
        <w:widowControl/>
        <w:spacing w:lineRule="auto" w:line="360"/>
        <w:ind w:firstLine="709"/>
        <w:jc w:val="both"/>
        <w:rPr/>
      </w:pPr>
      <w:r>
        <w:rPr/>
        <w:t>Firemní report může legitimně spojovat tyto roviny, ale neměl by je zaměňovat. Investice do nízkoemisního produktu může být finanční příležitostí, aniž samotný objem investice prokazuje čistý životní dopad. Podobně řízení klimatického rizika úvěrového portfolia může chránit banku, ale nemusí automaticky snižovat financované emise.</w:t>
      </w:r>
    </w:p>
    <w:p>
      <w:pPr>
        <w:pStyle w:val="Heading3"/>
        <w:keepNext w:val="true"/>
        <w:widowControl/>
        <w:ind w:hanging="0"/>
        <w:rPr/>
      </w:pPr>
      <w:bookmarkStart w:id="28" w:name="__RefHeading___Toc2149_2077070603"/>
      <w:bookmarkEnd w:id="28"/>
      <w:r>
        <w:rPr/>
        <w:t>2.3.3 Politiky, opatření, zdroje, cíle a metriky</w:t>
      </w:r>
    </w:p>
    <w:p>
      <w:pPr>
        <w:pStyle w:val="Normal"/>
        <w:widowControl/>
        <w:spacing w:lineRule="auto" w:line="360"/>
        <w:ind w:firstLine="709"/>
        <w:jc w:val="both"/>
        <w:rPr/>
      </w:pPr>
      <w:r>
        <w:rPr/>
        <w:t>Standardizovaná posloupnost umožňuje posuzovat úplnost řídicího mechanismu. Politika vyjadřuje záměr a pravidlo; opatření ukazuje, co podnik dělá; zdroje ukazují, zda je záměr podpořen kapacitou; cíl vymezuje požadovaný stav a metriku; vykázaný vývoj umožňuje posoudit pokrok.</w:t>
      </w:r>
    </w:p>
    <w:p>
      <w:pPr>
        <w:pStyle w:val="Normal"/>
        <w:widowControl/>
        <w:spacing w:lineRule="auto" w:line="360"/>
        <w:ind w:firstLine="709"/>
        <w:jc w:val="both"/>
        <w:rPr/>
      </w:pPr>
      <w:r>
        <w:rPr/>
        <w:t>V praxi se často objevují neúplné řetězce. Například počet proškolených zaměstnanců je přesně měřitelný výstup, ale bez outcome metriky neukazuje, zda se změnilo jednání. Cíl snížit intenzitu emisí má základní rok a termín, ale nemusí ukazovat vývoj absolutních emisí. Dodavatelský kodex stanoví pravidlo, ale bez auditu, nápravného mechanismu nebo důsledku pro nákup neprokazuje použití.</w:t>
      </w:r>
    </w:p>
    <w:p>
      <w:pPr>
        <w:pStyle w:val="Normal"/>
        <w:widowControl/>
        <w:spacing w:lineRule="auto" w:line="360"/>
        <w:ind w:firstLine="709"/>
        <w:jc w:val="both"/>
        <w:rPr/>
      </w:pPr>
      <w:r>
        <w:rPr/>
        <w:t>Tato práce proto neposuzuje pouze existenci položky, ale vazby mezi položkami.</w:t>
      </w:r>
    </w:p>
    <w:p>
      <w:pPr>
        <w:pStyle w:val="Heading2"/>
        <w:keepNext w:val="true"/>
        <w:widowControl/>
        <w:ind w:hanging="0"/>
        <w:rPr/>
      </w:pPr>
      <w:bookmarkStart w:id="29" w:name="__RefHeading___Toc2151_2077070603"/>
      <w:bookmarkEnd w:id="29"/>
      <w:r>
        <w:rPr/>
        <w:t>2.4 Zpráva o udržitelnosti a omezené ujištění</w:t>
      </w:r>
    </w:p>
    <w:p>
      <w:pPr>
        <w:pStyle w:val="Normal"/>
        <w:widowControl/>
        <w:spacing w:lineRule="auto" w:line="360"/>
        <w:ind w:firstLine="709"/>
        <w:jc w:val="both"/>
        <w:rPr/>
      </w:pPr>
      <w:r>
        <w:rPr/>
        <w:t>CSRD stanovila ověřování vykazovaných informací. Pro první fázi jde o omezené ujištění. Jeho závěr je formulován negativním způsobem: ověřovatel na základě provedených postupů neidentifikoval skutečnost, která by vedla k závěru, že informace obsahují významnou nesprávnost. Rozsah postupů je menší než u přiměřeného ujištění používaného pro finanční audit.</w:t>
      </w:r>
    </w:p>
    <w:p>
      <w:pPr>
        <w:pStyle w:val="Normal"/>
        <w:widowControl/>
        <w:spacing w:lineRule="auto" w:line="360"/>
        <w:ind w:firstLine="709"/>
        <w:jc w:val="both"/>
        <w:rPr/>
      </w:pPr>
      <w:r>
        <w:rPr/>
        <w:t>Z analytického hlediska je třeba rozlišit nejméně čtyři objekty ujištění:</w:t>
      </w:r>
    </w:p>
    <w:p>
      <w:pPr>
        <w:pStyle w:val="Normal"/>
        <w:widowControl/>
        <w:spacing w:lineRule="auto" w:line="360" w:before="0" w:after="0"/>
        <w:ind w:hanging="255" w:start="425"/>
        <w:jc w:val="both"/>
        <w:rPr/>
      </w:pPr>
      <w:r>
        <w:rPr/>
        <w:t>1. správnost nebo úplnost konkrétní metriky;</w:t>
      </w:r>
    </w:p>
    <w:p>
      <w:pPr>
        <w:pStyle w:val="Normal"/>
        <w:widowControl/>
        <w:spacing w:lineRule="auto" w:line="360" w:before="0" w:after="0"/>
        <w:ind w:hanging="255" w:start="425"/>
        <w:jc w:val="both"/>
        <w:rPr/>
      </w:pPr>
      <w:r>
        <w:rPr/>
        <w:t>2. soulad zveřejnění se standardem;</w:t>
      </w:r>
    </w:p>
    <w:p>
      <w:pPr>
        <w:pStyle w:val="Normal"/>
        <w:widowControl/>
        <w:spacing w:lineRule="auto" w:line="360" w:before="0" w:after="0"/>
        <w:ind w:hanging="255" w:start="425"/>
        <w:jc w:val="both"/>
        <w:rPr/>
      </w:pPr>
      <w:r>
        <w:rPr/>
        <w:t>3. popis materialitního nebo kontrolního procesu;</w:t>
      </w:r>
    </w:p>
    <w:p>
      <w:pPr>
        <w:pStyle w:val="Normal"/>
        <w:widowControl/>
        <w:spacing w:lineRule="auto" w:line="360" w:before="0" w:after="0"/>
        <w:ind w:hanging="255" w:start="425"/>
        <w:jc w:val="both"/>
        <w:rPr/>
      </w:pPr>
      <w:r>
        <w:rPr/>
        <w:t>4. účinnost strategie a skutečný dopad.</w:t>
      </w:r>
    </w:p>
    <w:p>
      <w:pPr>
        <w:pStyle w:val="Normal"/>
        <w:widowControl/>
        <w:spacing w:lineRule="auto" w:line="360"/>
        <w:ind w:firstLine="709"/>
        <w:jc w:val="both"/>
        <w:rPr/>
      </w:pPr>
      <w:r>
        <w:rPr/>
        <w:t>První tři mohou být v různé míře součástí zakázky. Čtvrtý zpravidla není automatickým výsledkem assurance. Pokud nezávislý praktik ověřil výpočet emisí, zvyšuje to důvěryhodnost metodiky a hodnoty. Neprokazuje to, že podnik má dostatečně ambiciózní cíl nebo že emise klesnou. Pokud ověřil popis dvojí materiality, neznamená to, že každý stakeholder souhlasí s výsledným pořadím témat.</w:t>
      </w:r>
    </w:p>
    <w:p>
      <w:pPr>
        <w:pStyle w:val="Normal"/>
        <w:widowControl/>
        <w:spacing w:lineRule="auto" w:line="360"/>
        <w:ind w:firstLine="709"/>
        <w:jc w:val="both"/>
        <w:rPr/>
      </w:pPr>
      <w:r>
        <w:rPr/>
        <w:t>Toto omezení je zabudováno do škály E0–E4. Assurance se vždy váže ke konkrétnímu tvrzení a jeho rozsahu. Existence zprávy o omezeném ujištění nepovyšuje celý report ani firmu na E4.</w:t>
      </w:r>
    </w:p>
    <w:p>
      <w:pPr>
        <w:pStyle w:val="Heading2"/>
        <w:keepNext w:val="true"/>
        <w:widowControl/>
        <w:ind w:hanging="0"/>
        <w:rPr/>
      </w:pPr>
      <w:bookmarkStart w:id="30" w:name="__RefHeading___Toc2153_2077070603"/>
      <w:bookmarkEnd w:id="30"/>
      <w:r>
        <w:rPr/>
        <w:t>2.5 EU Taxonomie</w:t>
      </w:r>
    </w:p>
    <w:p>
      <w:pPr>
        <w:pStyle w:val="Normal"/>
        <w:widowControl/>
        <w:spacing w:lineRule="auto" w:line="360"/>
        <w:ind w:firstLine="709"/>
        <w:jc w:val="both"/>
        <w:rPr/>
      </w:pPr>
      <w:r>
        <w:rPr/>
        <w:t>Nařízení Evropského parlamentu a Rady (EU) 2020/852 vytvořilo klasifikační rámec environmentálně udržitelných ekonomických činností (Evropský parlament a Rada EU, 2020). Činnost je taxonomicky způsobilá, pokud je popsána v příslušném delegovaném aktu. Způsobilost sama neznamená environmentální udržitelnost. Pro taxonomickou sladěnost musí činnost podstatně přispívat alespoň k jednomu environmentálnímu cíli, významně nepoškozovat ostatní cíle, splnit minimální záruky a technická screeningová kritéria.</w:t>
      </w:r>
    </w:p>
    <w:p>
      <w:pPr>
        <w:pStyle w:val="Normal"/>
        <w:widowControl/>
        <w:spacing w:lineRule="auto" w:line="360"/>
        <w:ind w:firstLine="709"/>
        <w:jc w:val="both"/>
        <w:rPr/>
      </w:pPr>
      <w:r>
        <w:rPr/>
        <w:t>Nařízení Komise v přenesené pravomoci (EU) 2021/2178 stanoví obsah, prezentaci a metodiku zveřejnění podle článku 8 Taxonomie (Evropská komise, 2021). Nefinanční podniky vykazují podíly způsobilých a sladěných činností na obratu, kapitálových a provozních výdajích. Finanční podniky používají odlišné ukazatele odpovídající jejich podnikatelskému modelu.</w:t>
      </w:r>
    </w:p>
    <w:p>
      <w:pPr>
        <w:pStyle w:val="Normal"/>
        <w:widowControl/>
        <w:spacing w:lineRule="auto" w:line="360"/>
        <w:ind w:firstLine="709"/>
        <w:jc w:val="both"/>
        <w:rPr/>
      </w:pPr>
      <w:r>
        <w:rPr/>
        <w:t>Pro tuto práci má Taxonomie dvě funkce. První je informační: rozlišuje, zda je činnost vůbec v klasifikačním systému a zda splňuje stanovená kritéria. Druhá je potenciálně rozhodovací: vysoký podíl taxonomicky sladěného CapEx může ukazovat, že investiční plán směřuje do klasifikovaných aktivit.</w:t>
      </w:r>
    </w:p>
    <w:p>
      <w:pPr>
        <w:pStyle w:val="Normal"/>
        <w:widowControl/>
        <w:spacing w:lineRule="auto" w:line="360"/>
        <w:ind w:firstLine="709"/>
        <w:jc w:val="both"/>
        <w:rPr/>
      </w:pPr>
      <w:r>
        <w:rPr/>
        <w:t>Ani v tomto případě však KPI není univerzálním ESG skóre. Vysoká způsobilost může pouze odrážet strukturu odvětví. Vysoký sladěný CapEx se vztahuje k vymezeným environmentálním kritériím, nikoli ke všem sociálním a governance otázkám. Budoucí plánovaný podíl není realizovaným dopadem. Empirická analýza proto kóduje taxonomický údaj jako E3 pouze tehdy, když report výslovně propojuje klasifikaci s investičním nebo jiným rozhodováním.</w:t>
      </w:r>
    </w:p>
    <w:p>
      <w:pPr>
        <w:pStyle w:val="Heading2"/>
        <w:keepNext w:val="true"/>
        <w:widowControl/>
        <w:ind w:hanging="0"/>
        <w:rPr/>
      </w:pPr>
      <w:bookmarkStart w:id="31" w:name="__RefHeading___Toc2155_2077070603"/>
      <w:bookmarkEnd w:id="31"/>
      <w:r>
        <w:rPr/>
        <w:t>2.6 Česká transpozice pro první reportovací období</w:t>
      </w:r>
    </w:p>
    <w:p>
      <w:pPr>
        <w:pStyle w:val="Normal"/>
        <w:widowControl/>
        <w:spacing w:lineRule="auto" w:line="360"/>
        <w:ind w:firstLine="709"/>
        <w:jc w:val="both"/>
        <w:rPr/>
      </w:pPr>
      <w:r>
        <w:rPr/>
        <w:t>Česká republika provedla první část CSRD zejména zákonem č. 349/2023 Sb., který novelizoval zákon č. 563/1991 Sb., o účetnictví, zákon o auditorech a zákon o podnikání na kapitálovém trhu. Pro účetní období začínající 1. ledna 2024 byla povinnost zavedena pro první úzkou skupinu velkých subjektů veřejného zájmu s více než 500 zaměstnanci. Tyto subjekty připravovaly zprávu za rok 2024 a zveřejňovaly ji v roce 2025.</w:t>
      </w:r>
    </w:p>
    <w:p>
      <w:pPr>
        <w:pStyle w:val="Normal"/>
        <w:widowControl/>
        <w:spacing w:lineRule="auto" w:line="360"/>
        <w:ind w:firstLine="709"/>
        <w:jc w:val="both"/>
        <w:rPr/>
      </w:pPr>
      <w:r>
        <w:rPr/>
        <w:t>Zákon o účetnictví vymezil zprávu o udržitelnosti jako samostatný oddíl výroční zprávy a převzal dvojí informační účel: vysvětlit dopady účetní jednotky na udržitelnost a vliv udržitelnosti na její vývoj, výkonnost a postavení. Současně upravil konsolidovanou zprávu o udržitelnosti a související zveřejnění.</w:t>
      </w:r>
    </w:p>
    <w:p>
      <w:pPr>
        <w:pStyle w:val="Normal"/>
        <w:widowControl/>
        <w:spacing w:lineRule="auto" w:line="360"/>
        <w:ind w:firstLine="709"/>
        <w:jc w:val="both"/>
        <w:rPr/>
      </w:pPr>
      <w:r>
        <w:rPr/>
        <w:t>Transpozice byla k tomuto období pouze částečná ve vztahu k původně plánovaným dalším vlnám. Pro potřeby empirického korpusu je však rozhodující, že některé analyzované společnosti připravovaly report za rok 2024 pod přímou povinností, zatímco jiné se na širší režim připravovaly, používaly dobrovolné standardy nebo skupinové požadavky. Proto nelze předpokládat shodnou právní motivaci všech čtyř případů.</w:t>
      </w:r>
    </w:p>
    <w:p>
      <w:pPr>
        <w:pStyle w:val="Normal"/>
        <w:widowControl/>
        <w:spacing w:lineRule="auto" w:line="360"/>
        <w:ind w:firstLine="709"/>
        <w:jc w:val="both"/>
        <w:rPr/>
      </w:pPr>
      <w:r>
        <w:rPr/>
        <w:t>Práce neprovádí vlastní právní test působnosti jednotlivých podniků. Ve výsledcích popisuje, jak organizace svůj reportovací rámec samy vymezují.</w:t>
      </w:r>
    </w:p>
    <w:p>
      <w:pPr>
        <w:pStyle w:val="Heading2"/>
        <w:keepNext w:val="true"/>
        <w:widowControl/>
        <w:ind w:hanging="0"/>
        <w:rPr/>
      </w:pPr>
      <w:bookmarkStart w:id="32" w:name="__RefHeading___Toc2157_2077070603"/>
      <w:bookmarkEnd w:id="32"/>
      <w:r>
        <w:rPr/>
        <w:t>2.7 GRI, skupinové standardy a přechodné reportování</w:t>
      </w:r>
    </w:p>
    <w:p>
      <w:pPr>
        <w:pStyle w:val="Normal"/>
        <w:widowControl/>
        <w:spacing w:lineRule="auto" w:line="360"/>
        <w:ind w:firstLine="709"/>
        <w:jc w:val="both"/>
        <w:rPr/>
      </w:pPr>
      <w:r>
        <w:rPr/>
        <w:t>Před ESRS používala řada podniků standardy Global Reporting Initiative (GRI) nebo vlastní skupinové rámce. GRI je orientováno především na dopady organizace na ekonomiku, životní prostředí a lidi. ESRS a GRI mají některé podobné pojmy a datové oblasti, ale nejsou zaměnitelné.</w:t>
      </w:r>
    </w:p>
    <w:p>
      <w:pPr>
        <w:pStyle w:val="Normal"/>
        <w:widowControl/>
        <w:spacing w:lineRule="auto" w:line="360"/>
        <w:ind w:firstLine="709"/>
        <w:jc w:val="both"/>
        <w:rPr/>
      </w:pPr>
      <w:r>
        <w:rPr/>
        <w:t>V analyzovaném období se mohou objevit tři situace:</w:t>
      </w:r>
    </w:p>
    <w:p>
      <w:pPr>
        <w:pStyle w:val="ListBullet"/>
        <w:widowControl/>
        <w:numPr>
          <w:ilvl w:val="0"/>
          <w:numId w:val="1"/>
        </w:numPr>
        <w:spacing w:lineRule="auto" w:line="360" w:before="0" w:after="0"/>
        <w:ind w:hanging="142" w:start="425"/>
        <w:contextualSpacing/>
        <w:rPr/>
      </w:pPr>
      <w:r>
        <w:rPr/>
        <w:t>plná nebo deklarovaná aplikace ESRS v povinné zprávě;</w:t>
      </w:r>
    </w:p>
    <w:p>
      <w:pPr>
        <w:pStyle w:val="ListBullet"/>
        <w:widowControl/>
        <w:numPr>
          <w:ilvl w:val="0"/>
          <w:numId w:val="1"/>
        </w:numPr>
        <w:spacing w:lineRule="auto" w:line="360" w:before="0" w:after="0"/>
        <w:ind w:hanging="142" w:start="425"/>
        <w:contextualSpacing/>
        <w:rPr/>
      </w:pPr>
      <w:r>
        <w:rPr/>
        <w:t>samostatný čtenářsky orientovaný report, který čerpá z povinného zveřejnění a kombinuje více rámců;</w:t>
      </w:r>
    </w:p>
    <w:p>
      <w:pPr>
        <w:pStyle w:val="ListBullet"/>
        <w:widowControl/>
        <w:numPr>
          <w:ilvl w:val="0"/>
          <w:numId w:val="1"/>
        </w:numPr>
        <w:spacing w:lineRule="auto" w:line="360" w:before="0" w:after="0"/>
        <w:ind w:hanging="142" w:start="425"/>
        <w:contextualSpacing/>
        <w:rPr/>
      </w:pPr>
      <w:r>
        <w:rPr/>
        <w:t>GRI report doplněný o dvojí materialitu a přípravu na CSRD.</w:t>
      </w:r>
    </w:p>
    <w:p>
      <w:pPr>
        <w:pStyle w:val="Normal"/>
        <w:widowControl/>
        <w:spacing w:lineRule="auto" w:line="360"/>
        <w:ind w:firstLine="709"/>
        <w:jc w:val="both"/>
        <w:rPr/>
      </w:pPr>
      <w:r>
        <w:rPr/>
        <w:t>Tento přechod má analytický význam. Podnik může mít vyspělou provozní praxi, ale dosud neúplné ESRS governance disclosure. Naopak první formálně úplná zpráva může být výsledkem intenzivního reportingového projektu, jehož vazba na strategii se teprve vytváří. Hodnocení proto nesmí zaměnit regulatorní zralost dokumentu za celkovou zralost organizace.</w:t>
      </w:r>
    </w:p>
    <w:p>
      <w:pPr>
        <w:pStyle w:val="Heading2"/>
        <w:keepNext w:val="true"/>
        <w:widowControl/>
        <w:ind w:hanging="0"/>
        <w:rPr/>
      </w:pPr>
      <w:bookmarkStart w:id="33" w:name="__RefHeading___Toc2159_2077070603"/>
      <w:bookmarkEnd w:id="33"/>
      <w:r>
        <w:rPr/>
        <w:t>2.8 Pozdější změny a analytické zmrazení</w:t>
      </w:r>
    </w:p>
    <w:p>
      <w:pPr>
        <w:pStyle w:val="Normal"/>
        <w:widowControl/>
        <w:spacing w:lineRule="auto" w:line="360"/>
        <w:ind w:firstLine="709"/>
        <w:jc w:val="both"/>
        <w:rPr/>
      </w:pPr>
      <w:r>
        <w:rPr/>
        <w:t>Po analyzovaném období se evropský rámec změnil. Směrnice (EU) 2025/794 odložila některé původní reportovací vlny. Směrnice (EU) 2026/470 následně zúžila budoucí rozsah povinného reportingu a změnila některé požadavky CSRD a souvisejících předpisů. Změny reagují zejména na požadavek snížit administrativní zátěž a upravit proporcionalitu reportovacího rámce (Evropský parlament a Rada EU, 2025; 2026).</w:t>
      </w:r>
    </w:p>
    <w:p>
      <w:pPr>
        <w:pStyle w:val="Normal"/>
        <w:widowControl/>
        <w:spacing w:lineRule="auto" w:line="360"/>
        <w:ind w:firstLine="709"/>
        <w:jc w:val="both"/>
        <w:rPr/>
      </w:pPr>
      <w:r>
        <w:rPr/>
        <w:t>Tyto změny jsou pro diskusi relevantní ze dvou důvodů. Za prvé ukazují, že regulatorní tlak není stabilní a podniky mohou své systémy vytvářet v podmínkách měnících se očekávání. Za druhé zvyšují význam rozlišení mezi procesy zavedenými pouze pro právní compliance a procesy ukotvenými v investicích, riziku nebo podnikatelském modelu. Organizační mechanismus s provozní nebo finanční funkcí může přetrvat i při zúžení povinnosti zveřejňovat.</w:t>
      </w:r>
    </w:p>
    <w:p>
      <w:pPr>
        <w:pStyle w:val="Normal"/>
        <w:widowControl/>
        <w:spacing w:lineRule="auto" w:line="360"/>
        <w:ind w:firstLine="709"/>
        <w:jc w:val="both"/>
        <w:rPr/>
      </w:pPr>
      <w:r>
        <w:rPr/>
        <w:t>Do empirického hodnocení za rok 2024 však nejsou pozdější změny promítány zpětně. Dokument se posuzuje podle toho, co v daném období zveřejnil a jaké mechanismy doložil. Práce netvrdí, že podnik má k 1. září 2026 stále stejnou právní povinnost ani že bude používat stejný rozsah reportu v dalších letech.</w:t>
      </w:r>
    </w:p>
    <w:p>
      <w:pPr>
        <w:pStyle w:val="Heading2"/>
        <w:keepNext w:val="true"/>
        <w:widowControl/>
        <w:ind w:hanging="0"/>
        <w:rPr/>
      </w:pPr>
      <w:bookmarkStart w:id="34" w:name="__RefHeading___Toc2161_2077070603"/>
      <w:bookmarkEnd w:id="34"/>
      <w:r>
        <w:rPr/>
        <w:t>2.9 Analytické důsledky regulatorního kontextu</w:t>
      </w:r>
    </w:p>
    <w:p>
      <w:pPr>
        <w:pStyle w:val="Normal"/>
        <w:widowControl/>
        <w:spacing w:lineRule="auto" w:line="360"/>
        <w:ind w:firstLine="709"/>
        <w:jc w:val="both"/>
        <w:rPr/>
      </w:pPr>
      <w:r>
        <w:rPr/>
        <w:t>Z předchozích částí vyplývá šest pravidel pro interpretaci korpusu:</w:t>
      </w:r>
    </w:p>
    <w:p>
      <w:pPr>
        <w:pStyle w:val="Normal"/>
        <w:widowControl/>
        <w:spacing w:lineRule="auto" w:line="360" w:before="0" w:after="0"/>
        <w:ind w:hanging="255" w:start="425"/>
        <w:jc w:val="both"/>
        <w:rPr/>
      </w:pPr>
      <w:r>
        <w:rPr/>
        <w:t xml:space="preserve">1. </w:t>
      </w:r>
      <w:r>
        <w:rPr>
          <w:b/>
        </w:rPr>
        <w:t>Strukturální podobnost není výsledková podobnost.</w:t>
      </w:r>
      <w:r>
        <w:rPr/>
        <w:t xml:space="preserve"> ESRS vysvětlují, proč reporty obsahují obdobné oddíly; nevysvětlují, zda jsou procesy stejně účinné.</w:t>
      </w:r>
    </w:p>
    <w:p>
      <w:pPr>
        <w:pStyle w:val="Normal"/>
        <w:widowControl/>
        <w:spacing w:lineRule="auto" w:line="360" w:before="0" w:after="0"/>
        <w:ind w:hanging="255" w:start="425"/>
        <w:jc w:val="both"/>
        <w:rPr/>
      </w:pPr>
      <w:r>
        <w:rPr/>
        <w:t xml:space="preserve">2. </w:t>
      </w:r>
      <w:r>
        <w:rPr>
          <w:b/>
        </w:rPr>
        <w:t>Materialita není pouze seznam.</w:t>
      </w:r>
      <w:r>
        <w:rPr/>
        <w:t xml:space="preserve"> Vyšší evidenční hodnotu má převod identifikovaného tématu do vlastníka, zdroje a rozhodnutí.</w:t>
      </w:r>
    </w:p>
    <w:p>
      <w:pPr>
        <w:pStyle w:val="Normal"/>
        <w:widowControl/>
        <w:spacing w:lineRule="auto" w:line="360" w:before="0" w:after="0"/>
        <w:ind w:hanging="255" w:start="425"/>
        <w:jc w:val="both"/>
        <w:rPr/>
      </w:pPr>
      <w:r>
        <w:rPr/>
        <w:t xml:space="preserve">3. </w:t>
      </w:r>
      <w:r>
        <w:rPr>
          <w:b/>
        </w:rPr>
        <w:t>Metrika není dopad.</w:t>
      </w:r>
      <w:r>
        <w:rPr/>
        <w:t xml:space="preserve"> Aktivita, provozní outcome a širší společenský nebo environmentální dopad musí být odlišeny.</w:t>
      </w:r>
    </w:p>
    <w:p>
      <w:pPr>
        <w:pStyle w:val="Normal"/>
        <w:widowControl/>
        <w:spacing w:lineRule="auto" w:line="360" w:before="0" w:after="0"/>
        <w:ind w:hanging="255" w:start="425"/>
        <w:jc w:val="both"/>
        <w:rPr/>
      </w:pPr>
      <w:r>
        <w:rPr/>
        <w:t xml:space="preserve">4. </w:t>
      </w:r>
      <w:r>
        <w:rPr>
          <w:b/>
        </w:rPr>
        <w:t>Taxonomická sladěnost není celkové ESG hodnocení.</w:t>
      </w:r>
      <w:r>
        <w:rPr/>
        <w:t xml:space="preserve"> Je třeba číst konkrétní KPI, hranici a vazbu na investice.</w:t>
      </w:r>
    </w:p>
    <w:p>
      <w:pPr>
        <w:pStyle w:val="Normal"/>
        <w:widowControl/>
        <w:spacing w:lineRule="auto" w:line="360" w:before="0" w:after="0"/>
        <w:ind w:hanging="255" w:start="425"/>
        <w:jc w:val="both"/>
        <w:rPr/>
      </w:pPr>
      <w:r>
        <w:rPr/>
        <w:t xml:space="preserve">5. </w:t>
      </w:r>
      <w:r>
        <w:rPr>
          <w:b/>
        </w:rPr>
        <w:t>Assurance má omezený rozsah.</w:t>
      </w:r>
      <w:r>
        <w:rPr/>
        <w:t xml:space="preserve"> Úroveň E4 lze přiřadit pouze konkrétně vymezenému a skutečně ověřenému tvrzení.</w:t>
      </w:r>
    </w:p>
    <w:p>
      <w:pPr>
        <w:pStyle w:val="Normal"/>
        <w:widowControl/>
        <w:spacing w:lineRule="auto" w:line="360" w:before="0" w:after="0"/>
        <w:ind w:hanging="255" w:start="425"/>
        <w:jc w:val="both"/>
        <w:rPr/>
      </w:pPr>
      <w:r>
        <w:rPr/>
        <w:t xml:space="preserve">6. </w:t>
      </w:r>
      <w:r>
        <w:rPr>
          <w:b/>
        </w:rPr>
        <w:t>Pozdější právní změna nemění historický dokument.</w:t>
      </w:r>
      <w:r>
        <w:rPr/>
        <w:t xml:space="preserve"> Rok 2024 je uzavřeným časovým řezem a současný právní status je pouze kontextem.</w:t>
      </w:r>
    </w:p>
    <w:p>
      <w:pPr>
        <w:pStyle w:val="Normal"/>
        <w:widowControl/>
        <w:spacing w:lineRule="auto" w:line="360"/>
        <w:ind w:firstLine="709"/>
        <w:jc w:val="both"/>
        <w:rPr/>
      </w:pPr>
      <w:r>
        <w:rPr/>
        <w:t>Tato pravidla převádějí právní rámec do metodologické disciplíny. Regulatorní kapitola proto není samostatným přehledem legislativy, ale zdrojem kritérií, podle nichž lze odlišit přítomnost povinné položky od zveřejněného dokladu manažerské integrace.</w:t>
      </w:r>
    </w:p>
    <w:p>
      <w:pPr>
        <w:pStyle w:val="Normal"/>
        <w:rPr/>
      </w:pPr>
      <w:r>
        <w:rPr/>
      </w:r>
      <w:r>
        <w:br w:type="page"/>
      </w:r>
    </w:p>
    <w:p>
      <w:pPr>
        <w:pStyle w:val="Heading1"/>
        <w:keepNext w:val="true"/>
        <w:widowControl/>
        <w:spacing w:before="0" w:after="180"/>
        <w:ind w:hanging="0"/>
        <w:rPr/>
      </w:pPr>
      <w:bookmarkStart w:id="35" w:name="__RefHeading___Toc2163_2077070603"/>
      <w:bookmarkEnd w:id="35"/>
      <w:r>
        <w:rPr/>
        <w:t>3 Metodologie</w:t>
      </w:r>
    </w:p>
    <w:p>
      <w:pPr>
        <w:pStyle w:val="Heading2"/>
        <w:keepNext w:val="true"/>
        <w:widowControl/>
        <w:ind w:hanging="0"/>
        <w:rPr/>
      </w:pPr>
      <w:bookmarkStart w:id="36" w:name="__RefHeading___Toc2165_2077070603"/>
      <w:bookmarkEnd w:id="36"/>
      <w:r>
        <w:rPr/>
        <w:t>3.1 Výzkumný přístup</w:t>
      </w:r>
    </w:p>
    <w:p>
      <w:pPr>
        <w:pStyle w:val="Normal"/>
        <w:widowControl/>
        <w:spacing w:lineRule="auto" w:line="360"/>
        <w:ind w:firstLine="709"/>
        <w:jc w:val="both"/>
        <w:rPr/>
      </w:pPr>
      <w:r>
        <w:rPr/>
        <w:t>Práce používá kvalitativní, průřezový a komparativní design založený na analýze veřejných firemních dokumentů. Metodou je dokumentová analýza kombinovaná s řízenou kvalitativní obsahovou analýzou. Dokumentová analýza umožňuje systematicky vyhledávat, hodnotit, segmentovat a interpretovat dokumenty s ohledem na jejich původ, účel a institucionální kontext (Bowen, 2009). Řízená obsahová analýza vychází z předem formulovaných teoretických kategorií, ale ponechává prostor pro doplnění nových kategorií vzniklých z dat (Hsieh &amp; Shannon, 2005).</w:t>
      </w:r>
    </w:p>
    <w:p>
      <w:pPr>
        <w:pStyle w:val="Normal"/>
        <w:widowControl/>
        <w:spacing w:lineRule="auto" w:line="360"/>
        <w:ind w:firstLine="709"/>
        <w:jc w:val="both"/>
        <w:rPr/>
      </w:pPr>
      <w:r>
        <w:rPr/>
        <w:t>Zvolený design odpovídá výzkumné otázce, která nesměřuje k měření celkové ESG výkonnosti podniků ani k testování kauzálního vztahu mezi ESG a finančními výsledky. Zkoumá, jaké doklady o implementaci podniky zveřejňují, jak jsou tyto doklady propojeny a jaké hranice má jejich interpretace.</w:t>
      </w:r>
    </w:p>
    <w:p>
      <w:pPr>
        <w:pStyle w:val="Normal"/>
        <w:widowControl/>
        <w:spacing w:lineRule="auto" w:line="360"/>
        <w:ind w:firstLine="709"/>
        <w:jc w:val="both"/>
        <w:rPr/>
      </w:pPr>
      <w:r>
        <w:rPr/>
        <w:t>Firemní report je v práci chápán jako dvojí artefakt. Je zdrojem informací o oficiálně deklarovaných cílech, procesech, odpovědnostech a metrikách. Zároveň je výsledkem organizačního výběru a sebeprezentace. Analýza proto důsledně rozlišuje:</w:t>
      </w:r>
    </w:p>
    <w:p>
      <w:pPr>
        <w:pStyle w:val="ListBullet"/>
        <w:widowControl/>
        <w:numPr>
          <w:ilvl w:val="0"/>
          <w:numId w:val="1"/>
        </w:numPr>
        <w:spacing w:lineRule="auto" w:line="360" w:before="0" w:after="0"/>
        <w:ind w:hanging="142" w:start="425"/>
        <w:contextualSpacing/>
        <w:rPr/>
      </w:pPr>
      <w:r>
        <w:rPr/>
        <w:t>co organizace přímo tvrdí;</w:t>
      </w:r>
    </w:p>
    <w:p>
      <w:pPr>
        <w:pStyle w:val="ListBullet"/>
        <w:widowControl/>
        <w:numPr>
          <w:ilvl w:val="0"/>
          <w:numId w:val="1"/>
        </w:numPr>
        <w:spacing w:lineRule="auto" w:line="360" w:before="0" w:after="0"/>
        <w:ind w:hanging="142" w:start="425"/>
        <w:contextualSpacing/>
        <w:rPr/>
      </w:pPr>
      <w:r>
        <w:rPr/>
        <w:t>jaký proces nebo metriku zveřejňuje;</w:t>
      </w:r>
    </w:p>
    <w:p>
      <w:pPr>
        <w:pStyle w:val="ListBullet"/>
        <w:widowControl/>
        <w:numPr>
          <w:ilvl w:val="0"/>
          <w:numId w:val="1"/>
        </w:numPr>
        <w:spacing w:lineRule="auto" w:line="360" w:before="0" w:after="0"/>
        <w:ind w:hanging="142" w:start="425"/>
        <w:contextualSpacing/>
        <w:rPr/>
      </w:pPr>
      <w:r>
        <w:rPr/>
        <w:t>co lze z dokumentu analyticky odvodit;</w:t>
      </w:r>
    </w:p>
    <w:p>
      <w:pPr>
        <w:pStyle w:val="ListBullet"/>
        <w:widowControl/>
        <w:numPr>
          <w:ilvl w:val="0"/>
          <w:numId w:val="1"/>
        </w:numPr>
        <w:spacing w:lineRule="auto" w:line="360" w:before="0" w:after="0"/>
        <w:ind w:hanging="142" w:start="425"/>
        <w:contextualSpacing/>
        <w:rPr/>
      </w:pPr>
      <w:r>
        <w:rPr/>
        <w:t>co dokument neumožňuje ověřit.</w:t>
      </w:r>
    </w:p>
    <w:p>
      <w:pPr>
        <w:pStyle w:val="Normal"/>
        <w:widowControl/>
        <w:spacing w:lineRule="auto" w:line="360"/>
        <w:ind w:firstLine="709"/>
        <w:jc w:val="both"/>
        <w:rPr/>
      </w:pPr>
      <w:r>
        <w:rPr/>
        <w:t>Toto rozlišení brání tomu, aby firemní tvrzení byla prezentována jako nezávisle potvrzený fakt nebo aby naopak byla všechna firemní sdělení automaticky odmítnuta jako marketing.</w:t>
      </w:r>
    </w:p>
    <w:p>
      <w:pPr>
        <w:pStyle w:val="Heading2"/>
        <w:keepNext w:val="true"/>
        <w:widowControl/>
        <w:ind w:hanging="0"/>
        <w:rPr/>
      </w:pPr>
      <w:bookmarkStart w:id="37" w:name="__RefHeading___Toc2167_2077070603"/>
      <w:bookmarkEnd w:id="37"/>
      <w:r>
        <w:rPr/>
        <w:t>3.2 Výzkumné otázky</w:t>
      </w:r>
    </w:p>
    <w:p>
      <w:pPr>
        <w:pStyle w:val="Normal"/>
        <w:widowControl/>
        <w:spacing w:lineRule="auto" w:line="360"/>
        <w:ind w:firstLine="709"/>
        <w:jc w:val="both"/>
        <w:rPr/>
      </w:pPr>
      <w:r>
        <w:rPr/>
        <w:t>Hlavní výzkumná otázka zní:</w:t>
      </w:r>
    </w:p>
    <w:p>
      <w:pPr>
        <w:pStyle w:val="BlockQuote"/>
        <w:rPr/>
      </w:pPr>
      <w:r>
        <w:rPr>
          <w:b/>
        </w:rPr>
        <w:t>Jak vybrané velké podniky působící v České republice ve veřejných zprávách za rok 2024 konstruují a dokládají implementaci ESG a které znaky odlišují deklaraci, formalizaci a manažerskou integraci?</w:t>
      </w:r>
    </w:p>
    <w:p>
      <w:pPr>
        <w:pStyle w:val="Normal"/>
        <w:widowControl/>
        <w:spacing w:lineRule="auto" w:line="360"/>
        <w:ind w:firstLine="709"/>
        <w:jc w:val="both"/>
        <w:rPr/>
      </w:pPr>
      <w:r>
        <w:rPr/>
        <w:t>Dílčí výzkumné otázky jsou následující:</w:t>
      </w:r>
    </w:p>
    <w:p>
      <w:pPr>
        <w:pStyle w:val="Normal"/>
        <w:widowControl/>
        <w:spacing w:lineRule="auto" w:line="360" w:before="0" w:after="0"/>
        <w:ind w:hanging="255" w:start="425"/>
        <w:jc w:val="both"/>
        <w:rPr/>
      </w:pPr>
      <w:r>
        <w:rPr/>
        <w:t>1. Jak podniky vymezují materiální ESG témata a jak vysvětlují jejich vazbu na strategii a podnikatelský model?</w:t>
      </w:r>
    </w:p>
    <w:p>
      <w:pPr>
        <w:pStyle w:val="Normal"/>
        <w:widowControl/>
        <w:spacing w:lineRule="auto" w:line="360" w:before="0" w:after="0"/>
        <w:ind w:hanging="255" w:start="425"/>
        <w:jc w:val="both"/>
        <w:rPr/>
      </w:pPr>
      <w:r>
        <w:rPr/>
        <w:t>2. Jaké struktury odpovědnosti, dohledu a interní koordinace v reportech uvádějí?</w:t>
      </w:r>
    </w:p>
    <w:p>
      <w:pPr>
        <w:pStyle w:val="Normal"/>
        <w:widowControl/>
        <w:spacing w:lineRule="auto" w:line="360" w:before="0" w:after="0"/>
        <w:ind w:hanging="255" w:start="425"/>
        <w:jc w:val="both"/>
        <w:rPr/>
      </w:pPr>
      <w:r>
        <w:rPr/>
        <w:t>3. Kde je doložena vazba ESG na investice, řízení rizik, odměňování, produkty, nákup nebo provozní rozhodování?</w:t>
      </w:r>
    </w:p>
    <w:p>
      <w:pPr>
        <w:pStyle w:val="Normal"/>
        <w:widowControl/>
        <w:spacing w:lineRule="auto" w:line="360" w:before="0" w:after="0"/>
        <w:ind w:hanging="255" w:start="425"/>
        <w:jc w:val="both"/>
        <w:rPr/>
      </w:pPr>
      <w:r>
        <w:rPr/>
        <w:t>4. Jakou evidenční sílu mají zveřejněné cíle a ukazatele: rozlišují vstupy, aktivity, výstupy, výsledky a dopady?</w:t>
      </w:r>
    </w:p>
    <w:p>
      <w:pPr>
        <w:pStyle w:val="Normal"/>
        <w:widowControl/>
        <w:spacing w:lineRule="auto" w:line="360" w:before="0" w:after="0"/>
        <w:ind w:hanging="255" w:start="425"/>
        <w:jc w:val="both"/>
        <w:rPr/>
      </w:pPr>
      <w:r>
        <w:rPr/>
        <w:t>5. Jak podniky komunikují nesplněné cíle, trade-offy, nejistoty a negativní dopady?</w:t>
      </w:r>
    </w:p>
    <w:p>
      <w:pPr>
        <w:pStyle w:val="Normal"/>
        <w:widowControl/>
        <w:spacing w:lineRule="auto" w:line="360" w:before="0" w:after="0"/>
        <w:ind w:hanging="255" w:start="425"/>
        <w:jc w:val="both"/>
        <w:rPr/>
      </w:pPr>
      <w:r>
        <w:rPr/>
        <w:t>6. Jak se způsoby dokládání implementace liší mezi energetikou, bankovnictvím, telekomunikacemi a automobilovým průmyslem?</w:t>
      </w:r>
    </w:p>
    <w:p>
      <w:pPr>
        <w:pStyle w:val="Heading2"/>
        <w:keepNext w:val="true"/>
        <w:widowControl/>
        <w:ind w:hanging="0"/>
        <w:rPr/>
      </w:pPr>
      <w:bookmarkStart w:id="38" w:name="__RefHeading___Toc2169_2077070603"/>
      <w:bookmarkEnd w:id="38"/>
      <w:r>
        <w:rPr/>
        <w:t>3.3 Výběr případů</w:t>
      </w:r>
    </w:p>
    <w:p>
      <w:pPr>
        <w:pStyle w:val="Normal"/>
        <w:widowControl/>
        <w:spacing w:lineRule="auto" w:line="360"/>
        <w:ind w:firstLine="709"/>
        <w:jc w:val="both"/>
        <w:rPr/>
      </w:pPr>
      <w:r>
        <w:rPr/>
        <w:t>Použit byl účelový výběr kontrastních případů. Cílem nebyla statistická reprezentativita, ale analytická variace v mechanismech, jimiž mohou environmentální, sociální a governance informace vstupovat do řízení.</w:t>
      </w:r>
    </w:p>
    <w:p>
      <w:pPr>
        <w:pStyle w:val="Normal"/>
        <w:widowControl/>
        <w:spacing w:lineRule="auto" w:line="360"/>
        <w:ind w:firstLine="709"/>
        <w:jc w:val="both"/>
        <w:rPr/>
      </w:pPr>
      <w:r>
        <w:rPr/>
        <w:t>Případ musel splnit pět podmínek:</w:t>
      </w:r>
    </w:p>
    <w:p>
      <w:pPr>
        <w:pStyle w:val="Normal"/>
        <w:widowControl/>
        <w:spacing w:lineRule="auto" w:line="360" w:before="0" w:after="0"/>
        <w:ind w:hanging="255" w:start="425"/>
        <w:jc w:val="both"/>
        <w:rPr/>
      </w:pPr>
      <w:r>
        <w:rPr/>
        <w:t>1. mít významnou podnikatelskou činnost a rozhodovací nebo výrobní základnu v České republice;</w:t>
      </w:r>
    </w:p>
    <w:p>
      <w:pPr>
        <w:pStyle w:val="Normal"/>
        <w:widowControl/>
        <w:spacing w:lineRule="auto" w:line="360" w:before="0" w:after="0"/>
        <w:ind w:hanging="255" w:start="425"/>
        <w:jc w:val="both"/>
        <w:rPr/>
      </w:pPr>
      <w:r>
        <w:rPr/>
        <w:t>2. zveřejnit oficiální report pokrývající rok 2024;</w:t>
      </w:r>
    </w:p>
    <w:p>
      <w:pPr>
        <w:pStyle w:val="Normal"/>
        <w:widowControl/>
        <w:spacing w:lineRule="auto" w:line="360" w:before="0" w:after="0"/>
        <w:ind w:hanging="255" w:start="425"/>
        <w:jc w:val="both"/>
        <w:rPr/>
      </w:pPr>
      <w:r>
        <w:rPr/>
        <w:t>3. poskytnout dostatečně rozsáhlé informace o strategii, správě, cílech a metrikách;</w:t>
      </w:r>
    </w:p>
    <w:p>
      <w:pPr>
        <w:pStyle w:val="Normal"/>
        <w:widowControl/>
        <w:spacing w:lineRule="auto" w:line="360" w:before="0" w:after="0"/>
        <w:ind w:hanging="255" w:start="425"/>
        <w:jc w:val="both"/>
        <w:rPr/>
      </w:pPr>
      <w:r>
        <w:rPr/>
        <w:t>4. reprezentovat odlišný sektor a typ materiálních dopadů;</w:t>
      </w:r>
    </w:p>
    <w:p>
      <w:pPr>
        <w:pStyle w:val="Normal"/>
        <w:widowControl/>
        <w:spacing w:lineRule="auto" w:line="360" w:before="0" w:after="0"/>
        <w:ind w:hanging="255" w:start="425"/>
        <w:jc w:val="both"/>
        <w:rPr/>
      </w:pPr>
      <w:r>
        <w:rPr/>
        <w:t>5. umožnit přesnou identifikaci zdrojového místa.</w:t>
      </w:r>
    </w:p>
    <w:p>
      <w:pPr>
        <w:pStyle w:val="Normal"/>
        <w:widowControl/>
        <w:spacing w:lineRule="auto" w:line="360"/>
        <w:ind w:firstLine="709"/>
        <w:jc w:val="both"/>
        <w:rPr/>
      </w:pPr>
      <w:r>
        <w:rPr/>
        <w:t>Do korpusu byly zařazeny čtyři případy.</w:t>
      </w:r>
    </w:p>
    <w:p>
      <w:pPr>
        <w:pStyle w:val="CaptionThesis"/>
        <w:widowControl/>
        <w:rPr/>
      </w:pPr>
      <w:r>
        <w:rPr>
          <w:b/>
        </w:rPr>
        <w:t>Tabulka 1: Charakteristika analyzovaných případů</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Případ</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Sektor</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Hlavní implementační oblast</w:t>
            </w:r>
          </w:p>
        </w:tc>
        <w:tc>
          <w:tcPr>
            <w:tcW w:w="226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Institucionální charakteristika</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ČEZ Group</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energetika</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přechodový plán, výrobní portfolio, CapEx, útlum uhlí</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kapitálová náročnost, energetická regulace, významný podíl státu</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MONETA Money Bank</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bankovnictví</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financované emise, riziko, pobídky, produktové portfolio</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burzovně obchodovaná banka a finanční dohled</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O2 Czech Republic</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telekomunikace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digitální infrastruktura, energie, kyberbezpečnost, zákazníci a dodavatelé</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soukromá skupina a přechod mezi reportovacími rámci</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Škoda Auto</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automobilový průmysl</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produkt, výroba, CapEx, materiály a dodavatelský řetězec</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nadnárodní průmyslová skupina a skupinové standardy</w:t>
            </w:r>
          </w:p>
        </w:tc>
      </w:tr>
    </w:tbl>
    <w:p>
      <w:pPr>
        <w:pStyle w:val="Normal"/>
        <w:spacing w:before="0" w:after="40"/>
        <w:rPr/>
      </w:pPr>
      <w:r>
        <w:rPr/>
      </w:r>
    </w:p>
    <w:p>
      <w:pPr>
        <w:pStyle w:val="Normal"/>
        <w:widowControl/>
        <w:spacing w:lineRule="auto" w:line="360"/>
        <w:ind w:firstLine="709"/>
        <w:jc w:val="both"/>
        <w:rPr/>
      </w:pPr>
      <w:r>
        <w:rPr/>
        <w:t>Výběr obsahuje pouze velké organizace s vysokou reportovací kapacitou. Neumožňuje proto zobecnění na malé a střední podniky. Zároveň nejde o srovnání celkové ekologické stopy. Přímé emise energetické skupiny, financované emise banky a životní cyklus automobilu nejsou převoditelné na jednu společnou výkonnostní škálu.</w:t>
      </w:r>
    </w:p>
    <w:p>
      <w:pPr>
        <w:pStyle w:val="Heading2"/>
        <w:keepNext w:val="true"/>
        <w:widowControl/>
        <w:ind w:hanging="0"/>
        <w:rPr/>
      </w:pPr>
      <w:bookmarkStart w:id="39" w:name="__RefHeading___Toc2171_2077070603"/>
      <w:bookmarkEnd w:id="39"/>
      <w:r>
        <w:rPr/>
        <w:t>3.4 Dokumentový korpus</w:t>
      </w:r>
    </w:p>
    <w:p>
      <w:pPr>
        <w:pStyle w:val="Normal"/>
        <w:widowControl/>
        <w:spacing w:lineRule="auto" w:line="360"/>
        <w:ind w:firstLine="709"/>
        <w:jc w:val="both"/>
        <w:rPr/>
      </w:pPr>
      <w:r>
        <w:rPr/>
        <w:t>Primární korpus tvořily oficiální výroční, udržitelnostní nebo ESG zprávy za období od 1. ledna do 31. prosince 2024. Zařazený dokument musel:</w:t>
      </w:r>
    </w:p>
    <w:p>
      <w:pPr>
        <w:pStyle w:val="ListBullet"/>
        <w:widowControl/>
        <w:numPr>
          <w:ilvl w:val="0"/>
          <w:numId w:val="1"/>
        </w:numPr>
        <w:spacing w:lineRule="auto" w:line="360" w:before="0" w:after="0"/>
        <w:ind w:hanging="142" w:start="425"/>
        <w:contextualSpacing/>
        <w:rPr/>
      </w:pPr>
      <w:r>
        <w:rPr/>
        <w:t>pocházet z oficiální domény analyzované organizace;</w:t>
      </w:r>
    </w:p>
    <w:p>
      <w:pPr>
        <w:pStyle w:val="ListBullet"/>
        <w:widowControl/>
        <w:numPr>
          <w:ilvl w:val="0"/>
          <w:numId w:val="1"/>
        </w:numPr>
        <w:spacing w:lineRule="auto" w:line="360" w:before="0" w:after="0"/>
        <w:ind w:hanging="142" w:start="425"/>
        <w:contextualSpacing/>
        <w:rPr/>
      </w:pPr>
      <w:r>
        <w:rPr/>
        <w:t>pokrývat rok 2024;</w:t>
      </w:r>
    </w:p>
    <w:p>
      <w:pPr>
        <w:pStyle w:val="ListBullet"/>
        <w:widowControl/>
        <w:numPr>
          <w:ilvl w:val="0"/>
          <w:numId w:val="1"/>
        </w:numPr>
        <w:spacing w:lineRule="auto" w:line="360" w:before="0" w:after="0"/>
        <w:ind w:hanging="142" w:start="425"/>
        <w:contextualSpacing/>
        <w:rPr/>
      </w:pPr>
      <w:r>
        <w:rPr/>
        <w:t>obsahovat informace o strategii, správě, materialitě, politikách, opatřeních, cílech nebo metrikách;</w:t>
      </w:r>
    </w:p>
    <w:p>
      <w:pPr>
        <w:pStyle w:val="ListBullet"/>
        <w:widowControl/>
        <w:numPr>
          <w:ilvl w:val="0"/>
          <w:numId w:val="1"/>
        </w:numPr>
        <w:spacing w:lineRule="auto" w:line="360" w:before="0" w:after="0"/>
        <w:ind w:hanging="142" w:start="425"/>
        <w:contextualSpacing/>
        <w:rPr/>
      </w:pPr>
      <w:r>
        <w:rPr/>
        <w:t>být dostupný v úplné podobě v PDF nebo ve stabilním oficiálním online reportu;</w:t>
      </w:r>
    </w:p>
    <w:p>
      <w:pPr>
        <w:pStyle w:val="ListBullet"/>
        <w:widowControl/>
        <w:numPr>
          <w:ilvl w:val="0"/>
          <w:numId w:val="1"/>
        </w:numPr>
        <w:spacing w:lineRule="auto" w:line="360" w:before="0" w:after="0"/>
        <w:ind w:hanging="142" w:start="425"/>
        <w:contextualSpacing/>
        <w:rPr/>
      </w:pPr>
      <w:r>
        <w:rPr/>
        <w:t>umožnit určit stránku, oddíl nebo stabilní webovou sekci.</w:t>
      </w:r>
    </w:p>
    <w:p>
      <w:pPr>
        <w:pStyle w:val="Normal"/>
        <w:widowControl/>
        <w:spacing w:lineRule="auto" w:line="360"/>
        <w:ind w:firstLine="709"/>
        <w:jc w:val="both"/>
        <w:rPr/>
      </w:pPr>
      <w:r>
        <w:rPr/>
        <w:t>Korpus zahrnoval:</w:t>
      </w:r>
    </w:p>
    <w:p>
      <w:pPr>
        <w:pStyle w:val="ListBullet"/>
        <w:widowControl/>
        <w:numPr>
          <w:ilvl w:val="0"/>
          <w:numId w:val="1"/>
        </w:numPr>
        <w:spacing w:lineRule="auto" w:line="360" w:before="0" w:after="0"/>
        <w:ind w:hanging="142" w:start="425"/>
        <w:contextualSpacing/>
        <w:rPr/>
      </w:pPr>
      <w:r>
        <w:rPr>
          <w:i/>
        </w:rPr>
        <w:t>CEZ Group Annual Financial Report 2024</w:t>
      </w:r>
      <w:r>
        <w:rPr/>
        <w:t>, v němž je začleněna konsolidovaná zpráva o udržitelnosti;</w:t>
      </w:r>
    </w:p>
    <w:p>
      <w:pPr>
        <w:pStyle w:val="ListBullet"/>
        <w:widowControl/>
        <w:numPr>
          <w:ilvl w:val="0"/>
          <w:numId w:val="1"/>
        </w:numPr>
        <w:spacing w:lineRule="auto" w:line="360" w:before="0" w:after="0"/>
        <w:ind w:hanging="142" w:start="425"/>
        <w:contextualSpacing/>
        <w:rPr/>
      </w:pPr>
      <w:r>
        <w:rPr>
          <w:i/>
        </w:rPr>
        <w:t>Sustainability at MONETA 2024</w:t>
      </w:r>
      <w:r>
        <w:rPr/>
        <w:t>, používaný společně s odkazy na povinné zveřejnění ve výroční zprávě;</w:t>
      </w:r>
    </w:p>
    <w:p>
      <w:pPr>
        <w:pStyle w:val="ListBullet"/>
        <w:widowControl/>
        <w:numPr>
          <w:ilvl w:val="0"/>
          <w:numId w:val="1"/>
        </w:numPr>
        <w:spacing w:lineRule="auto" w:line="360" w:before="0" w:after="0"/>
        <w:ind w:hanging="142" w:start="425"/>
        <w:contextualSpacing/>
        <w:rPr/>
      </w:pPr>
      <w:r>
        <w:rPr>
          <w:i/>
        </w:rPr>
        <w:t>O2 ESG Report 2024</w:t>
      </w:r>
      <w:r>
        <w:rPr/>
        <w:t>;</w:t>
      </w:r>
    </w:p>
    <w:p>
      <w:pPr>
        <w:pStyle w:val="ListBullet"/>
        <w:widowControl/>
        <w:numPr>
          <w:ilvl w:val="0"/>
          <w:numId w:val="1"/>
        </w:numPr>
        <w:spacing w:lineRule="auto" w:line="360" w:before="0" w:after="0"/>
        <w:ind w:hanging="142" w:start="425"/>
        <w:contextualSpacing/>
        <w:rPr/>
      </w:pPr>
      <w:r>
        <w:rPr/>
        <w:t xml:space="preserve">oficiální online </w:t>
      </w:r>
      <w:r>
        <w:rPr>
          <w:i/>
        </w:rPr>
        <w:t>Škoda Annual Report 2024</w:t>
      </w:r>
      <w:r>
        <w:rPr/>
        <w:t xml:space="preserve"> a související úplný sustainability report.</w:t>
      </w:r>
    </w:p>
    <w:p>
      <w:pPr>
        <w:pStyle w:val="Normal"/>
        <w:widowControl/>
        <w:spacing w:lineRule="auto" w:line="360"/>
        <w:ind w:firstLine="709"/>
        <w:jc w:val="both"/>
        <w:rPr/>
      </w:pPr>
      <w:r>
        <w:rPr/>
        <w:t>Mediální články, komerční žebříčky, poradenské interpretace a tiskové zprávy nebyly použity jako primární empirická data. Akademické zdroje sloužily pro teorii a metodiku; právní akty pro vysvětlení reportovacího kontextu.</w:t>
      </w:r>
    </w:p>
    <w:p>
      <w:pPr>
        <w:pStyle w:val="Normal"/>
        <w:widowControl/>
        <w:spacing w:lineRule="auto" w:line="360"/>
        <w:ind w:firstLine="709"/>
        <w:jc w:val="both"/>
        <w:rPr/>
      </w:pPr>
      <w:r>
        <w:rPr/>
        <w:t>Registr korpusu byl uzavřen před hlavní syntézou. Každý dokument obdržel stabilní identifikátor, záznam o vydavateli, období, verzi, URL, datu přístupu a roli v analýze. Online report Škoda Auto byl použit jako hlavní citační rozhraní, protože umožňuje stabilní odkaz na tematickou sekci; plný PDF report sloužil k doplnění metodického kontextu.</w:t>
      </w:r>
    </w:p>
    <w:p>
      <w:pPr>
        <w:pStyle w:val="Heading2"/>
        <w:keepNext w:val="true"/>
        <w:widowControl/>
        <w:ind w:hanging="0"/>
        <w:rPr/>
      </w:pPr>
      <w:bookmarkStart w:id="40" w:name="__RefHeading___Toc2173_2077070603"/>
      <w:bookmarkEnd w:id="40"/>
      <w:r>
        <w:rPr/>
        <w:t>3.5 Strategie čtení a extrakce</w:t>
      </w:r>
    </w:p>
    <w:p>
      <w:pPr>
        <w:pStyle w:val="Normal"/>
        <w:widowControl/>
        <w:spacing w:lineRule="auto" w:line="360"/>
        <w:ind w:firstLine="709"/>
        <w:jc w:val="both"/>
        <w:rPr/>
      </w:pPr>
      <w:r>
        <w:rPr/>
        <w:t>Analýza nebyla založena na prostém vyhledávání klíčových slov. Každý primární dokument byl nejprve přečten na úrovni struktury a následně byly celé relevantní oddíly čteny v kontextu. Klíčová slova, rejstříky ESRS/GRI a obsah sloužily jako navigace, nikoli jako automatické kritérium zařazení.</w:t>
      </w:r>
    </w:p>
    <w:p>
      <w:pPr>
        <w:pStyle w:val="Normal"/>
        <w:widowControl/>
        <w:spacing w:lineRule="auto" w:line="360"/>
        <w:ind w:firstLine="709"/>
        <w:jc w:val="both"/>
        <w:rPr/>
      </w:pPr>
      <w:r>
        <w:rPr/>
        <w:t>Postup měl tři průchody:</w:t>
      </w:r>
    </w:p>
    <w:p>
      <w:pPr>
        <w:pStyle w:val="Normal"/>
        <w:widowControl/>
        <w:spacing w:lineRule="auto" w:line="360" w:before="0" w:after="0"/>
        <w:ind w:hanging="255" w:start="425"/>
        <w:jc w:val="both"/>
        <w:rPr/>
      </w:pPr>
      <w:r>
        <w:rPr/>
        <w:t xml:space="preserve">1. </w:t>
      </w:r>
      <w:r>
        <w:rPr>
          <w:b/>
        </w:rPr>
        <w:t>orientační průchod:</w:t>
      </w:r>
      <w:r>
        <w:rPr/>
        <w:t xml:space="preserve"> typ dokumentu, hranice reportu, standard, assurance, struktura a hlavní materialitní témata;</w:t>
      </w:r>
    </w:p>
    <w:p>
      <w:pPr>
        <w:pStyle w:val="Normal"/>
        <w:widowControl/>
        <w:spacing w:lineRule="auto" w:line="360" w:before="0" w:after="0"/>
        <w:ind w:hanging="255" w:start="425"/>
        <w:jc w:val="both"/>
        <w:rPr/>
      </w:pPr>
      <w:r>
        <w:rPr/>
        <w:t xml:space="preserve">2. </w:t>
      </w:r>
      <w:r>
        <w:rPr>
          <w:b/>
        </w:rPr>
        <w:t>analytický průchod:</w:t>
      </w:r>
      <w:r>
        <w:rPr/>
        <w:t xml:space="preserve"> segmentace tvrzení o odpovědnosti, procesu, rozhodnutí, cíli, metrice, negativním výsledku nebo omezení;</w:t>
      </w:r>
    </w:p>
    <w:p>
      <w:pPr>
        <w:pStyle w:val="Normal"/>
        <w:widowControl/>
        <w:spacing w:lineRule="auto" w:line="360" w:before="0" w:after="0"/>
        <w:ind w:hanging="255" w:start="425"/>
        <w:jc w:val="both"/>
        <w:rPr/>
      </w:pPr>
      <w:r>
        <w:rPr/>
        <w:t xml:space="preserve">3. </w:t>
      </w:r>
      <w:r>
        <w:rPr>
          <w:b/>
        </w:rPr>
        <w:t>kontrolní průchod:</w:t>
      </w:r>
      <w:r>
        <w:rPr/>
        <w:t xml:space="preserve"> ověření lokátorů, hranic metrik, rozhodovací vazby a všech položek s vyšší evidenční silou.</w:t>
      </w:r>
    </w:p>
    <w:p>
      <w:pPr>
        <w:pStyle w:val="Normal"/>
        <w:widowControl/>
        <w:spacing w:lineRule="auto" w:line="360"/>
        <w:ind w:firstLine="709"/>
        <w:jc w:val="both"/>
        <w:rPr/>
      </w:pPr>
      <w:r>
        <w:rPr/>
        <w:t>Do hlavního evidenčního korpusu byly zařazovány pouze segmenty, které byly přímo relevantní alespoň k jedné výzkumné otázce a přinášely odlišný analytický mechanismus, významný kontrast nebo hranici interpretace. Opakované obecné formulace, duplikované KPI a dlouhé katalogy aktivit bez nové analytické informace byly vyřazeny.</w:t>
      </w:r>
    </w:p>
    <w:p>
      <w:pPr>
        <w:pStyle w:val="Normal"/>
        <w:widowControl/>
        <w:spacing w:lineRule="auto" w:line="360"/>
        <w:ind w:firstLine="709"/>
        <w:jc w:val="both"/>
        <w:rPr/>
      </w:pPr>
      <w:r>
        <w:rPr/>
        <w:t xml:space="preserve">Výsledný ledger obsahuje </w:t>
      </w:r>
      <w:r>
        <w:rPr>
          <w:b/>
        </w:rPr>
        <w:t>45 klíčových segmentů</w:t>
      </w:r>
      <w:r>
        <w:rPr/>
        <w:t>: 11 pro ČEZ, 12 pro MONETA, 11 pro O2 a 11 pro Škoda Auto. Tento počet nepředstavuje všechny výskyty ESG témat v dokumentech. Jde o účelově zúžený soubor důkazních jednotek použitých pro hlavní argumentaci. Deskriptivní informace o dalších tématech byly zachyceny v poznámkách, ale nebyly používány jako samostatný důkaz ve výsledkové kapitole.</w:t>
      </w:r>
    </w:p>
    <w:p>
      <w:pPr>
        <w:pStyle w:val="Heading2"/>
        <w:keepNext w:val="true"/>
        <w:widowControl/>
        <w:ind w:hanging="0"/>
        <w:rPr/>
      </w:pPr>
      <w:bookmarkStart w:id="41" w:name="__RefHeading___Toc2175_2077070603"/>
      <w:bookmarkEnd w:id="41"/>
      <w:r>
        <w:rPr/>
        <w:t>3.6 Jednotky analýzy a segmentace</w:t>
      </w:r>
    </w:p>
    <w:p>
      <w:pPr>
        <w:pStyle w:val="Normal"/>
        <w:widowControl/>
        <w:spacing w:lineRule="auto" w:line="360"/>
        <w:ind w:firstLine="709"/>
        <w:jc w:val="both"/>
        <w:rPr/>
      </w:pPr>
      <w:r>
        <w:rPr/>
        <w:t>V návaznosti na Schreier (2012) byly rozlišeny tři jednotky:</w:t>
      </w:r>
    </w:p>
    <w:p>
      <w:pPr>
        <w:pStyle w:val="ListBullet"/>
        <w:widowControl/>
        <w:numPr>
          <w:ilvl w:val="0"/>
          <w:numId w:val="1"/>
        </w:numPr>
        <w:spacing w:lineRule="auto" w:line="360" w:before="0" w:after="0"/>
        <w:ind w:hanging="142" w:start="425"/>
        <w:contextualSpacing/>
        <w:rPr/>
      </w:pPr>
      <w:r>
        <w:rPr>
          <w:b/>
        </w:rPr>
        <w:t>jednotka analýzy:</w:t>
      </w:r>
      <w:r>
        <w:rPr/>
        <w:t xml:space="preserve"> jeden podnik a jeho uzavřený soubor dokumentů za rok 2024;</w:t>
      </w:r>
    </w:p>
    <w:p>
      <w:pPr>
        <w:pStyle w:val="ListBullet"/>
        <w:widowControl/>
        <w:numPr>
          <w:ilvl w:val="0"/>
          <w:numId w:val="1"/>
        </w:numPr>
        <w:spacing w:lineRule="auto" w:line="360" w:before="0" w:after="0"/>
        <w:ind w:hanging="142" w:start="425"/>
        <w:contextualSpacing/>
        <w:rPr/>
      </w:pPr>
      <w:r>
        <w:rPr>
          <w:b/>
        </w:rPr>
        <w:t>jednotka kódování:</w:t>
      </w:r>
      <w:r>
        <w:rPr/>
        <w:t xml:space="preserve"> významově ucelený segment obsahující tvrzení o cíli, odpovědnosti, procesu, rozhodnutí, metrice, výsledku, negativním dopadu, změně nebo ověření;</w:t>
      </w:r>
    </w:p>
    <w:p>
      <w:pPr>
        <w:pStyle w:val="ListBullet"/>
        <w:widowControl/>
        <w:numPr>
          <w:ilvl w:val="0"/>
          <w:numId w:val="1"/>
        </w:numPr>
        <w:spacing w:lineRule="auto" w:line="360" w:before="0" w:after="0"/>
        <w:ind w:hanging="142" w:start="425"/>
        <w:contextualSpacing/>
        <w:rPr/>
      </w:pPr>
      <w:r>
        <w:rPr>
          <w:b/>
        </w:rPr>
        <w:t>kontextová jednotka:</w:t>
      </w:r>
      <w:r>
        <w:rPr/>
        <w:t xml:space="preserve"> celý dokumentový oddíl, související tabulka, metodická poznámka a případně assurance report.</w:t>
      </w:r>
    </w:p>
    <w:p>
      <w:pPr>
        <w:pStyle w:val="Normal"/>
        <w:widowControl/>
        <w:spacing w:lineRule="auto" w:line="360"/>
        <w:ind w:firstLine="709"/>
        <w:jc w:val="both"/>
        <w:rPr/>
      </w:pPr>
      <w:r>
        <w:rPr/>
        <w:t>Kódovací jednotkou mohl být odstavec, několik souvisejících vět nebo položka tabulky. Segment nebyl vytržen z kontextu nadpisu a poznámky. Například meziroční změna emise byla interpretována společně s informací o změně organizační hranice nebo přepočtu historických dat.</w:t>
      </w:r>
    </w:p>
    <w:p>
      <w:pPr>
        <w:pStyle w:val="Normal"/>
        <w:widowControl/>
        <w:spacing w:lineRule="auto" w:line="360"/>
        <w:ind w:firstLine="709"/>
        <w:jc w:val="both"/>
        <w:rPr/>
      </w:pPr>
      <w:r>
        <w:rPr/>
        <w:t>Jeden segment mohl nést více tematických kódů. Tvrzení, že představenstvo schválilo přechodový plán prostřednictvím investičního plánu, současně nese znaky governance, kapitálové alokace, strategické vazby a evidenční třídy E3.</w:t>
      </w:r>
    </w:p>
    <w:p>
      <w:pPr>
        <w:pStyle w:val="Heading2"/>
        <w:keepNext w:val="true"/>
        <w:widowControl/>
        <w:ind w:hanging="0"/>
        <w:rPr/>
      </w:pPr>
      <w:bookmarkStart w:id="42" w:name="__RefHeading___Toc2177_2077070603"/>
      <w:bookmarkEnd w:id="42"/>
      <w:r>
        <w:rPr/>
        <w:t>3.7 Kódovací rámec</w:t>
      </w:r>
    </w:p>
    <w:p>
      <w:pPr>
        <w:pStyle w:val="Normal"/>
        <w:widowControl/>
        <w:spacing w:lineRule="auto" w:line="360"/>
        <w:ind w:firstLine="709"/>
        <w:jc w:val="both"/>
        <w:rPr/>
      </w:pPr>
      <w:r>
        <w:rPr/>
        <w:t>Počáteční kódovací rámec vznikl z teoretické kapitoly a výzkumných otázek. Pilotní kódování následně zpřesnilo hranice mezi kategoriemi. Kódy byly seskupeny do osmi rodin.</w:t>
      </w:r>
    </w:p>
    <w:p>
      <w:pPr>
        <w:pStyle w:val="CaptionThesis"/>
        <w:widowControl/>
        <w:rPr/>
      </w:pPr>
      <w:r>
        <w:rPr>
          <w:b/>
        </w:rPr>
        <w:t>Tabulka 2: Rodiny kódů</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3024"/>
        <w:gridCol w:w="3024"/>
        <w:gridCol w:w="3024"/>
      </w:tblGrid>
      <w:tr>
        <w:trPr>
          <w:tblHeader w:val="true"/>
          <w:cantSplit w:val="true"/>
        </w:trPr>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Rodina</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Příklady kódů</w:t>
            </w:r>
          </w:p>
        </w:tc>
        <w:tc>
          <w:tcPr>
            <w:tcW w:w="3024"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Analytická otázka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tlak a motivace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regulace, investor, skupina, provozní kotva, legitimita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Proč je téma přijato nebo zveřejněno?</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materialita a strategie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dvojí materialita, podnikatelský model, stakeholder input</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Jak je určena priorita?</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governance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dohled orgánu, vlastník, výbor, kadence, kontrola, expertiza</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Kdo odpovídá a jak probíhá dohled?</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manažerská integrace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CapEx, OpEx, riziko, odměna, produkt, dodavatel, provoz</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Které rozhodnutí může informace změnit?</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metriky a výsledky</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baseline, cíl, časová řada, hranice, output, outcome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Co je měřeno a s jakou srovnatelností?</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negativní informace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negativní dopad, zhoršení, datová mezera, změna cíle, trade-off</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Jak dokument zachází s nepříznivou informací?</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ověření</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omezené ujištění, přiměřené ujištění, absence ujištění</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Co bylo nezávisle prověřeno a v jakém rozsahu?</w:t>
            </w:r>
          </w:p>
        </w:tc>
      </w:tr>
      <w:tr>
        <w:trPr>
          <w:cantSplit w:val="true"/>
        </w:trPr>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status tvrzení</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firemní tvrzení, metrika, omezení, interpretace</w:t>
            </w:r>
          </w:p>
        </w:tc>
        <w:tc>
          <w:tcPr>
            <w:tcW w:w="3024"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Kdo je zdrojem výroku a co z něj plyne?</w:t>
            </w:r>
          </w:p>
        </w:tc>
      </w:tr>
    </w:tbl>
    <w:p>
      <w:pPr>
        <w:pStyle w:val="Normal"/>
        <w:spacing w:before="0" w:after="40"/>
        <w:rPr/>
      </w:pPr>
      <w:r>
        <w:rPr/>
      </w:r>
    </w:p>
    <w:p>
      <w:pPr>
        <w:pStyle w:val="Normal"/>
        <w:widowControl/>
        <w:spacing w:lineRule="auto" w:line="360"/>
        <w:ind w:firstLine="709"/>
        <w:jc w:val="both"/>
        <w:rPr/>
      </w:pPr>
      <w:r>
        <w:rPr/>
        <w:t xml:space="preserve">Kódovací slovník obsahoval definici, pravidla zahrnutí a vyloučení, příklad a vztah k evidenční síle. Nový kód mohl být přidán, pokud zachycoval jev, který se opakoval nebo zásadně narušoval počáteční rámec. Významnou induktivně posílenou kategorií se stala </w:t>
      </w:r>
      <w:r>
        <w:rPr>
          <w:b/>
        </w:rPr>
        <w:t>negativní informace a revize</w:t>
      </w:r>
      <w:r>
        <w:rPr/>
        <w:t>. Původní rámec se soustředil hlavně na přítomnost governance a rozhodovacích vazeb; dokumenty však ukázaly, že přiznaný restatement, nesplněný KPI nebo chybějící cíl významně ovlivňují informační hodnotu reportu.</w:t>
      </w:r>
    </w:p>
    <w:p>
      <w:pPr>
        <w:pStyle w:val="Heading2"/>
        <w:keepNext w:val="true"/>
        <w:widowControl/>
        <w:ind w:hanging="0"/>
        <w:rPr/>
      </w:pPr>
      <w:bookmarkStart w:id="43" w:name="__RefHeading___Toc2179_2077070603"/>
      <w:bookmarkEnd w:id="43"/>
      <w:r>
        <w:rPr/>
        <w:t>3.8 Škála evidenční síly E0–E4</w:t>
      </w:r>
    </w:p>
    <w:p>
      <w:pPr>
        <w:pStyle w:val="Normal"/>
        <w:widowControl/>
        <w:spacing w:lineRule="auto" w:line="360"/>
        <w:ind w:firstLine="709"/>
        <w:jc w:val="both"/>
        <w:rPr/>
      </w:pPr>
      <w:r>
        <w:rPr/>
        <w:t>Pro srovnání různých typů tvrzení byla použita škála evidenční síly. Jednotkou klasifikace je segment, nikoli podnik.</w:t>
      </w:r>
    </w:p>
    <w:p>
      <w:pPr>
        <w:pStyle w:val="CaptionThesis"/>
        <w:widowControl/>
        <w:rPr/>
      </w:pPr>
      <w:r>
        <w:rPr>
          <w:b/>
        </w:rPr>
        <w:t>Tabulka 3: Škála evidenční síly</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Třída</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Název</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Minimální znak</w:t>
            </w:r>
          </w:p>
        </w:tc>
        <w:tc>
          <w:tcPr>
            <w:tcW w:w="226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Co třída neprokazuje</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E0</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deklarace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hodnotový nebo strategický závazek bez konkrétního mechanismu</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provedení ani výsledek</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E1</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aktivita nebo výstup</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konkrétní opatření, počet účastníků, zapojených dodavatelů či projektů</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změnu stavu nebo chování</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E2</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řízený výsledek nebo formalizovaný proces</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vlastník, metoda, baseline, cíl, časová řada, kontrola nebo přiznaná korekce</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přímý vliv na rozhodnutí ani kauzalitu dopadu</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E3</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rozhodovací vazba</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doložený vstup do kapitálu, rizika, produktu, nákupu, odměny nebo provozního pravidla</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dostatečnost rozhodnutí ani konečný dopad</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E4</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externě podpořený výsledek</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konkrétní výsledek s jasnou hranicí a metodikou v rozsahu silného nezávislého ověření nebo triangulace</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širší kauzalitu, pokud nebyla součástí designu ověření</w:t>
            </w:r>
          </w:p>
        </w:tc>
      </w:tr>
    </w:tbl>
    <w:p>
      <w:pPr>
        <w:pStyle w:val="Normal"/>
        <w:spacing w:before="0" w:after="40"/>
        <w:rPr/>
      </w:pPr>
      <w:r>
        <w:rPr/>
      </w:r>
    </w:p>
    <w:p>
      <w:pPr>
        <w:pStyle w:val="Normal"/>
        <w:widowControl/>
        <w:spacing w:lineRule="auto" w:line="360"/>
        <w:ind w:firstLine="709"/>
        <w:jc w:val="both"/>
        <w:rPr/>
      </w:pPr>
      <w:r>
        <w:rPr/>
        <w:t>Třídy nejsou kumulativním hodnocením „dobré firmy“. E3 je považována za silný znak manažerské integrace, i když výsledek zatím nemusí být externě ověřen. E4 se týká spolehlivosti konkrétního výsledku, nikoli automaticky hloubky řízení. Proto jsou evidenční třída a status assurance zaznamenávány odděleně.</w:t>
      </w:r>
    </w:p>
    <w:p>
      <w:pPr>
        <w:pStyle w:val="Normal"/>
        <w:widowControl/>
        <w:spacing w:lineRule="auto" w:line="360"/>
        <w:ind w:firstLine="709"/>
        <w:jc w:val="both"/>
        <w:rPr/>
      </w:pPr>
      <w:r>
        <w:rPr/>
        <w:t>Příklad ilustruje rozdíl: počet účastníků programu digitální gramotnosti je E1, pokud dokládá dosah aktivity. Meziroční změna spotřeby s vysvětlenou hranicí a metodikou je E2. Požadavek, aby energetická účinnost ovlivňovala výběr technologie v datovém centru, je E3. Externě ověřený výpočet přesně vymezené metriky může být E4, ale nepodporuje tvrzení, že program způsobil širší společenský dopad.</w:t>
      </w:r>
    </w:p>
    <w:p>
      <w:pPr>
        <w:pStyle w:val="Heading2"/>
        <w:keepNext w:val="true"/>
        <w:widowControl/>
        <w:ind w:hanging="0"/>
        <w:rPr/>
      </w:pPr>
      <w:bookmarkStart w:id="44" w:name="__RefHeading___Toc2181_2077070603"/>
      <w:bookmarkEnd w:id="44"/>
      <w:r>
        <w:rPr/>
        <w:t>3.9 Pilotní kódování</w:t>
      </w:r>
    </w:p>
    <w:p>
      <w:pPr>
        <w:pStyle w:val="Normal"/>
        <w:widowControl/>
        <w:spacing w:lineRule="auto" w:line="360"/>
        <w:ind w:firstLine="709"/>
        <w:jc w:val="both"/>
        <w:rPr/>
      </w:pPr>
      <w:r>
        <w:rPr/>
        <w:t>Pilot zahrnoval nejméně dva kontrastní úseky z každého případu: jeden zaměřený na strategii nebo governance a jeden na metriky a výsledky. Pilot sledoval pět problémů:</w:t>
      </w:r>
    </w:p>
    <w:p>
      <w:pPr>
        <w:pStyle w:val="Normal"/>
        <w:widowControl/>
        <w:spacing w:lineRule="auto" w:line="360" w:before="0" w:after="0"/>
        <w:ind w:hanging="255" w:start="425"/>
        <w:jc w:val="both"/>
        <w:rPr/>
      </w:pPr>
      <w:r>
        <w:rPr/>
        <w:t>1. překryv kódů bez analytické hodnoty;</w:t>
      </w:r>
    </w:p>
    <w:p>
      <w:pPr>
        <w:pStyle w:val="Normal"/>
        <w:widowControl/>
        <w:spacing w:lineRule="auto" w:line="360" w:before="0" w:after="0"/>
        <w:ind w:hanging="255" w:start="425"/>
        <w:jc w:val="both"/>
        <w:rPr/>
      </w:pPr>
      <w:r>
        <w:rPr/>
        <w:t>2. odlišení aktivity od výsledku a rozhodovací vazby;</w:t>
      </w:r>
    </w:p>
    <w:p>
      <w:pPr>
        <w:pStyle w:val="Normal"/>
        <w:widowControl/>
        <w:spacing w:lineRule="auto" w:line="360" w:before="0" w:after="0"/>
        <w:ind w:hanging="255" w:start="425"/>
        <w:jc w:val="both"/>
        <w:rPr/>
      </w:pPr>
      <w:r>
        <w:rPr/>
        <w:t>3. dostatečnost lokátoru;</w:t>
      </w:r>
    </w:p>
    <w:p>
      <w:pPr>
        <w:pStyle w:val="Normal"/>
        <w:widowControl/>
        <w:spacing w:lineRule="auto" w:line="360" w:before="0" w:after="0"/>
        <w:ind w:hanging="255" w:start="425"/>
        <w:jc w:val="both"/>
        <w:rPr/>
      </w:pPr>
      <w:r>
        <w:rPr/>
        <w:t>4. sektorové zkreslení rámce;</w:t>
      </w:r>
    </w:p>
    <w:p>
      <w:pPr>
        <w:pStyle w:val="Normal"/>
        <w:widowControl/>
        <w:spacing w:lineRule="auto" w:line="360" w:before="0" w:after="0"/>
        <w:ind w:hanging="255" w:start="425"/>
        <w:jc w:val="both"/>
        <w:rPr/>
      </w:pPr>
      <w:r>
        <w:rPr/>
        <w:t>5. potřebu induktivních kategorií.</w:t>
      </w:r>
    </w:p>
    <w:p>
      <w:pPr>
        <w:pStyle w:val="Normal"/>
        <w:widowControl/>
        <w:spacing w:lineRule="auto" w:line="360"/>
        <w:ind w:firstLine="709"/>
        <w:jc w:val="both"/>
        <w:rPr/>
      </w:pPr>
      <w:r>
        <w:rPr/>
        <w:t>Na základě pilotu byly provedeny tři změny. Za prvé byl kód „ESG integrace“ rozdělen podle typu rozhodnutí na kapitál, riziko, odměnu, produkt, nákup a provoz. Za druhé byly odděleny aktivita, outcome metrika a širší impact claim. Za třetí byla assurance vyčleněna jako samostatná dimenze, aby existence nezávislého ujištění nevytvářela automatické vysoké hodnocení celého reportu.</w:t>
      </w:r>
    </w:p>
    <w:p>
      <w:pPr>
        <w:pStyle w:val="Normal"/>
        <w:widowControl/>
        <w:spacing w:lineRule="auto" w:line="360"/>
        <w:ind w:firstLine="709"/>
        <w:jc w:val="both"/>
        <w:rPr/>
      </w:pPr>
      <w:r>
        <w:rPr/>
        <w:t>Po uzavření slovníku byly pilotní segmenty znovu posouzeny podle finálních definic.</w:t>
      </w:r>
    </w:p>
    <w:p>
      <w:pPr>
        <w:pStyle w:val="Heading2"/>
        <w:keepNext w:val="true"/>
        <w:widowControl/>
        <w:ind w:hanging="0"/>
        <w:rPr/>
      </w:pPr>
      <w:bookmarkStart w:id="45" w:name="__RefHeading___Toc2183_2077070603"/>
      <w:bookmarkEnd w:id="45"/>
      <w:r>
        <w:rPr/>
        <w:t>3.10 Hlavní kódování a případová mema</w:t>
      </w:r>
    </w:p>
    <w:p>
      <w:pPr>
        <w:pStyle w:val="Normal"/>
        <w:widowControl/>
        <w:spacing w:lineRule="auto" w:line="360"/>
        <w:ind w:firstLine="709"/>
        <w:jc w:val="both"/>
        <w:rPr/>
      </w:pPr>
      <w:r>
        <w:rPr/>
        <w:t>Hlavní kódování probíhalo nejprve po případech. Pro každý segment byly zaznamenány:</w:t>
      </w:r>
    </w:p>
    <w:p>
      <w:pPr>
        <w:pStyle w:val="ListBullet"/>
        <w:widowControl/>
        <w:numPr>
          <w:ilvl w:val="0"/>
          <w:numId w:val="1"/>
        </w:numPr>
        <w:spacing w:lineRule="auto" w:line="360" w:before="0" w:after="0"/>
        <w:ind w:hanging="142" w:start="425"/>
        <w:contextualSpacing/>
        <w:rPr/>
      </w:pPr>
      <w:r>
        <w:rPr/>
        <w:t>identifikátor případu a dokumentu;</w:t>
      </w:r>
    </w:p>
    <w:p>
      <w:pPr>
        <w:pStyle w:val="ListBullet"/>
        <w:widowControl/>
        <w:numPr>
          <w:ilvl w:val="0"/>
          <w:numId w:val="1"/>
        </w:numPr>
        <w:spacing w:lineRule="auto" w:line="360" w:before="0" w:after="0"/>
        <w:ind w:hanging="142" w:start="425"/>
        <w:contextualSpacing/>
        <w:rPr/>
      </w:pPr>
      <w:r>
        <w:rPr/>
        <w:t>přesný lokátor;</w:t>
      </w:r>
    </w:p>
    <w:p>
      <w:pPr>
        <w:pStyle w:val="ListBullet"/>
        <w:widowControl/>
        <w:numPr>
          <w:ilvl w:val="0"/>
          <w:numId w:val="1"/>
        </w:numPr>
        <w:spacing w:lineRule="auto" w:line="360" w:before="0" w:after="0"/>
        <w:ind w:hanging="142" w:start="425"/>
        <w:contextualSpacing/>
        <w:rPr/>
      </w:pPr>
      <w:r>
        <w:rPr/>
        <w:t>neutrální parafráze;</w:t>
      </w:r>
    </w:p>
    <w:p>
      <w:pPr>
        <w:pStyle w:val="ListBullet"/>
        <w:widowControl/>
        <w:numPr>
          <w:ilvl w:val="0"/>
          <w:numId w:val="1"/>
        </w:numPr>
        <w:spacing w:lineRule="auto" w:line="360" w:before="0" w:after="0"/>
        <w:ind w:hanging="142" w:start="425"/>
        <w:contextualSpacing/>
        <w:rPr/>
      </w:pPr>
      <w:r>
        <w:rPr/>
        <w:t>tematické kódy;</w:t>
      </w:r>
    </w:p>
    <w:p>
      <w:pPr>
        <w:pStyle w:val="ListBullet"/>
        <w:widowControl/>
        <w:numPr>
          <w:ilvl w:val="0"/>
          <w:numId w:val="1"/>
        </w:numPr>
        <w:spacing w:lineRule="auto" w:line="360" w:before="0" w:after="0"/>
        <w:ind w:hanging="142" w:start="425"/>
        <w:contextualSpacing/>
        <w:rPr/>
      </w:pPr>
      <w:r>
        <w:rPr/>
        <w:t>evidenční třída;</w:t>
      </w:r>
    </w:p>
    <w:p>
      <w:pPr>
        <w:pStyle w:val="ListBullet"/>
        <w:widowControl/>
        <w:numPr>
          <w:ilvl w:val="0"/>
          <w:numId w:val="1"/>
        </w:numPr>
        <w:spacing w:lineRule="auto" w:line="360" w:before="0" w:after="0"/>
        <w:ind w:hanging="142" w:start="425"/>
        <w:contextualSpacing/>
        <w:rPr/>
      </w:pPr>
      <w:r>
        <w:rPr/>
        <w:t>status zdroje;</w:t>
      </w:r>
    </w:p>
    <w:p>
      <w:pPr>
        <w:pStyle w:val="ListBullet"/>
        <w:widowControl/>
        <w:numPr>
          <w:ilvl w:val="0"/>
          <w:numId w:val="1"/>
        </w:numPr>
        <w:spacing w:lineRule="auto" w:line="360" w:before="0" w:after="0"/>
        <w:ind w:hanging="142" w:start="425"/>
        <w:contextualSpacing/>
        <w:rPr/>
      </w:pPr>
      <w:r>
        <w:rPr/>
        <w:t>analytické využití;</w:t>
      </w:r>
    </w:p>
    <w:p>
      <w:pPr>
        <w:pStyle w:val="ListBullet"/>
        <w:widowControl/>
        <w:numPr>
          <w:ilvl w:val="0"/>
          <w:numId w:val="1"/>
        </w:numPr>
        <w:spacing w:lineRule="auto" w:line="360" w:before="0" w:after="0"/>
        <w:ind w:hanging="142" w:start="425"/>
        <w:contextualSpacing/>
        <w:rPr/>
      </w:pPr>
      <w:r>
        <w:rPr/>
        <w:t>alternativní výklad nebo omezení.</w:t>
      </w:r>
    </w:p>
    <w:p>
      <w:pPr>
        <w:pStyle w:val="Normal"/>
        <w:widowControl/>
        <w:spacing w:lineRule="auto" w:line="360"/>
        <w:ind w:firstLine="709"/>
        <w:jc w:val="both"/>
        <w:rPr/>
      </w:pPr>
      <w:r>
        <w:rPr/>
        <w:t>Po dokončení jednoho podniku vzniklo případové memo. Memo se nesoustředilo na shrnutí všech aktivit, ale na vnitřní logiku implementace: které téma je propojeno s podnikatelským modelem, jaká governance je zveřejněna, kde se objevuje rozhodovací vazba, jaké metriky mají nejvyšší sílu a co narušuje pozitivní narativ.</w:t>
      </w:r>
    </w:p>
    <w:p>
      <w:pPr>
        <w:pStyle w:val="Normal"/>
        <w:widowControl/>
        <w:spacing w:lineRule="auto" w:line="360"/>
        <w:ind w:firstLine="709"/>
        <w:jc w:val="both"/>
        <w:rPr/>
      </w:pPr>
      <w:r>
        <w:rPr/>
        <w:t>Každé memo obsahovalo sekci „co nesedí na pracovní očekávání“. Tato část měla omezit konfirmační zkreslení řízené obsahové analýzy. Například u MONETA se nepotvrdilo očekávání jednostranně pozitivní komunikace, protože report otevřeně uváděl kritiku reportovací zátěže, chybějící outcome cíl i zhoršený ukazatel. U O2 se nepotvrdil předpoklad, že velké množství KPI automaticky znamená vysokou integraci.</w:t>
      </w:r>
    </w:p>
    <w:p>
      <w:pPr>
        <w:pStyle w:val="Normal"/>
        <w:widowControl/>
        <w:spacing w:lineRule="auto" w:line="360"/>
        <w:ind w:firstLine="709"/>
        <w:jc w:val="both"/>
        <w:rPr/>
      </w:pPr>
      <w:r>
        <w:rPr/>
        <w:t>Teprve po uzavření všech případových mem vznikla mezipřípadová témata.</w:t>
      </w:r>
    </w:p>
    <w:p>
      <w:pPr>
        <w:pStyle w:val="Heading2"/>
        <w:keepNext w:val="true"/>
        <w:widowControl/>
        <w:ind w:hanging="0"/>
        <w:rPr/>
      </w:pPr>
      <w:bookmarkStart w:id="46" w:name="__RefHeading___Toc2185_2077070603"/>
      <w:bookmarkEnd w:id="46"/>
      <w:r>
        <w:rPr/>
        <w:t>3.11 Mezipřípadová syntéza</w:t>
      </w:r>
    </w:p>
    <w:p>
      <w:pPr>
        <w:pStyle w:val="Normal"/>
        <w:widowControl/>
        <w:spacing w:lineRule="auto" w:line="360"/>
        <w:ind w:firstLine="709"/>
        <w:jc w:val="both"/>
        <w:rPr/>
      </w:pPr>
      <w:r>
        <w:rPr/>
        <w:t>Kandidátní téma muselo splnit čtyři podmínky:</w:t>
      </w:r>
    </w:p>
    <w:p>
      <w:pPr>
        <w:pStyle w:val="Normal"/>
        <w:widowControl/>
        <w:spacing w:lineRule="auto" w:line="360" w:before="0" w:after="0"/>
        <w:ind w:hanging="255" w:start="425"/>
        <w:jc w:val="both"/>
        <w:rPr/>
      </w:pPr>
      <w:r>
        <w:rPr/>
        <w:t>1. být podloženo více segmenty nebo jedním analyticky zásadním kritickým případem;</w:t>
      </w:r>
    </w:p>
    <w:p>
      <w:pPr>
        <w:pStyle w:val="Normal"/>
        <w:widowControl/>
        <w:spacing w:lineRule="auto" w:line="360" w:before="0" w:after="0"/>
        <w:ind w:hanging="255" w:start="425"/>
        <w:jc w:val="both"/>
        <w:rPr/>
      </w:pPr>
      <w:r>
        <w:rPr/>
        <w:t>2. obsahovat kontrast mezi nejméně dvěma podniky;</w:t>
      </w:r>
    </w:p>
    <w:p>
      <w:pPr>
        <w:pStyle w:val="Normal"/>
        <w:widowControl/>
        <w:spacing w:lineRule="auto" w:line="360" w:before="0" w:after="0"/>
        <w:ind w:hanging="255" w:start="425"/>
        <w:jc w:val="both"/>
        <w:rPr/>
      </w:pPr>
      <w:r>
        <w:rPr/>
        <w:t>3. oddělit firemní tvrzení od interpretace autora;</w:t>
      </w:r>
    </w:p>
    <w:p>
      <w:pPr>
        <w:pStyle w:val="Normal"/>
        <w:widowControl/>
        <w:spacing w:lineRule="auto" w:line="360" w:before="0" w:after="0"/>
        <w:ind w:hanging="255" w:start="425"/>
        <w:jc w:val="both"/>
        <w:rPr/>
      </w:pPr>
      <w:r>
        <w:rPr/>
        <w:t>4. uvést hranici, negativní případ nebo alternativní vysvětlení.</w:t>
      </w:r>
    </w:p>
    <w:p>
      <w:pPr>
        <w:pStyle w:val="Normal"/>
        <w:widowControl/>
        <w:spacing w:lineRule="auto" w:line="360"/>
        <w:ind w:firstLine="709"/>
        <w:jc w:val="both"/>
        <w:rPr/>
      </w:pPr>
      <w:r>
        <w:rPr/>
        <w:t>Počty kódů nebyly používány jako statistický důkaz významnosti. Jednotlivé reporty mají výrazně rozdílný rozsah a strukturu. Dokument o stovkách stran by přirozeně vytvořil více segmentů než stručnější zpráva, aniž by to znamenalo kvalitnější řízení.</w:t>
      </w:r>
    </w:p>
    <w:p>
      <w:pPr>
        <w:pStyle w:val="Normal"/>
        <w:widowControl/>
        <w:spacing w:lineRule="auto" w:line="360"/>
        <w:ind w:firstLine="709"/>
        <w:jc w:val="both"/>
        <w:rPr/>
      </w:pPr>
      <w:r>
        <w:rPr/>
        <w:t>Syntéza vedla k pěti tématům:</w:t>
      </w:r>
    </w:p>
    <w:p>
      <w:pPr>
        <w:pStyle w:val="Normal"/>
        <w:widowControl/>
        <w:spacing w:lineRule="auto" w:line="360" w:before="0" w:after="0"/>
        <w:ind w:hanging="255" w:start="425"/>
        <w:jc w:val="both"/>
        <w:rPr/>
      </w:pPr>
      <w:r>
        <w:rPr/>
        <w:t>1. standardizovaná architektura reportingu zakrývá rozdílnou manažerskou hloubku;</w:t>
      </w:r>
    </w:p>
    <w:p>
      <w:pPr>
        <w:pStyle w:val="Normal"/>
        <w:widowControl/>
        <w:spacing w:lineRule="auto" w:line="360" w:before="0" w:after="0"/>
        <w:ind w:hanging="255" w:start="425"/>
        <w:jc w:val="both"/>
        <w:rPr/>
      </w:pPr>
      <w:r>
        <w:rPr/>
        <w:t>2. ESG se stává řídicí agendou tam, kde získá provozní nebo finanční kotvu;</w:t>
      </w:r>
    </w:p>
    <w:p>
      <w:pPr>
        <w:pStyle w:val="Normal"/>
        <w:widowControl/>
        <w:spacing w:lineRule="auto" w:line="360" w:before="0" w:after="0"/>
        <w:ind w:hanging="255" w:start="425"/>
        <w:jc w:val="both"/>
        <w:rPr/>
      </w:pPr>
      <w:r>
        <w:rPr/>
        <w:t>3. governance je nejlépe doložena vlastnictvím, kadencí a korektivním mechanismem;</w:t>
      </w:r>
    </w:p>
    <w:p>
      <w:pPr>
        <w:pStyle w:val="Normal"/>
        <w:widowControl/>
        <w:spacing w:lineRule="auto" w:line="360" w:before="0" w:after="0"/>
        <w:ind w:hanging="255" w:start="425"/>
        <w:jc w:val="both"/>
        <w:rPr/>
      </w:pPr>
      <w:r>
        <w:rPr/>
        <w:t>4. metriky upřednostňují aktivity a provozní výsledky před ověřeným širším dopadem;</w:t>
      </w:r>
    </w:p>
    <w:p>
      <w:pPr>
        <w:pStyle w:val="Normal"/>
        <w:widowControl/>
        <w:spacing w:lineRule="auto" w:line="360" w:before="0" w:after="0"/>
        <w:ind w:hanging="255" w:start="425"/>
        <w:jc w:val="both"/>
        <w:rPr/>
      </w:pPr>
      <w:r>
        <w:rPr/>
        <w:t>5. přiznané napětí, revize a negativní informace zvyšují informační hodnotu reportu.</w:t>
      </w:r>
    </w:p>
    <w:p>
      <w:pPr>
        <w:pStyle w:val="Heading2"/>
        <w:keepNext w:val="true"/>
        <w:widowControl/>
        <w:ind w:hanging="0"/>
        <w:rPr/>
      </w:pPr>
      <w:bookmarkStart w:id="47" w:name="__RefHeading___Toc2187_2077070603"/>
      <w:bookmarkEnd w:id="47"/>
      <w:r>
        <w:rPr/>
        <w:t>3.12 Kontrola konzistence</w:t>
      </w:r>
    </w:p>
    <w:p>
      <w:pPr>
        <w:pStyle w:val="Normal"/>
        <w:widowControl/>
        <w:spacing w:lineRule="auto" w:line="360"/>
        <w:ind w:firstLine="709"/>
        <w:jc w:val="both"/>
        <w:rPr/>
      </w:pPr>
      <w:r>
        <w:rPr/>
        <w:t>Analýzu provedl jeden autor. Práce proto netvrdí interkodérskou reliabilitu a nevytváří umělý dojem objektivity prostřednictvím koeficientu shody. Konzistence byla posilována jinými postupy.</w:t>
      </w:r>
    </w:p>
    <w:p>
      <w:pPr>
        <w:pStyle w:val="Normal"/>
        <w:widowControl/>
        <w:spacing w:lineRule="auto" w:line="360"/>
        <w:ind w:firstLine="709"/>
        <w:jc w:val="both"/>
        <w:rPr/>
      </w:pPr>
      <w:r>
        <w:rPr/>
        <w:t>Po uzavření prvního kola byl stratifikovaný desetiprocentní vzorek segmentů znovu klasifikován bez využití původně přiřazené evidenční třídy. Při neshodě se posuzovalo, zda je problém ve výkladu segmentu, nebo v definici kategorie. Výsledek kontroly a změny jsou zachyceny v samostatném protokolu.</w:t>
      </w:r>
    </w:p>
    <w:p>
      <w:pPr>
        <w:pStyle w:val="Normal"/>
        <w:widowControl/>
        <w:spacing w:lineRule="auto" w:line="360"/>
        <w:ind w:firstLine="709"/>
        <w:jc w:val="both"/>
        <w:rPr/>
      </w:pPr>
      <w:r>
        <w:rPr/>
        <w:t>Všechny segmenty označené E3 nebo E4 byly znovu otevřeny v originálním dokumentu. Kontrola ověřovala zejména:</w:t>
      </w:r>
    </w:p>
    <w:p>
      <w:pPr>
        <w:pStyle w:val="ListBullet"/>
        <w:widowControl/>
        <w:numPr>
          <w:ilvl w:val="0"/>
          <w:numId w:val="1"/>
        </w:numPr>
        <w:spacing w:lineRule="auto" w:line="360" w:before="0" w:after="0"/>
        <w:ind w:hanging="142" w:start="425"/>
        <w:contextualSpacing/>
        <w:rPr/>
      </w:pPr>
      <w:r>
        <w:rPr/>
        <w:t>zda je rozhodovací vazba explicitní a nikoli pouze předpokládaná;</w:t>
      </w:r>
    </w:p>
    <w:p>
      <w:pPr>
        <w:pStyle w:val="ListBullet"/>
        <w:widowControl/>
        <w:numPr>
          <w:ilvl w:val="0"/>
          <w:numId w:val="1"/>
        </w:numPr>
        <w:spacing w:lineRule="auto" w:line="360" w:before="0" w:after="0"/>
        <w:ind w:hanging="142" w:start="425"/>
        <w:contextualSpacing/>
        <w:rPr/>
      </w:pPr>
      <w:r>
        <w:rPr/>
        <w:t>zda se tvrzení vztahuje ke správné organizační hranici;</w:t>
      </w:r>
    </w:p>
    <w:p>
      <w:pPr>
        <w:pStyle w:val="ListBullet"/>
        <w:widowControl/>
        <w:numPr>
          <w:ilvl w:val="0"/>
          <w:numId w:val="1"/>
        </w:numPr>
        <w:spacing w:lineRule="auto" w:line="360" w:before="0" w:after="0"/>
        <w:ind w:hanging="142" w:start="425"/>
        <w:contextualSpacing/>
        <w:rPr/>
      </w:pPr>
      <w:r>
        <w:rPr/>
        <w:t>zda assurance skutečně pokrývá danou metriku;</w:t>
      </w:r>
    </w:p>
    <w:p>
      <w:pPr>
        <w:pStyle w:val="ListBullet"/>
        <w:widowControl/>
        <w:numPr>
          <w:ilvl w:val="0"/>
          <w:numId w:val="1"/>
        </w:numPr>
        <w:spacing w:lineRule="auto" w:line="360" w:before="0" w:after="0"/>
        <w:ind w:hanging="142" w:start="425"/>
        <w:contextualSpacing/>
        <w:rPr/>
      </w:pPr>
      <w:r>
        <w:rPr/>
        <w:t>zda parafráze nepřekračuje rozsah firemního tvrzení;</w:t>
      </w:r>
    </w:p>
    <w:p>
      <w:pPr>
        <w:pStyle w:val="ListBullet"/>
        <w:widowControl/>
        <w:numPr>
          <w:ilvl w:val="0"/>
          <w:numId w:val="1"/>
        </w:numPr>
        <w:spacing w:lineRule="auto" w:line="360" w:before="0" w:after="0"/>
        <w:ind w:hanging="142" w:start="425"/>
        <w:contextualSpacing/>
        <w:rPr/>
      </w:pPr>
      <w:r>
        <w:rPr/>
        <w:t>zda omezení zachycuje alternativní výklad.</w:t>
      </w:r>
    </w:p>
    <w:p>
      <w:pPr>
        <w:pStyle w:val="Normal"/>
        <w:widowControl/>
        <w:spacing w:lineRule="auto" w:line="360"/>
        <w:ind w:firstLine="709"/>
        <w:jc w:val="both"/>
        <w:rPr/>
      </w:pPr>
      <w:r>
        <w:rPr/>
        <w:t>Jedna původně vyšší klasifikace obecného assurance tvrzení byla snížena, protože existence omezeného ujištění nad zprávou sama o sobě nedokládá rozhodovací vazbu ani externě ověřený dopad. Tato korekce vedla k důslednějšímu oddělení třídy důkazu a statusu ověření.</w:t>
      </w:r>
    </w:p>
    <w:p>
      <w:pPr>
        <w:pStyle w:val="Heading2"/>
        <w:keepNext w:val="true"/>
        <w:widowControl/>
        <w:ind w:hanging="0"/>
        <w:rPr/>
      </w:pPr>
      <w:bookmarkStart w:id="48" w:name="__RefHeading___Toc2189_2077070603"/>
      <w:bookmarkEnd w:id="48"/>
      <w:r>
        <w:rPr/>
        <w:t>3.13 Důvěryhodnost a auditní stopa</w:t>
      </w:r>
    </w:p>
    <w:p>
      <w:pPr>
        <w:pStyle w:val="Normal"/>
        <w:widowControl/>
        <w:spacing w:lineRule="auto" w:line="360"/>
        <w:ind w:firstLine="709"/>
        <w:jc w:val="both"/>
        <w:rPr/>
      </w:pPr>
      <w:r>
        <w:rPr/>
        <w:t>Důvěryhodnost kvalitativní analýzy je podporována pěti prvky.</w:t>
      </w:r>
    </w:p>
    <w:p>
      <w:pPr>
        <w:pStyle w:val="Heading3"/>
        <w:keepNext w:val="true"/>
        <w:widowControl/>
        <w:ind w:hanging="0"/>
        <w:rPr/>
      </w:pPr>
      <w:bookmarkStart w:id="49" w:name="__RefHeading___Toc2191_2077070603"/>
      <w:bookmarkEnd w:id="49"/>
      <w:r>
        <w:rPr/>
        <w:t>3.13.1 Dohledatelnost</w:t>
      </w:r>
    </w:p>
    <w:p>
      <w:pPr>
        <w:pStyle w:val="Normal"/>
        <w:widowControl/>
        <w:spacing w:lineRule="auto" w:line="360"/>
        <w:ind w:firstLine="709"/>
        <w:jc w:val="both"/>
        <w:rPr/>
      </w:pPr>
      <w:r>
        <w:rPr/>
        <w:t>Každé klíčové zjištění je spojeno s položkou evidenční matice a přesným lokátorem. Čtenář může otevřít zdroj a zkontrolovat, zda parafráze a interpretace odpovídají kontextu.</w:t>
      </w:r>
    </w:p>
    <w:p>
      <w:pPr>
        <w:pStyle w:val="Heading3"/>
        <w:keepNext w:val="true"/>
        <w:widowControl/>
        <w:ind w:hanging="0"/>
        <w:rPr/>
      </w:pPr>
      <w:bookmarkStart w:id="50" w:name="__RefHeading___Toc2193_2077070603"/>
      <w:bookmarkEnd w:id="50"/>
      <w:r>
        <w:rPr/>
        <w:t>3.13.2 Negativní případy</w:t>
      </w:r>
    </w:p>
    <w:p>
      <w:pPr>
        <w:pStyle w:val="Normal"/>
        <w:widowControl/>
        <w:spacing w:lineRule="auto" w:line="360"/>
        <w:ind w:firstLine="709"/>
        <w:jc w:val="both"/>
        <w:rPr/>
      </w:pPr>
      <w:r>
        <w:rPr/>
        <w:t>Analýza aktivně vyhledávala zhoršené ukazatele, změny hranic, restatementy, zrušené cíle, chybějící KPI, nevyřešené negativní dopady a výslovná omezení. Negativní informace nebyla automaticky interpretována jako horší řízení. Mohla zvyšovat vyváženost zveřejnění.</w:t>
      </w:r>
    </w:p>
    <w:p>
      <w:pPr>
        <w:pStyle w:val="Heading3"/>
        <w:keepNext w:val="true"/>
        <w:widowControl/>
        <w:ind w:hanging="0"/>
        <w:rPr/>
      </w:pPr>
      <w:bookmarkStart w:id="51" w:name="__RefHeading___Toc2195_2077070603"/>
      <w:bookmarkEnd w:id="51"/>
      <w:r>
        <w:rPr/>
        <w:t>3.13.3 Alternativní výklad</w:t>
      </w:r>
    </w:p>
    <w:p>
      <w:pPr>
        <w:pStyle w:val="Normal"/>
        <w:widowControl/>
        <w:spacing w:lineRule="auto" w:line="360"/>
        <w:ind w:firstLine="709"/>
        <w:jc w:val="both"/>
        <w:rPr/>
      </w:pPr>
      <w:r>
        <w:rPr/>
        <w:t>Každý významný segment obsahuje omezení. Například vysoký taxonomicky sladěný CapEx může dokládat vazbu na investiční plán, ale ne celkovou udržitelnost firmy. Růst emisí může znamenat zhoršení, změnu hranice nebo přesnější výpočet. Výbor může být formálně silný, ale z reportu nemusí být patrný jeho skutečný vliv.</w:t>
      </w:r>
    </w:p>
    <w:p>
      <w:pPr>
        <w:pStyle w:val="Heading3"/>
        <w:keepNext w:val="true"/>
        <w:widowControl/>
        <w:ind w:hanging="0"/>
        <w:rPr/>
      </w:pPr>
      <w:bookmarkStart w:id="52" w:name="__RefHeading___Toc2197_2077070603"/>
      <w:bookmarkEnd w:id="52"/>
      <w:r>
        <w:rPr/>
        <w:t>3.13.4 Reflexivita</w:t>
      </w:r>
    </w:p>
    <w:p>
      <w:pPr>
        <w:pStyle w:val="Normal"/>
        <w:widowControl/>
        <w:spacing w:lineRule="auto" w:line="360"/>
        <w:ind w:firstLine="709"/>
        <w:jc w:val="both"/>
        <w:rPr/>
      </w:pPr>
      <w:r>
        <w:rPr/>
        <w:t>Před analýzou byla zaznamenána očekávání, že ESRS zvýší podobnost struktury, že nejvyšší integrace se objeví u sektorově materiálních témat a že firemní reporty budou mít převážně pozitivní tón. Případová mema zachycují místa, kde se tato očekávání nepotvrdila.</w:t>
      </w:r>
    </w:p>
    <w:p>
      <w:pPr>
        <w:pStyle w:val="Heading3"/>
        <w:keepNext w:val="true"/>
        <w:widowControl/>
        <w:ind w:hanging="0"/>
        <w:rPr/>
      </w:pPr>
      <w:bookmarkStart w:id="53" w:name="__RefHeading___Toc2199_2077070603"/>
      <w:bookmarkEnd w:id="53"/>
      <w:r>
        <w:rPr/>
        <w:t>3.13.5 Verzování</w:t>
      </w:r>
    </w:p>
    <w:p>
      <w:pPr>
        <w:pStyle w:val="Normal"/>
        <w:widowControl/>
        <w:spacing w:lineRule="auto" w:line="360"/>
        <w:ind w:firstLine="709"/>
        <w:jc w:val="both"/>
        <w:rPr/>
      </w:pPr>
      <w:r>
        <w:rPr/>
        <w:t>Registr zdrojů, kódovací rámec, důkazní segmenty, případová mema a výsledková syntéza jsou verzovány. Klíčová tvrzení rukopisu jsou napojena na evidenční ledger. Reprodukovatelnost zde neznamená, že jiný výzkumník musí vytvořit stejná témata. Znamená, že může dohledat vstupy a věcně napadnout konkrétní interpretační krok.</w:t>
      </w:r>
    </w:p>
    <w:p>
      <w:pPr>
        <w:pStyle w:val="Heading2"/>
        <w:keepNext w:val="true"/>
        <w:widowControl/>
        <w:ind w:hanging="0"/>
        <w:rPr/>
      </w:pPr>
      <w:bookmarkStart w:id="54" w:name="__RefHeading___Toc2201_2077070603"/>
      <w:bookmarkEnd w:id="54"/>
      <w:r>
        <w:rPr/>
        <w:t>3.14 Etické aspekty</w:t>
      </w:r>
    </w:p>
    <w:p>
      <w:pPr>
        <w:pStyle w:val="Normal"/>
        <w:widowControl/>
        <w:spacing w:lineRule="auto" w:line="360"/>
        <w:ind w:firstLine="709"/>
        <w:jc w:val="both"/>
        <w:rPr/>
      </w:pPr>
      <w:r>
        <w:rPr/>
        <w:t>Výzkum používá veřejně dostupné dokumenty právnických osob. Neprovádí nábor respondentů, nezpracovává neveřejné osobní údaje a nezasahuje do činnosti podniků. Jména členů vedení nejsou pro výsledkovou argumentaci potřebná; analyzovány jsou funkce a governance mechanismy.</w:t>
      </w:r>
    </w:p>
    <w:p>
      <w:pPr>
        <w:pStyle w:val="Normal"/>
        <w:widowControl/>
        <w:spacing w:lineRule="auto" w:line="360"/>
        <w:ind w:firstLine="709"/>
        <w:jc w:val="both"/>
        <w:rPr/>
      </w:pPr>
      <w:r>
        <w:rPr/>
        <w:t>Přímé citace jsou používány omezeně a převládá přesná parafráze s lokátorem. Analýza se vyhýbá tvrzením o úmyslu. Z textu nelze určit, zda byla určitá formulace vytvořena s cílem manipulovat, splnit regulaci, koordinovat řízení nebo kombinovat více účelů. Práce proto hovoří o znacích symbolické a substantivní implementace, nikoli o prokázaném úmyslu greenwashingu.</w:t>
      </w:r>
    </w:p>
    <w:p>
      <w:pPr>
        <w:pStyle w:val="Heading2"/>
        <w:keepNext w:val="true"/>
        <w:widowControl/>
        <w:ind w:hanging="0"/>
        <w:rPr/>
      </w:pPr>
      <w:bookmarkStart w:id="55" w:name="__RefHeading___Toc2203_2077070603"/>
      <w:bookmarkEnd w:id="55"/>
      <w:r>
        <w:rPr/>
        <w:t>3.15 Limity výzkumného designu</w:t>
      </w:r>
    </w:p>
    <w:p>
      <w:pPr>
        <w:pStyle w:val="Normal"/>
        <w:widowControl/>
        <w:spacing w:lineRule="auto" w:line="360"/>
        <w:ind w:firstLine="709"/>
        <w:jc w:val="both"/>
        <w:rPr/>
      </w:pPr>
      <w:r>
        <w:rPr/>
        <w:t>Prvním omezením je sebeprezentační povaha zdrojů. Podnik rozhoduje, jaké informace zveřejní, jak stanoví hranice a jak vysvětlí výsledek. Absence informace neprokazuje absenci praxe.</w:t>
      </w:r>
    </w:p>
    <w:p>
      <w:pPr>
        <w:pStyle w:val="Normal"/>
        <w:widowControl/>
        <w:spacing w:lineRule="auto" w:line="360"/>
        <w:ind w:firstLine="709"/>
        <w:jc w:val="both"/>
        <w:rPr/>
      </w:pPr>
      <w:r>
        <w:rPr/>
        <w:t>Druhým omezením je nerovný rozsah dokumentů. Integrovaná zpráva ČEZ má jinou strukturu a detail než samostatný report O2 nebo online rozhraní Škoda Auto. Výzkum proto nesrovnává četnost kódů jako přímou míru kvality.</w:t>
      </w:r>
    </w:p>
    <w:p>
      <w:pPr>
        <w:pStyle w:val="Normal"/>
        <w:widowControl/>
        <w:spacing w:lineRule="auto" w:line="360"/>
        <w:ind w:firstLine="709"/>
        <w:jc w:val="both"/>
        <w:rPr/>
      </w:pPr>
      <w:r>
        <w:rPr/>
        <w:t>Třetím omezením je sektorová nesouměřitelnost. Jednotné kategorie rozhodovací vazby pomáhají srovnávat mechanismy, nikoli absolutní dopady.</w:t>
      </w:r>
    </w:p>
    <w:p>
      <w:pPr>
        <w:pStyle w:val="Normal"/>
        <w:widowControl/>
        <w:spacing w:lineRule="auto" w:line="360"/>
        <w:ind w:firstLine="709"/>
        <w:jc w:val="both"/>
        <w:rPr/>
      </w:pPr>
      <w:r>
        <w:rPr/>
        <w:t>Čtvrtým omezením jsou skupinové hranice. U ČEZ a Škoda Auto se část politik a dat vztahuje ke skupině, zatímco jiná k právnické osobě nebo vybraným závodům. Každý závěr je proto formulován podle zveřejněné hranice.</w:t>
      </w:r>
    </w:p>
    <w:p>
      <w:pPr>
        <w:pStyle w:val="Normal"/>
        <w:widowControl/>
        <w:spacing w:lineRule="auto" w:line="360"/>
        <w:ind w:firstLine="709"/>
        <w:jc w:val="both"/>
        <w:rPr/>
      </w:pPr>
      <w:r>
        <w:rPr/>
        <w:t>Pátým omezením je časový řez. Rok 2024 zachycuje počáteční fázi nového evropského reportovacího režimu. Neumožňuje určit, které systémy přetrvají po pozdějších legislativních změnách ani zda budou cíle dosaženy.</w:t>
      </w:r>
    </w:p>
    <w:p>
      <w:pPr>
        <w:pStyle w:val="Normal"/>
        <w:widowControl/>
        <w:spacing w:lineRule="auto" w:line="360"/>
        <w:ind w:firstLine="709"/>
        <w:jc w:val="both"/>
        <w:rPr/>
      </w:pPr>
      <w:r>
        <w:rPr/>
        <w:t>Šestým omezením je absence provozní triangulace. Výzkum neověřuje interní zápisy, smlouvy, investiční modely, zkušenost zaměstnanců, dodavatelů nebo komunit. E3 proto znamená zveřejněnou rozhodovací vazbu, nikoli nezávislé potvrzení každého rozhodnutí.</w:t>
      </w:r>
    </w:p>
    <w:p>
      <w:pPr>
        <w:pStyle w:val="Normal"/>
        <w:widowControl/>
        <w:spacing w:lineRule="auto" w:line="360"/>
        <w:ind w:firstLine="709"/>
        <w:jc w:val="both"/>
        <w:rPr/>
      </w:pPr>
      <w:r>
        <w:rPr/>
        <w:t>Sedmým omezením je jediný analytik. Kontrolní kódování, přesné lokátory a negativní případy zvyšují transparentnost, ale neodstraňují interpretační perspektivu autora.</w:t>
      </w:r>
    </w:p>
    <w:p>
      <w:pPr>
        <w:pStyle w:val="Heading2"/>
        <w:keepNext w:val="true"/>
        <w:widowControl/>
        <w:ind w:hanging="0"/>
        <w:rPr/>
      </w:pPr>
      <w:bookmarkStart w:id="56" w:name="__RefHeading___Toc2205_2077070603"/>
      <w:bookmarkEnd w:id="56"/>
      <w:r>
        <w:rPr/>
        <w:t>3.16 Kritérium analytické dostatečnosti</w:t>
      </w:r>
    </w:p>
    <w:p>
      <w:pPr>
        <w:pStyle w:val="Normal"/>
        <w:widowControl/>
        <w:spacing w:lineRule="auto" w:line="360"/>
        <w:ind w:firstLine="709"/>
        <w:jc w:val="both"/>
        <w:rPr/>
      </w:pPr>
      <w:r>
        <w:rPr/>
        <w:t>Analýza byla uzavřena, když byly splněny následující podmínky:</w:t>
      </w:r>
    </w:p>
    <w:p>
      <w:pPr>
        <w:pStyle w:val="ListBullet"/>
        <w:widowControl/>
        <w:numPr>
          <w:ilvl w:val="0"/>
          <w:numId w:val="1"/>
        </w:numPr>
        <w:spacing w:lineRule="auto" w:line="360" w:before="0" w:after="0"/>
        <w:ind w:hanging="142" w:start="425"/>
        <w:contextualSpacing/>
        <w:rPr/>
      </w:pPr>
      <w:r>
        <w:rPr/>
        <w:t>všechny čtyři případy měly dokončené případové memo;</w:t>
      </w:r>
    </w:p>
    <w:p>
      <w:pPr>
        <w:pStyle w:val="ListBullet"/>
        <w:widowControl/>
        <w:numPr>
          <w:ilvl w:val="0"/>
          <w:numId w:val="1"/>
        </w:numPr>
        <w:spacing w:lineRule="auto" w:line="360" w:before="0" w:after="0"/>
        <w:ind w:hanging="142" w:start="425"/>
        <w:contextualSpacing/>
        <w:rPr/>
      </w:pPr>
      <w:r>
        <w:rPr/>
        <w:t>každá výzkumná otázka měla podporující i omezující důkazy;</w:t>
      </w:r>
    </w:p>
    <w:p>
      <w:pPr>
        <w:pStyle w:val="ListBullet"/>
        <w:widowControl/>
        <w:numPr>
          <w:ilvl w:val="0"/>
          <w:numId w:val="1"/>
        </w:numPr>
        <w:spacing w:lineRule="auto" w:line="360" w:before="0" w:after="0"/>
        <w:ind w:hanging="142" w:start="425"/>
        <w:contextualSpacing/>
        <w:rPr/>
      </w:pPr>
      <w:r>
        <w:rPr/>
        <w:t>všechny položky E3 a E4 byly znovu ověřeny v originálu;</w:t>
      </w:r>
    </w:p>
    <w:p>
      <w:pPr>
        <w:pStyle w:val="ListBullet"/>
        <w:widowControl/>
        <w:numPr>
          <w:ilvl w:val="0"/>
          <w:numId w:val="1"/>
        </w:numPr>
        <w:spacing w:lineRule="auto" w:line="360" w:before="0" w:after="0"/>
        <w:ind w:hanging="142" w:start="425"/>
        <w:contextualSpacing/>
        <w:rPr/>
      </w:pPr>
      <w:r>
        <w:rPr/>
        <w:t>každé výsledkové téma obsahovalo mezipřípadový kontrast;</w:t>
      </w:r>
    </w:p>
    <w:p>
      <w:pPr>
        <w:pStyle w:val="ListBullet"/>
        <w:widowControl/>
        <w:numPr>
          <w:ilvl w:val="0"/>
          <w:numId w:val="1"/>
        </w:numPr>
        <w:spacing w:lineRule="auto" w:line="360" w:before="0" w:after="0"/>
        <w:ind w:hanging="142" w:start="425"/>
        <w:contextualSpacing/>
        <w:rPr/>
      </w:pPr>
      <w:r>
        <w:rPr/>
        <w:t>klíčová tvrzení byla napojena na evidenční matici;</w:t>
      </w:r>
    </w:p>
    <w:p>
      <w:pPr>
        <w:pStyle w:val="ListBullet"/>
        <w:widowControl/>
        <w:numPr>
          <w:ilvl w:val="0"/>
          <w:numId w:val="1"/>
        </w:numPr>
        <w:spacing w:lineRule="auto" w:line="360" w:before="0" w:after="0"/>
        <w:ind w:hanging="142" w:start="425"/>
        <w:contextualSpacing/>
        <w:rPr/>
      </w:pPr>
      <w:r>
        <w:rPr/>
        <w:t>syntetická data nebyla použita v empirické části;</w:t>
      </w:r>
    </w:p>
    <w:p>
      <w:pPr>
        <w:pStyle w:val="ListBullet"/>
        <w:widowControl/>
        <w:numPr>
          <w:ilvl w:val="0"/>
          <w:numId w:val="1"/>
        </w:numPr>
        <w:spacing w:lineRule="auto" w:line="360" w:before="0" w:after="0"/>
        <w:ind w:hanging="142" w:start="425"/>
        <w:contextualSpacing/>
        <w:rPr/>
      </w:pPr>
      <w:r>
        <w:rPr/>
        <w:t>další čtení nepřinášelo nový typ implementačního mechanismu relevantní k hlavní otázce, ale převážně další příklady již zachycených kategorií.</w:t>
      </w:r>
    </w:p>
    <w:p>
      <w:pPr>
        <w:pStyle w:val="Normal"/>
        <w:widowControl/>
        <w:spacing w:lineRule="auto" w:line="360"/>
        <w:ind w:firstLine="709"/>
        <w:jc w:val="both"/>
        <w:rPr/>
      </w:pPr>
      <w:r>
        <w:rPr/>
        <w:t>Takto definované uzavření není statistickou saturací. Jde o analytickou dostatečnost pro úzce vymezenou otázku a čtyři kontrastní případy.</w:t>
      </w:r>
    </w:p>
    <w:p>
      <w:pPr>
        <w:pStyle w:val="Normal"/>
        <w:rPr/>
      </w:pPr>
      <w:r>
        <w:rPr/>
      </w:r>
      <w:r>
        <w:br w:type="page"/>
      </w:r>
    </w:p>
    <w:p>
      <w:pPr>
        <w:pStyle w:val="Heading1"/>
        <w:keepNext w:val="true"/>
        <w:widowControl/>
        <w:spacing w:before="0" w:after="180"/>
        <w:ind w:hanging="0"/>
        <w:rPr/>
      </w:pPr>
      <w:bookmarkStart w:id="57" w:name="__RefHeading___Toc2207_2077070603"/>
      <w:bookmarkEnd w:id="57"/>
      <w:r>
        <w:rPr/>
        <w:t>4 Výsledky</w:t>
      </w:r>
    </w:p>
    <w:p>
      <w:pPr>
        <w:pStyle w:val="Heading2"/>
        <w:keepNext w:val="true"/>
        <w:widowControl/>
        <w:ind w:hanging="0"/>
        <w:rPr/>
      </w:pPr>
      <w:bookmarkStart w:id="58" w:name="__RefHeading___Toc2209_2077070603"/>
      <w:bookmarkEnd w:id="58"/>
      <w:r>
        <w:rPr/>
        <w:t>4.1 Charakteristika analytického korpusu</w:t>
      </w:r>
    </w:p>
    <w:p>
      <w:pPr>
        <w:pStyle w:val="Normal"/>
        <w:widowControl/>
        <w:spacing w:lineRule="auto" w:line="360"/>
        <w:ind w:firstLine="709"/>
        <w:jc w:val="both"/>
        <w:rPr/>
      </w:pPr>
      <w:r>
        <w:rPr/>
        <w:t>Výsledková kapitola vychází ze 45 klíčových důkazních segmentů získaných ze čtyř případů. Segmenty nebyly vybrány podle toho, zda organizaci představují pozitivně nebo negativně, ale podle relevance k výzkumným otázkám a schopnosti doložit odlišný mechanismus, kontrast nebo hranici interpretace. Každý segment obsahuje přesný lokátor, neutrální parafrázi, tematické kódy, evidenční třídu a omezení.</w:t>
      </w:r>
    </w:p>
    <w:p>
      <w:pPr>
        <w:pStyle w:val="Normal"/>
        <w:widowControl/>
        <w:spacing w:lineRule="auto" w:line="360"/>
        <w:ind w:firstLine="709"/>
        <w:jc w:val="both"/>
        <w:rPr/>
      </w:pPr>
      <w:r>
        <w:rPr/>
        <w:t>Rozložení segmentů podle evidenční třídy ukazuje, že většina analyzovaných tvrzení spadá do E2, tedy do kategorie formalizovaného procesu nebo řízeného výsledku. Osm segmentů dokládá přímou rozhodovací vazbu E3. Pouze jeden segment byl zařazen jako E4, a to nikoli jako důkaz celkové udržitelnosti podniku, ale jako externě podpořený výsledek přesně vymezeného výpočtu.</w:t>
      </w:r>
    </w:p>
    <w:p>
      <w:pPr>
        <w:pStyle w:val="CaptionThesis"/>
        <w:widowControl/>
        <w:rPr/>
      </w:pPr>
      <w:r>
        <w:rPr>
          <w:b/>
        </w:rPr>
        <w:t>Tabulka 4: Rozložení důkazních segmentů podle evidenční třídy</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1296"/>
        <w:gridCol w:w="1295"/>
        <w:gridCol w:w="1297"/>
        <w:gridCol w:w="1295"/>
        <w:gridCol w:w="1297"/>
        <w:gridCol w:w="1295"/>
        <w:gridCol w:w="1296"/>
      </w:tblGrid>
      <w:tr>
        <w:trPr>
          <w:tblHeader w:val="true"/>
          <w:cantSplit w:val="true"/>
        </w:trPr>
        <w:tc>
          <w:tcPr>
            <w:tcW w:w="1296"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Případ</w:t>
            </w:r>
          </w:p>
        </w:tc>
        <w:tc>
          <w:tcPr>
            <w:tcW w:w="129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E0</w:t>
            </w:r>
          </w:p>
        </w:tc>
        <w:tc>
          <w:tcPr>
            <w:tcW w:w="129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E1</w:t>
            </w:r>
          </w:p>
        </w:tc>
        <w:tc>
          <w:tcPr>
            <w:tcW w:w="129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E2</w:t>
            </w:r>
          </w:p>
        </w:tc>
        <w:tc>
          <w:tcPr>
            <w:tcW w:w="129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E3</w:t>
            </w:r>
          </w:p>
        </w:tc>
        <w:tc>
          <w:tcPr>
            <w:tcW w:w="1295"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E4</w:t>
            </w:r>
          </w:p>
        </w:tc>
        <w:tc>
          <w:tcPr>
            <w:tcW w:w="1296"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Celkem</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ČEZ Group</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8</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3</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11</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MONETA Money Bank</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3</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7</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12</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O2 Czech Republic</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4</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6</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11</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Škoda Auto</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6</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3</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0</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7"/>
                <w:szCs w:val="22"/>
                <w:lang w:val="en-US" w:eastAsia="en-US" w:bidi="ar-SA"/>
              </w:rPr>
              <w:t>11</w:t>
            </w:r>
          </w:p>
        </w:tc>
      </w:tr>
      <w:tr>
        <w:trPr>
          <w:cantSplit w:val="true"/>
        </w:trPr>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Celkem</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1</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8</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27</w:t>
            </w:r>
          </w:p>
        </w:tc>
        <w:tc>
          <w:tcPr>
            <w:tcW w:w="1297"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8</w:t>
            </w:r>
          </w:p>
        </w:tc>
        <w:tc>
          <w:tcPr>
            <w:tcW w:w="1295"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1</w:t>
            </w:r>
          </w:p>
        </w:tc>
        <w:tc>
          <w:tcPr>
            <w:tcW w:w="1296" w:type="dxa"/>
            <w:tcBorders/>
            <w:vAlign w:val="center"/>
          </w:tcPr>
          <w:p>
            <w:pPr>
              <w:pStyle w:val="Normal"/>
              <w:spacing w:lineRule="auto" w:line="240" w:before="0" w:after="0"/>
              <w:ind w:hanging="0"/>
              <w:jc w:val="start"/>
              <w:rPr>
                <w:rFonts w:cs=""/>
                <w:kern w:val="0"/>
                <w:szCs w:val="22"/>
                <w:lang w:val="en-US" w:eastAsia="en-US" w:bidi="ar-SA"/>
              </w:rPr>
            </w:pPr>
            <w:r>
              <w:rPr>
                <w:rFonts w:cs=""/>
                <w:b/>
                <w:kern w:val="0"/>
                <w:sz w:val="17"/>
                <w:szCs w:val="22"/>
                <w:lang w:val="en-US" w:eastAsia="en-US" w:bidi="ar-SA"/>
              </w:rPr>
              <w:t>45</w:t>
            </w:r>
          </w:p>
        </w:tc>
      </w:tr>
    </w:tbl>
    <w:p>
      <w:pPr>
        <w:pStyle w:val="Normal"/>
        <w:spacing w:before="0" w:after="40"/>
        <w:rPr/>
      </w:pPr>
      <w:r>
        <w:rPr/>
      </w:r>
    </w:p>
    <w:p>
      <w:pPr>
        <w:pStyle w:val="Normal"/>
        <w:widowControl/>
        <w:spacing w:lineRule="auto" w:line="360"/>
        <w:ind w:firstLine="709"/>
        <w:jc w:val="both"/>
        <w:rPr/>
      </w:pPr>
      <w:r>
        <w:rPr/>
        <w:t>Tabulka není žebříčkem firem. Výběr segmentů byl analytický a reporty mají rozdílný rozsah i účel. Počet E3 položek proto nelze interpretovat jako souhrnné hodnocení kvality ESG. Tabulka pouze ukazuje, jaké typy důkazů vstoupily do hlavní argumentace.</w:t>
      </w:r>
    </w:p>
    <w:p>
      <w:pPr>
        <w:pStyle w:val="Normal"/>
        <w:widowControl/>
        <w:spacing w:lineRule="auto" w:line="360"/>
        <w:ind w:firstLine="709"/>
        <w:jc w:val="both"/>
        <w:rPr/>
      </w:pPr>
      <w:r>
        <w:rPr/>
        <w:t>Mezipřípadová syntéza vytvořila pět témat:</w:t>
      </w:r>
    </w:p>
    <w:p>
      <w:pPr>
        <w:pStyle w:val="Normal"/>
        <w:widowControl/>
        <w:spacing w:lineRule="auto" w:line="360" w:before="0" w:after="0"/>
        <w:ind w:hanging="255" w:start="425"/>
        <w:jc w:val="both"/>
        <w:rPr/>
      </w:pPr>
      <w:r>
        <w:rPr/>
        <w:t>1. standardizovaná architektura reportingu zakrývá rozdílnou manažerskou hloubku;</w:t>
      </w:r>
    </w:p>
    <w:p>
      <w:pPr>
        <w:pStyle w:val="Normal"/>
        <w:widowControl/>
        <w:spacing w:lineRule="auto" w:line="360" w:before="0" w:after="0"/>
        <w:ind w:hanging="255" w:start="425"/>
        <w:jc w:val="both"/>
        <w:rPr/>
      </w:pPr>
      <w:r>
        <w:rPr/>
        <w:t>2. ESG se stává řídicí agendou tam, kde získá provozní nebo finanční kotvu;</w:t>
      </w:r>
    </w:p>
    <w:p>
      <w:pPr>
        <w:pStyle w:val="Normal"/>
        <w:widowControl/>
        <w:spacing w:lineRule="auto" w:line="360" w:before="0" w:after="0"/>
        <w:ind w:hanging="255" w:start="425"/>
        <w:jc w:val="both"/>
        <w:rPr/>
      </w:pPr>
      <w:r>
        <w:rPr/>
        <w:t>3. governance je nejlépe doložena vlastnictvím, kadencí a korektivním mechanismem;</w:t>
      </w:r>
    </w:p>
    <w:p>
      <w:pPr>
        <w:pStyle w:val="Normal"/>
        <w:widowControl/>
        <w:spacing w:lineRule="auto" w:line="360" w:before="0" w:after="0"/>
        <w:ind w:hanging="255" w:start="425"/>
        <w:jc w:val="both"/>
        <w:rPr/>
      </w:pPr>
      <w:r>
        <w:rPr/>
        <w:t>4. metriky častěji zachycují aktivity a provozní výsledky než ověřený širší dopad;</w:t>
      </w:r>
    </w:p>
    <w:p>
      <w:pPr>
        <w:pStyle w:val="Normal"/>
        <w:widowControl/>
        <w:spacing w:lineRule="auto" w:line="360" w:before="0" w:after="0"/>
        <w:ind w:hanging="255" w:start="425"/>
        <w:jc w:val="both"/>
        <w:rPr/>
      </w:pPr>
      <w:r>
        <w:rPr/>
        <w:t>5. přiznané napětí, revize a negativní informace zvyšují informační hodnotu reportu.</w:t>
      </w:r>
    </w:p>
    <w:p>
      <w:pPr>
        <w:pStyle w:val="Heading2"/>
        <w:keepNext w:val="true"/>
        <w:widowControl/>
        <w:ind w:hanging="0"/>
        <w:rPr/>
      </w:pPr>
      <w:bookmarkStart w:id="59" w:name="__RefHeading___Toc2211_2077070603"/>
      <w:bookmarkEnd w:id="59"/>
      <w:r>
        <w:rPr/>
        <w:t>4.2 Téma 1: Standardizovaná architektura reportingu zakrývá rozdílnou manažerskou hloubku</w:t>
      </w:r>
    </w:p>
    <w:p>
      <w:pPr>
        <w:pStyle w:val="Normal"/>
        <w:widowControl/>
        <w:spacing w:lineRule="auto" w:line="360"/>
        <w:ind w:firstLine="709"/>
        <w:jc w:val="both"/>
        <w:rPr/>
      </w:pPr>
      <w:r>
        <w:rPr/>
        <w:t>Všechny čtyři případy používají podobný základní jazyk: strategie, materialita, odpovědnost orgánů, cíle, metriky a vztah ke stakeholderům. Tato podobnost odpovídá reportovací architektuře ESRS a širšímu vývoji standardizovaného sustainability reportingu. Při bližším čtení se však ukazuje, že stejný název oddílu může označovat rozdílnou hloubku procesu.</w:t>
      </w:r>
    </w:p>
    <w:p>
      <w:pPr>
        <w:pStyle w:val="Heading3"/>
        <w:keepNext w:val="true"/>
        <w:widowControl/>
        <w:ind w:hanging="0"/>
        <w:rPr/>
      </w:pPr>
      <w:bookmarkStart w:id="60" w:name="__RefHeading___Toc2213_2077070603"/>
      <w:bookmarkEnd w:id="60"/>
      <w:r>
        <w:rPr/>
        <w:t>4.2.1 ČEZ: standardizace propojená s investiční strukturou</w:t>
      </w:r>
    </w:p>
    <w:p>
      <w:pPr>
        <w:pStyle w:val="Normal"/>
        <w:widowControl/>
        <w:spacing w:lineRule="auto" w:line="360"/>
        <w:ind w:firstLine="709"/>
        <w:jc w:val="both"/>
        <w:rPr/>
      </w:pPr>
      <w:r>
        <w:rPr/>
        <w:t>ČEZ umísťuje dekarbonizaci výrobního portfolia, zákaznická řešení a odpovědný rozvoj podle ESG principů mezi tři strategické priority VISION 2030 (ČEZ Group, 2025, s. 27). Toto tvrzení samo by odpovídalo především strategickému jazyku. Další části reportu však ukazují návaznost na governance, dvojí materialitu, přechodový plán a investiční rozhodování.</w:t>
      </w:r>
    </w:p>
    <w:p>
      <w:pPr>
        <w:pStyle w:val="Normal"/>
        <w:widowControl/>
        <w:spacing w:lineRule="auto" w:line="360"/>
        <w:ind w:firstLine="709"/>
        <w:jc w:val="both"/>
        <w:rPr/>
      </w:pPr>
      <w:r>
        <w:rPr/>
        <w:t>Zpráva popisuje člena představenstva v roli Chief Sustainability Officer, poradní výbor a pracovní strukturu pro koordinaci udržitelnosti (ČEZ Group, 2025, s. 414–415). Proces dvojí materiality kombinuje dopady s finančními riziky a příležitostmi a používá více interních i externích informačních zdrojů (ČEZ Group, 2025, s. 425–426). Nejsilnější vazbou je však schvalování přechodového plánu prostřednictvím podnikatelské koncepce a investičního plánu (ČEZ Group, 2025, s. 454). Standardizovaná architektura zde není pouze způsobem řazení kapitol; report deklaruje její propojení s dlouhodobou alokací kapitálu.</w:t>
      </w:r>
    </w:p>
    <w:p>
      <w:pPr>
        <w:pStyle w:val="Normal"/>
        <w:widowControl/>
        <w:spacing w:lineRule="auto" w:line="360"/>
        <w:ind w:firstLine="709"/>
        <w:jc w:val="both"/>
        <w:rPr/>
      </w:pPr>
      <w:r>
        <w:rPr/>
        <w:t>Ani tento případ však neprokazuje účinnost transformace. Zpráva obsahuje omezené ujištění, které zvyšuje důvěryhodnost vymezených informací, ale výslovně neposuzuje účinnost materialitního procesu ani budoucí úspěch strategie (ČEZ Group, 2025, s. 558–560).</w:t>
      </w:r>
    </w:p>
    <w:p>
      <w:pPr>
        <w:pStyle w:val="Heading3"/>
        <w:keepNext w:val="true"/>
        <w:widowControl/>
        <w:ind w:hanging="0"/>
        <w:rPr/>
      </w:pPr>
      <w:bookmarkStart w:id="61" w:name="__RefHeading___Toc2215_2077070603"/>
      <w:bookmarkEnd w:id="61"/>
      <w:r>
        <w:rPr/>
        <w:t>4.2.2 MONETA: povinná struktura a čtenářský překlad</w:t>
      </w:r>
    </w:p>
    <w:p>
      <w:pPr>
        <w:pStyle w:val="Normal"/>
        <w:widowControl/>
        <w:spacing w:lineRule="auto" w:line="360"/>
        <w:ind w:firstLine="709"/>
        <w:jc w:val="both"/>
        <w:rPr/>
      </w:pPr>
      <w:r>
        <w:rPr/>
        <w:t>MONETA vysvětluje, že požadavky CSRD přesunuly povinné nefinanční informace do výroční zprávy. Současně zachovala samostatný sustainability report určený pro širší a méně technicky orientované publikum (MONETA Money Bank, 2025, s. 1). V jednom případu tak existují dvě komunikační vrstvy: regulatorní zveřejnění a čtenářsky orientovaný výklad.</w:t>
      </w:r>
    </w:p>
    <w:p>
      <w:pPr>
        <w:pStyle w:val="Normal"/>
        <w:widowControl/>
        <w:spacing w:lineRule="auto" w:line="360"/>
        <w:ind w:firstLine="709"/>
        <w:jc w:val="both"/>
        <w:rPr/>
      </w:pPr>
      <w:r>
        <w:rPr/>
        <w:t>Dvojí materialita je popsána prostřednictvím datových zdrojů, stakeholderových konzultací, hodnotového řetězce, scoringu, prahů a validace managementem. Výsledkem je pět materiálních ESRS témat (MONETA Money Bank, 2025, s. 12–14). Report dále obsahuje souhrnnou tabulku cílů, jejich výchozí hodnoty a vývoj a podrobnou governance strukturu. Formální architektura je tedy spojena s relativně vysokou transparentností procesu.</w:t>
      </w:r>
    </w:p>
    <w:p>
      <w:pPr>
        <w:pStyle w:val="Normal"/>
        <w:widowControl/>
        <w:spacing w:lineRule="auto" w:line="360"/>
        <w:ind w:firstLine="709"/>
        <w:jc w:val="both"/>
        <w:rPr/>
      </w:pPr>
      <w:r>
        <w:rPr/>
        <w:t>Samostatný report však také ukazuje, že standardizace není neutrální. Management volí, které informace přeloží do stručnějšího dokumentu a jak je rámuje. CEO současně kritizuje nadměrnou reportovací zátěž a zdůrazňuje potřebu vyvažovat ESG ambici s konkurenceschopností (MONETA Money Bank, 2025, s. 2). Regulace zde vytváří společnou informační strukturu, ale podnik ji aktivně interpretuje a přizpůsobuje různým stakeholderům.</w:t>
      </w:r>
    </w:p>
    <w:p>
      <w:pPr>
        <w:pStyle w:val="Heading3"/>
        <w:keepNext w:val="true"/>
        <w:widowControl/>
        <w:ind w:hanging="0"/>
        <w:rPr/>
      </w:pPr>
      <w:bookmarkStart w:id="62" w:name="__RefHeading___Toc2217_2077070603"/>
      <w:bookmarkEnd w:id="62"/>
      <w:r>
        <w:rPr/>
        <w:t>4.2.3 O2: přechod mezi GRI a ESRS</w:t>
      </w:r>
    </w:p>
    <w:p>
      <w:pPr>
        <w:pStyle w:val="Normal"/>
        <w:widowControl/>
        <w:spacing w:lineRule="auto" w:line="360"/>
        <w:ind w:firstLine="709"/>
        <w:jc w:val="both"/>
        <w:rPr/>
      </w:pPr>
      <w:r>
        <w:rPr/>
        <w:t>O2 v reportu za rok 2024 kombinuje GRI strukturu s dvojí materialitou a přípravou na CSRD. Strategické cíle jsou podle dokumentu převedeny na KPI vyhodnocované čtvrtletně (O2 Czech Republic, 2025, s. 14–15). Současně však reorganizace vedla k tomu, že společnost přestala přebírat část závazků původní skupiny a připravovala vlastní cíle pro novou hranici podniku (O2 Czech Republic, 2025, s. 14).</w:t>
      </w:r>
    </w:p>
    <w:p>
      <w:pPr>
        <w:pStyle w:val="Normal"/>
        <w:widowControl/>
        <w:spacing w:lineRule="auto" w:line="360"/>
        <w:ind w:firstLine="709"/>
        <w:jc w:val="both"/>
        <w:rPr/>
      </w:pPr>
      <w:r>
        <w:rPr/>
        <w:t>Tato situace ukazuje, že formální přechod k nové architektuře může být časově nesynchronní. Materialitní analýza již pracuje s tématy ESRS, ale cíl, baseline a governance se v některých oblastech teprve přestavují. GRI index navíc uvádí, že v hodnoceném období nebyly vytvořeny ESG KPI pro hodnocení nejvyššího řídicího orgánu a podrobná governance struktura se připravovala (O2 Czech Republic, 2025, s. 81). Přítomnost strategie a výboru proto nelze bez dalšího číst jako plnou integraci do odpovědnosti představenstva.</w:t>
      </w:r>
    </w:p>
    <w:p>
      <w:pPr>
        <w:pStyle w:val="Heading3"/>
        <w:keepNext w:val="true"/>
        <w:widowControl/>
        <w:ind w:hanging="0"/>
        <w:rPr/>
      </w:pPr>
      <w:bookmarkStart w:id="63" w:name="__RefHeading___Toc2219_2077070603"/>
      <w:bookmarkEnd w:id="63"/>
      <w:r>
        <w:rPr/>
        <w:t>4.2.4 Škoda Auto: standardizace v prostředí nadnárodní skupiny</w:t>
      </w:r>
    </w:p>
    <w:p>
      <w:pPr>
        <w:pStyle w:val="Normal"/>
        <w:widowControl/>
        <w:spacing w:lineRule="auto" w:line="360"/>
        <w:ind w:firstLine="709"/>
        <w:jc w:val="both"/>
        <w:rPr/>
      </w:pPr>
      <w:r>
        <w:rPr/>
        <w:t>Škoda Auto označuje udržitelnost za jednu z priorit strategie Next Level Škoda Strategy 2030 a zveřejňuje cíle pro produkt, výrobu, management, integritu a dodavatelský řetězec (Škoda Auto, 2025a, sekce Sustainability Strategy). Online report má jasnou strukturu strategie, environment, social a governance a propojuje firemní cíle s širšími programy Volkswagen Group.</w:t>
      </w:r>
    </w:p>
    <w:p>
      <w:pPr>
        <w:pStyle w:val="Normal"/>
        <w:widowControl/>
        <w:spacing w:lineRule="auto" w:line="360"/>
        <w:ind w:firstLine="709"/>
        <w:jc w:val="both"/>
        <w:rPr/>
      </w:pPr>
      <w:r>
        <w:rPr/>
        <w:t>Skupinové zakotvení rozšiřuje dostupnou infrastrukturu, ale komplikuje atribuci. Některé politiky a kodexy jsou převzaty ze skupiny, zatímco metriky se vztahují k Škoda Auto, jejím závodům nebo jinak vymezenému reportovacímu celku. Formální přítomnost skupinového standardu proto neprokazuje, že mechanismus vznikl nebo je stejně uplatňován v české společnosti. Analýza musela u každého tvrzení zachovat hranici, kterou report sám uvádí.</w:t>
      </w:r>
    </w:p>
    <w:p>
      <w:pPr>
        <w:pStyle w:val="Heading3"/>
        <w:keepNext w:val="true"/>
        <w:widowControl/>
        <w:ind w:hanging="0"/>
        <w:rPr/>
      </w:pPr>
      <w:bookmarkStart w:id="64" w:name="__RefHeading___Toc2221_2077070603"/>
      <w:bookmarkEnd w:id="64"/>
      <w:r>
        <w:rPr/>
        <w:t>4.2.5 Mezipřípadový závěr</w:t>
      </w:r>
    </w:p>
    <w:p>
      <w:pPr>
        <w:pStyle w:val="Normal"/>
        <w:widowControl/>
        <w:spacing w:lineRule="auto" w:line="360"/>
        <w:ind w:firstLine="709"/>
        <w:jc w:val="both"/>
        <w:rPr/>
      </w:pPr>
      <w:r>
        <w:rPr/>
        <w:t>Společná reportovací architektura zvyšuje dohledatelnost. Ve všech případech bylo možné hledat materialitu, governance, cíle a metriky ve srovnatelných kategoriích. Rozdíl v manažerské hloubce však vznikl až při sledování vazeb mezi kategoriemi. ČEZ spojoval přechodový plán s investicemi, MONETA governance s pobídkami a metodikou portfolia, O2 procházelo přestavbou cílového a governance systému a Škoda Auto spojovala cíle s produktem, výrobou, CapEx a dodavatelským hodnocením.</w:t>
      </w:r>
    </w:p>
    <w:p>
      <w:pPr>
        <w:pStyle w:val="Normal"/>
        <w:widowControl/>
        <w:spacing w:lineRule="auto" w:line="360"/>
        <w:ind w:firstLine="709"/>
        <w:jc w:val="both"/>
        <w:rPr/>
      </w:pPr>
      <w:r>
        <w:rPr/>
        <w:t>Výsledky tedy podporují tvrzení, že standardizace vytváří společnou mapu, ale nikoli společný stupeň implementace.</w:t>
      </w:r>
    </w:p>
    <w:p>
      <w:pPr>
        <w:pStyle w:val="Heading2"/>
        <w:keepNext w:val="true"/>
        <w:widowControl/>
        <w:ind w:hanging="0"/>
        <w:rPr/>
      </w:pPr>
      <w:bookmarkStart w:id="65" w:name="__RefHeading___Toc2223_2077070603"/>
      <w:bookmarkEnd w:id="65"/>
      <w:r>
        <w:rPr/>
        <w:t>4.3 Téma 2: ESG se stává řídicí agendou tam, kde získá provozní nebo finanční kotvu</w:t>
      </w:r>
    </w:p>
    <w:p>
      <w:pPr>
        <w:pStyle w:val="Normal"/>
        <w:widowControl/>
        <w:spacing w:lineRule="auto" w:line="360"/>
        <w:ind w:firstLine="709"/>
        <w:jc w:val="both"/>
        <w:rPr/>
      </w:pPr>
      <w:r>
        <w:rPr/>
        <w:t>Druhým tématem je převod udržitelnosti do mechanismu, který je relevantní pro hlavní podnikatelský model. Nejsilnější důkazy E3 se neobjevovaly u obecných strategií, ale u vazeb na kapitál, riziko, produkt, nákup, pobídky nebo provoz.</w:t>
      </w:r>
    </w:p>
    <w:p>
      <w:pPr>
        <w:pStyle w:val="Heading3"/>
        <w:keepNext w:val="true"/>
        <w:widowControl/>
        <w:ind w:hanging="0"/>
        <w:rPr/>
      </w:pPr>
      <w:bookmarkStart w:id="66" w:name="__RefHeading___Toc2225_2077070603"/>
      <w:bookmarkEnd w:id="66"/>
      <w:r>
        <w:rPr/>
        <w:t>4.3.1 ČEZ: investiční plán jako kotva transformace</w:t>
      </w:r>
    </w:p>
    <w:p>
      <w:pPr>
        <w:pStyle w:val="Normal"/>
        <w:widowControl/>
        <w:spacing w:lineRule="auto" w:line="360"/>
        <w:ind w:firstLine="709"/>
        <w:jc w:val="both"/>
        <w:rPr/>
      </w:pPr>
      <w:r>
        <w:rPr/>
        <w:t>U ČEZ je hlavní kotvou kapitálové rozhodování. Přechodový plán je podle reportu součástí schvalování podnikatelské koncepce a podnikatelského a investičního plánu (ČEZ Group, 2025, s. 454). Plán na roky 2025–2030 se soustředí na oblasti, u nichž skupina očekává přibližně 75% taxonomickou sladěnost, zejména v obnovitelných zdrojích a související infrastruktuře (ČEZ Group, 2025, s. 529).</w:t>
      </w:r>
    </w:p>
    <w:p>
      <w:pPr>
        <w:pStyle w:val="Normal"/>
        <w:widowControl/>
        <w:spacing w:lineRule="auto" w:line="360"/>
        <w:ind w:firstLine="709"/>
        <w:jc w:val="both"/>
        <w:rPr/>
      </w:pPr>
      <w:r>
        <w:rPr/>
        <w:t>Tyto informace neprokazují, že budoucí investice dosáhnou plánovaného dopadu. Dokládají však, že klimatická a taxonomická informace má formální místo v kapitálovém plánování. V kapitálově náročném sektoru jde o silnější znak integrace než samotný počet projektů nebo obecný závazek ke klimatické neutralitě.</w:t>
      </w:r>
    </w:p>
    <w:p>
      <w:pPr>
        <w:pStyle w:val="Heading3"/>
        <w:keepNext w:val="true"/>
        <w:widowControl/>
        <w:ind w:hanging="0"/>
        <w:rPr/>
      </w:pPr>
      <w:bookmarkStart w:id="67" w:name="__RefHeading___Toc2227_2077070603"/>
      <w:bookmarkEnd w:id="67"/>
      <w:r>
        <w:rPr/>
        <w:t>4.3.2 MONETA: pobídky, riziko a financované portfolio</w:t>
      </w:r>
    </w:p>
    <w:p>
      <w:pPr>
        <w:pStyle w:val="Normal"/>
        <w:widowControl/>
        <w:spacing w:lineRule="auto" w:line="360"/>
        <w:ind w:firstLine="709"/>
        <w:jc w:val="both"/>
        <w:rPr/>
      </w:pPr>
      <w:r>
        <w:rPr/>
        <w:t>U banky má ESG odlišnou kotvu. Provozní emise budov a vozového parku jsou měřitelné, ale nejvýznamnější klimatická oblast vzniká prostřednictvím financování. MONETA rozvíjí metodiku financovaných emisí a postupně rozšiřuje její pokrytí o další segmenty portfolia (MONETA Money Bank, 2025, s. 21–24). Metodika komerčního portfolia byla podle reportu ověřena s přiměřeným ujištěním.</w:t>
      </w:r>
    </w:p>
    <w:p>
      <w:pPr>
        <w:pStyle w:val="Normal"/>
        <w:widowControl/>
        <w:spacing w:lineRule="auto" w:line="360"/>
        <w:ind w:firstLine="709"/>
        <w:jc w:val="both"/>
        <w:rPr/>
      </w:pPr>
      <w:r>
        <w:rPr/>
        <w:t>Druhým silným mechanismem je odměňování. ESG KPI materiálně ovlivňují variabilní odměnu odpovědných členů představenstva a material risk takers; kvalitativní část cílů má souhrnnou váhu 30 % (MONETA Money Bank, 2025, s. 18–19). Nejde o důkaz dosažení environmentálního výsledku, ale o přímé začlenění tématu do pobídkové struktury.</w:t>
      </w:r>
    </w:p>
    <w:p>
      <w:pPr>
        <w:pStyle w:val="Normal"/>
        <w:widowControl/>
        <w:spacing w:lineRule="auto" w:line="360"/>
        <w:ind w:firstLine="709"/>
        <w:jc w:val="both"/>
        <w:rPr/>
      </w:pPr>
      <w:r>
        <w:rPr/>
        <w:t>Případ současně ukazuje mezeru mezi měřením a řízeným výsledkem. Banka přiznává, že pro financované emise — největší část svého klimatického otisku — zatím nestanovila měřitelný outcome cíl (MONETA Money Bank, 2025, s. 20). Může tedy existovat pokročilá governance, metodika a pobídka, aniž je nejmateriálnější oblast převedena do výsledkového cíle.</w:t>
      </w:r>
    </w:p>
    <w:p>
      <w:pPr>
        <w:pStyle w:val="Heading3"/>
        <w:keepNext w:val="true"/>
        <w:widowControl/>
        <w:ind w:hanging="0"/>
        <w:rPr/>
      </w:pPr>
      <w:bookmarkStart w:id="68" w:name="__RefHeading___Toc2229_2077070603"/>
      <w:bookmarkEnd w:id="68"/>
      <w:r>
        <w:rPr/>
        <w:t>4.3.3 O2: energetická účinnost digitální infrastruktury</w:t>
      </w:r>
    </w:p>
    <w:p>
      <w:pPr>
        <w:pStyle w:val="Normal"/>
        <w:widowControl/>
        <w:spacing w:lineRule="auto" w:line="360"/>
        <w:ind w:firstLine="709"/>
        <w:jc w:val="both"/>
        <w:rPr/>
      </w:pPr>
      <w:r>
        <w:rPr/>
        <w:t>U O2 se rozhodovací vazba objevuje především v provozu infrastruktury. Report propojuje sledování spotřeby energie s plánovanou obnovou serverů a datových center a uvádí energetickou účinnost mezi kritérii technických opatření (O2 Czech Republic, 2025, s. 23–25). Tento segment byl klasifikován E3, protože energie není pouze reportovanou hodnotou, ale deklarovaně vstupuje do provozního rozhodnutí.</w:t>
      </w:r>
    </w:p>
    <w:p>
      <w:pPr>
        <w:pStyle w:val="Normal"/>
        <w:widowControl/>
        <w:spacing w:lineRule="auto" w:line="360"/>
        <w:ind w:firstLine="709"/>
        <w:jc w:val="both"/>
        <w:rPr/>
      </w:pPr>
      <w:r>
        <w:rPr/>
        <w:t>Další oblasti mají zatím nižší sílu důkazu. Zapojení dvou set hlavních dodavatelů do sustainable procurement programu je konkrétní aktivitou, ale dokument v citovaném místě nedokládá změnu výkonu dodavatelů ani důsledek pro nákup (O2 Czech Republic, 2025, s. 3 a 5). Podobně počet proškolených zaměstnanců ukazuje rozsah zavedení tématu, nikoli změnu rozhodování.</w:t>
      </w:r>
    </w:p>
    <w:p>
      <w:pPr>
        <w:pStyle w:val="Heading3"/>
        <w:keepNext w:val="true"/>
        <w:widowControl/>
        <w:ind w:hanging="0"/>
        <w:rPr/>
      </w:pPr>
      <w:bookmarkStart w:id="69" w:name="__RefHeading___Toc2231_2077070603"/>
      <w:bookmarkEnd w:id="69"/>
      <w:r>
        <w:rPr/>
        <w:t>4.3.4 Škoda Auto: produkt, výroba, CapEx a dodavatelský řetězec</w:t>
      </w:r>
    </w:p>
    <w:p>
      <w:pPr>
        <w:pStyle w:val="Normal"/>
        <w:widowControl/>
        <w:spacing w:lineRule="auto" w:line="360"/>
        <w:ind w:firstLine="709"/>
        <w:jc w:val="both"/>
        <w:rPr/>
      </w:pPr>
      <w:r>
        <w:rPr/>
        <w:t>Škoda Auto nabízí více paralelních kotev. GreenProduct pracuje s celým životním cyklem vozidla od výroby vlastních a dodavatelských komponent přes užívání až po konec životnosti. GreenFactory používá kontrolní ukazatele energie, emisí, odpadu, vody a těkavých organických látek v závodech (Škoda Auto, 2025b, sekce Environment).</w:t>
      </w:r>
    </w:p>
    <w:p>
      <w:pPr>
        <w:pStyle w:val="Normal"/>
        <w:widowControl/>
        <w:spacing w:lineRule="auto" w:line="360"/>
        <w:ind w:firstLine="709"/>
        <w:jc w:val="both"/>
        <w:rPr/>
      </w:pPr>
      <w:r>
        <w:rPr/>
        <w:t>V investiční rovině podnik uvádí 71 % taxonomicky sladěného CapEx za rok 2024, zatímco sladěný podíl tržeb činí 18 % a OpEx 35 % (Škoda Auto, 2025a, sekce EU Taxonomy at Škoda Auto 2024). Rozdíl mezi tržbami a CapEx je analyticky podstatný: investiční tok může signalizovat budoucí změnu portfolia dříve než současné výnosy. Nejde však o automatický důkaz výsledného dopadu.</w:t>
      </w:r>
    </w:p>
    <w:p>
      <w:pPr>
        <w:pStyle w:val="Normal"/>
        <w:widowControl/>
        <w:spacing w:lineRule="auto" w:line="360"/>
        <w:ind w:firstLine="709"/>
        <w:jc w:val="both"/>
        <w:rPr/>
      </w:pPr>
      <w:r>
        <w:rPr/>
        <w:t>Dodavatelský cíl usiluje do roku 2030 o 90% podíl obratu s dodavateli, kteří mají nejvyšší sustainability A-rating (Škoda Auto, 2025a, sekce Goals 2025–2030). Kritérium je tak propojeno s ekonomickou významností dodavatelů. Plná síla mechanismu by vyžadovala detailní znalost ratingové metodiky a důsledků neplnění, které online souhrn poskytuje pouze částečně.</w:t>
      </w:r>
    </w:p>
    <w:p>
      <w:pPr>
        <w:pStyle w:val="Heading3"/>
        <w:keepNext w:val="true"/>
        <w:widowControl/>
        <w:ind w:hanging="0"/>
        <w:rPr/>
      </w:pPr>
      <w:bookmarkStart w:id="70" w:name="__RefHeading___Toc2233_2077070603"/>
      <w:bookmarkEnd w:id="70"/>
      <w:r>
        <w:rPr/>
        <w:t>4.3.5 Mezipřípadový závěr</w:t>
      </w:r>
    </w:p>
    <w:p>
      <w:pPr>
        <w:pStyle w:val="Normal"/>
        <w:widowControl/>
        <w:spacing w:lineRule="auto" w:line="360"/>
        <w:ind w:firstLine="709"/>
        <w:jc w:val="both"/>
        <w:rPr/>
      </w:pPr>
      <w:r>
        <w:rPr/>
        <w:t>Provozní nebo finanční kotva je sektorově odlišná, její logika je však společná. ESG se stává manažerskou agendou tehdy, když může ovlivnit rozhodnutí, které je již pro podnik významné:</w:t>
      </w:r>
    </w:p>
    <w:p>
      <w:pPr>
        <w:pStyle w:val="ListBullet"/>
        <w:widowControl/>
        <w:numPr>
          <w:ilvl w:val="0"/>
          <w:numId w:val="1"/>
        </w:numPr>
        <w:spacing w:lineRule="auto" w:line="360" w:before="0" w:after="0"/>
        <w:ind w:hanging="142" w:start="425"/>
        <w:contextualSpacing/>
        <w:rPr/>
      </w:pPr>
      <w:r>
        <w:rPr/>
        <w:t>výrobní portfolio a CapEx u energetiky;</w:t>
      </w:r>
    </w:p>
    <w:p>
      <w:pPr>
        <w:pStyle w:val="ListBullet"/>
        <w:widowControl/>
        <w:numPr>
          <w:ilvl w:val="0"/>
          <w:numId w:val="1"/>
        </w:numPr>
        <w:spacing w:lineRule="auto" w:line="360" w:before="0" w:after="0"/>
        <w:ind w:hanging="142" w:start="425"/>
        <w:contextualSpacing/>
        <w:rPr/>
      </w:pPr>
      <w:r>
        <w:rPr/>
        <w:t>úvěrové portfolio, riziko a odměňování u banky;</w:t>
      </w:r>
    </w:p>
    <w:p>
      <w:pPr>
        <w:pStyle w:val="ListBullet"/>
        <w:widowControl/>
        <w:numPr>
          <w:ilvl w:val="0"/>
          <w:numId w:val="1"/>
        </w:numPr>
        <w:spacing w:lineRule="auto" w:line="360" w:before="0" w:after="0"/>
        <w:ind w:hanging="142" w:start="425"/>
        <w:contextualSpacing/>
        <w:rPr/>
      </w:pPr>
      <w:r>
        <w:rPr/>
        <w:t>technologie infrastruktury a bezpečnost u telekomunikací;</w:t>
      </w:r>
    </w:p>
    <w:p>
      <w:pPr>
        <w:pStyle w:val="ListBullet"/>
        <w:widowControl/>
        <w:numPr>
          <w:ilvl w:val="0"/>
          <w:numId w:val="1"/>
        </w:numPr>
        <w:spacing w:lineRule="auto" w:line="360" w:before="0" w:after="0"/>
        <w:ind w:hanging="142" w:start="425"/>
        <w:contextualSpacing/>
        <w:rPr/>
      </w:pPr>
      <w:r>
        <w:rPr/>
        <w:t>produkt, závod, CapEx a dodavatel u automobilového průmyslu.</w:t>
      </w:r>
    </w:p>
    <w:p>
      <w:pPr>
        <w:pStyle w:val="Normal"/>
        <w:widowControl/>
        <w:spacing w:lineRule="auto" w:line="360"/>
        <w:ind w:firstLine="709"/>
        <w:jc w:val="both"/>
        <w:rPr/>
      </w:pPr>
      <w:r>
        <w:rPr/>
        <w:t>Tento výsledek zpřesňuje rozlišení mezi formalizací a integrací. Vlastník, výbor a KPI vytvářejí infrastrukturu. Rozhodovací kotva ukazuje, že informace může mít organizační důsledek.</w:t>
      </w:r>
    </w:p>
    <w:p>
      <w:pPr>
        <w:pStyle w:val="Heading2"/>
        <w:keepNext w:val="true"/>
        <w:widowControl/>
        <w:ind w:hanging="0"/>
        <w:rPr/>
      </w:pPr>
      <w:bookmarkStart w:id="71" w:name="__RefHeading___Toc2235_2077070603"/>
      <w:bookmarkEnd w:id="71"/>
      <w:r>
        <w:rPr/>
        <w:t>4.4 Téma 3: Governance je nejlépe doložena vlastnictvím, kadencí a korektivním mechanismem</w:t>
      </w:r>
    </w:p>
    <w:p>
      <w:pPr>
        <w:pStyle w:val="Normal"/>
        <w:widowControl/>
        <w:spacing w:lineRule="auto" w:line="360"/>
        <w:ind w:firstLine="709"/>
        <w:jc w:val="both"/>
        <w:rPr/>
      </w:pPr>
      <w:r>
        <w:rPr/>
        <w:t>Všechny reporty obsahují governance informace, jejich evidenční síla se však liší. Samotná existence výboru byla hodnocena jako slabší doklad než kombinace odpovědného orgánu, pravidelné kadence, kontroly a možnosti zasáhnout do cíle nebo rozhodnutí.</w:t>
      </w:r>
    </w:p>
    <w:p>
      <w:pPr>
        <w:pStyle w:val="Heading3"/>
        <w:keepNext w:val="true"/>
        <w:widowControl/>
        <w:ind w:hanging="0"/>
        <w:rPr/>
      </w:pPr>
      <w:bookmarkStart w:id="72" w:name="__RefHeading___Toc2237_2077070603"/>
      <w:bookmarkEnd w:id="72"/>
      <w:r>
        <w:rPr/>
        <w:t>4.4.1 ČEZ: vlastnictví na úrovni představenstva a pobídková vazba</w:t>
      </w:r>
    </w:p>
    <w:p>
      <w:pPr>
        <w:pStyle w:val="Normal"/>
        <w:widowControl/>
        <w:spacing w:lineRule="auto" w:line="360"/>
        <w:ind w:firstLine="709"/>
        <w:jc w:val="both"/>
        <w:rPr/>
      </w:pPr>
      <w:r>
        <w:rPr/>
        <w:t>ČEZ přiděluje sustainability agendu členovi představenstva v roli Chief Sustainability Officer a popisuje poradní i pracovní strukturu (ČEZ Group, 2025, s. 414–415). Do ročního hodnocení variabilní odměny členů představenstva vstupuje společný úkol rozvoje ESG (ČEZ Group, 2025, s. 415). Kombinace vlastníka a pobídky představuje přímou governance vazbu.</w:t>
      </w:r>
    </w:p>
    <w:p>
      <w:pPr>
        <w:pStyle w:val="Normal"/>
        <w:widowControl/>
        <w:spacing w:lineRule="auto" w:line="360"/>
        <w:ind w:firstLine="709"/>
        <w:jc w:val="both"/>
        <w:rPr/>
      </w:pPr>
      <w:r>
        <w:rPr/>
        <w:t>Veřejný text však neuvádí úplnou váhu úkolu ani konkrétní situaci, kdy nesplnění změnilo odměnu. Výsledek proto není interpretován jako důkaz účinnosti, ale jako zveřejněný mechanismus odpovědnosti.</w:t>
      </w:r>
    </w:p>
    <w:p>
      <w:pPr>
        <w:pStyle w:val="Heading3"/>
        <w:keepNext w:val="true"/>
        <w:widowControl/>
        <w:ind w:hanging="0"/>
        <w:rPr/>
      </w:pPr>
      <w:bookmarkStart w:id="73" w:name="__RefHeading___Toc2239_2077070603"/>
      <w:bookmarkEnd w:id="73"/>
      <w:r>
        <w:rPr/>
        <w:t>4.4.2 MONETA: nejúplnější kombinace kadence, autority a kontroly</w:t>
      </w:r>
    </w:p>
    <w:p>
      <w:pPr>
        <w:pStyle w:val="Normal"/>
        <w:widowControl/>
        <w:spacing w:lineRule="auto" w:line="360"/>
        <w:ind w:firstLine="709"/>
        <w:jc w:val="both"/>
        <w:rPr/>
      </w:pPr>
      <w:r>
        <w:rPr/>
        <w:t>MONETA uvádí Sustainability Committee vedený CEO, v němž působí pět členů představenstva. Výbor se schází čtvrtletně, sleduje cíle a může iniciovat korektivní opatření. Riziková a compliance funkce vytvářejí další kontrolní vrstvy (MONETA Money Bank, 2025, s. 52–55). Report současně propojuje ESG KPI s variabilní odměnou (MONETA Money Bank, 2025, s. 18–19).</w:t>
      </w:r>
    </w:p>
    <w:p>
      <w:pPr>
        <w:pStyle w:val="Normal"/>
        <w:widowControl/>
        <w:spacing w:lineRule="auto" w:line="360"/>
        <w:ind w:firstLine="709"/>
        <w:jc w:val="both"/>
        <w:rPr/>
      </w:pPr>
      <w:r>
        <w:rPr/>
        <w:t>V rámci analyzovaného korpusu jde o nejúplnější veřejný popis governance mechanismu: je identifikován orgán, složení, kadence, předmět kontroly i možnost korekce. Chybí však zápisy, příklady zamítnutého projektu nebo změny rozhodnutí. Dokument proto dokládá design governance, nikoli jeho provozní účinnost.</w:t>
      </w:r>
    </w:p>
    <w:p>
      <w:pPr>
        <w:pStyle w:val="Heading3"/>
        <w:keepNext w:val="true"/>
        <w:widowControl/>
        <w:ind w:hanging="0"/>
        <w:rPr/>
      </w:pPr>
      <w:bookmarkStart w:id="74" w:name="__RefHeading___Toc2241_2077070603"/>
      <w:bookmarkEnd w:id="74"/>
      <w:r>
        <w:rPr/>
        <w:t>4.4.3 O2: dohled existuje, hodnocení nejvyššího orgánu bylo neúplné</w:t>
      </w:r>
    </w:p>
    <w:p>
      <w:pPr>
        <w:pStyle w:val="Normal"/>
        <w:widowControl/>
        <w:spacing w:lineRule="auto" w:line="360"/>
        <w:ind w:firstLine="709"/>
        <w:jc w:val="both"/>
        <w:rPr/>
      </w:pPr>
      <w:r>
        <w:rPr/>
        <w:t>O2 předkládá představenstvu status implementace ESG nejméně dvakrát ročně. ESG Committee propojuje exekutivní, bezpečnostní, interně auditní a ESG funkce a má zajišťovat dohled a due diligence (O2 Czech Republic, 2025, s. 65). Tato struktura ukazuje průřezové vlastnictví a pravidelný tok informací.</w:t>
      </w:r>
    </w:p>
    <w:p>
      <w:pPr>
        <w:pStyle w:val="Normal"/>
        <w:widowControl/>
        <w:spacing w:lineRule="auto" w:line="360"/>
        <w:ind w:firstLine="709"/>
        <w:jc w:val="both"/>
        <w:rPr/>
      </w:pPr>
      <w:r>
        <w:rPr/>
        <w:t>Negativní případ se objevuje v GRI indexu. Pro hodnocení nejvyššího řídicího orgánu nebyly ve sledovaném období stanoveny ESG KPI a detailnější governance systém se připravoval (O2 Czech Republic, 2025, s. 81). Report tak sám omezuje interpretaci formálního výboru jako plně integrované odpovědnosti.</w:t>
      </w:r>
    </w:p>
    <w:p>
      <w:pPr>
        <w:pStyle w:val="Heading3"/>
        <w:keepNext w:val="true"/>
        <w:widowControl/>
        <w:ind w:hanging="0"/>
        <w:rPr/>
      </w:pPr>
      <w:bookmarkStart w:id="75" w:name="__RefHeading___Toc2243_2077070603"/>
      <w:bookmarkEnd w:id="75"/>
      <w:r>
        <w:rPr/>
        <w:t>4.4.4 Škoda Auto: interní role doplněné externí expertizou a odbory</w:t>
      </w:r>
    </w:p>
    <w:p>
      <w:pPr>
        <w:pStyle w:val="Normal"/>
        <w:widowControl/>
        <w:spacing w:lineRule="auto" w:line="360"/>
        <w:ind w:firstLine="709"/>
        <w:jc w:val="both"/>
        <w:rPr/>
      </w:pPr>
      <w:r>
        <w:rPr/>
        <w:t>Škoda Auto popisuje governance model s definovanými rolemi a odpovědnostmi. External Sustainability Council se v roce 2024 setkal s představenstvem a diskutoval témata transformace, biodiverzity a makroekonomických rizik (Škoda Auto, 2025a, sekce Corporate Governance of Sustainability). Sociální strategie je pravidelně vyhodnocována a projednávána s odbory KOVO (Škoda Auto, 2025c, sekce Strategy).</w:t>
      </w:r>
    </w:p>
    <w:p>
      <w:pPr>
        <w:pStyle w:val="Normal"/>
        <w:widowControl/>
        <w:spacing w:lineRule="auto" w:line="360"/>
        <w:ind w:firstLine="709"/>
        <w:jc w:val="both"/>
        <w:rPr/>
      </w:pPr>
      <w:r>
        <w:rPr/>
        <w:t>Tyto informace dokládají přístup expertizy a zaměstnaneckého zastoupení k řídicím strukturám. Nezveřejňují však konkrétní rozhodnutí, které bylo na základě rady nebo odborové diskuse změněno. Governance je proto hodnocena jako formalizovaný vstup a kadence E2.</w:t>
      </w:r>
    </w:p>
    <w:p>
      <w:pPr>
        <w:pStyle w:val="Heading3"/>
        <w:keepNext w:val="true"/>
        <w:widowControl/>
        <w:ind w:hanging="0"/>
        <w:rPr/>
      </w:pPr>
      <w:bookmarkStart w:id="76" w:name="__RefHeading___Toc2245_2077070603"/>
      <w:bookmarkEnd w:id="76"/>
      <w:r>
        <w:rPr/>
        <w:t>4.4.5 Mezipřípadový závěr</w:t>
      </w:r>
    </w:p>
    <w:p>
      <w:pPr>
        <w:pStyle w:val="Normal"/>
        <w:widowControl/>
        <w:spacing w:lineRule="auto" w:line="360"/>
        <w:ind w:firstLine="709"/>
        <w:jc w:val="both"/>
        <w:rPr/>
      </w:pPr>
      <w:r>
        <w:rPr/>
        <w:t>Téma governance vede k následujícímu pořadí analytických otázek:</w:t>
      </w:r>
    </w:p>
    <w:p>
      <w:pPr>
        <w:pStyle w:val="Normal"/>
        <w:widowControl/>
        <w:spacing w:lineRule="auto" w:line="360" w:before="0" w:after="0"/>
        <w:ind w:hanging="255" w:start="425"/>
        <w:jc w:val="both"/>
        <w:rPr/>
      </w:pPr>
      <w:r>
        <w:rPr/>
        <w:t>1. Kdo má formální odpovědnost?</w:t>
      </w:r>
    </w:p>
    <w:p>
      <w:pPr>
        <w:pStyle w:val="Normal"/>
        <w:widowControl/>
        <w:spacing w:lineRule="auto" w:line="360" w:before="0" w:after="0"/>
        <w:ind w:hanging="255" w:start="425"/>
        <w:jc w:val="both"/>
        <w:rPr/>
      </w:pPr>
      <w:r>
        <w:rPr/>
        <w:t>2. Jak často dostává informace?</w:t>
      </w:r>
    </w:p>
    <w:p>
      <w:pPr>
        <w:pStyle w:val="Normal"/>
        <w:widowControl/>
        <w:spacing w:lineRule="auto" w:line="360" w:before="0" w:after="0"/>
        <w:ind w:hanging="255" w:start="425"/>
        <w:jc w:val="both"/>
        <w:rPr/>
      </w:pPr>
      <w:r>
        <w:rPr/>
        <w:t>3. Jaké metriky nebo rizika posuzuje?</w:t>
      </w:r>
    </w:p>
    <w:p>
      <w:pPr>
        <w:pStyle w:val="Normal"/>
        <w:widowControl/>
        <w:spacing w:lineRule="auto" w:line="360" w:before="0" w:after="0"/>
        <w:ind w:hanging="255" w:start="425"/>
        <w:jc w:val="both"/>
        <w:rPr/>
      </w:pPr>
      <w:r>
        <w:rPr/>
        <w:t>4. Může zahájit korekci, zastavit projekt nebo změnit zdroje?</w:t>
      </w:r>
    </w:p>
    <w:p>
      <w:pPr>
        <w:pStyle w:val="Normal"/>
        <w:widowControl/>
        <w:spacing w:lineRule="auto" w:line="360" w:before="0" w:after="0"/>
        <w:ind w:hanging="255" w:start="425"/>
        <w:jc w:val="both"/>
        <w:rPr/>
      </w:pPr>
      <w:r>
        <w:rPr/>
        <w:t>5. Je výsledek spojen s odměnou nebo jiným důsledkem?</w:t>
      </w:r>
    </w:p>
    <w:p>
      <w:pPr>
        <w:pStyle w:val="Normal"/>
        <w:widowControl/>
        <w:spacing w:lineRule="auto" w:line="360" w:before="0" w:after="0"/>
        <w:ind w:hanging="255" w:start="425"/>
        <w:jc w:val="both"/>
        <w:rPr/>
      </w:pPr>
      <w:r>
        <w:rPr/>
        <w:t>6. Je zveřejněn příklad skutečně změněného rozhodnutí?</w:t>
      </w:r>
    </w:p>
    <w:p>
      <w:pPr>
        <w:pStyle w:val="Normal"/>
        <w:widowControl/>
        <w:spacing w:lineRule="auto" w:line="360"/>
        <w:ind w:firstLine="709"/>
        <w:jc w:val="both"/>
        <w:rPr/>
      </w:pPr>
      <w:r>
        <w:rPr/>
        <w:t>Reporty relativně dobře odpovídají na první tři otázky. Částečně odpovídají na čtvrtou a pátou. Šestá zůstává převážně mimo veřejný korpus. Název výboru je tedy nejslabším governance znakem; silnější je kadence a autorita, nejsilnější veřejný doklad představuje spojení s pobídkou nebo rozhodnutím.</w:t>
      </w:r>
    </w:p>
    <w:p>
      <w:pPr>
        <w:pStyle w:val="Heading2"/>
        <w:keepNext w:val="true"/>
        <w:widowControl/>
        <w:ind w:hanging="0"/>
        <w:rPr/>
      </w:pPr>
      <w:bookmarkStart w:id="77" w:name="__RefHeading___Toc2247_2077070603"/>
      <w:bookmarkEnd w:id="77"/>
      <w:r>
        <w:rPr/>
        <w:t>4.5 Téma 4: Metriky častěji zachycují aktivity a provozní výsledky než ověřený širší dopad</w:t>
      </w:r>
    </w:p>
    <w:p>
      <w:pPr>
        <w:pStyle w:val="Normal"/>
        <w:widowControl/>
        <w:spacing w:lineRule="auto" w:line="360"/>
        <w:ind w:firstLine="709"/>
        <w:jc w:val="both"/>
        <w:rPr/>
      </w:pPr>
      <w:r>
        <w:rPr/>
        <w:t>Čtvrté téma se týká rozdílu mezi přesností měření a silou závěru. Reporty obsahují mnoho čísel, ale čísla zastupují různé úrovně: vstup, aktivitu, výstup, provozní outcome nebo tvrzení o širším dopadu. Nejčastěji byly nalezeny formalizované cíle a provozní výsledky E2. Externě podpořený konkrétní výsledek E4 byl výjimečný.</w:t>
      </w:r>
    </w:p>
    <w:p>
      <w:pPr>
        <w:pStyle w:val="Heading3"/>
        <w:keepNext w:val="true"/>
        <w:widowControl/>
        <w:ind w:hanging="0"/>
        <w:rPr/>
      </w:pPr>
      <w:bookmarkStart w:id="78" w:name="__RefHeading___Toc2249_2077070603"/>
      <w:bookmarkEnd w:id="78"/>
      <w:r>
        <w:rPr/>
        <w:t>4.5.1 Výstup není outcome</w:t>
      </w:r>
    </w:p>
    <w:p>
      <w:pPr>
        <w:pStyle w:val="Normal"/>
        <w:widowControl/>
        <w:spacing w:lineRule="auto" w:line="360"/>
        <w:ind w:firstLine="709"/>
        <w:jc w:val="both"/>
        <w:rPr/>
      </w:pPr>
      <w:r>
        <w:rPr/>
        <w:t>O2 uvádí, že všichni zaměstnanci absolvovali ESG školení, dvě stě nejvýznamnějších dodavatelů bylo zapojeno do sustainable procurement programu a 86 703 osob prošlo aktivitami digitální gramotnosti (O2 Czech Republic, 2025, s. 3 a 5). Všechny hodnoty mohou být správně změřené. Dokládají však především dosah aktivity.</w:t>
      </w:r>
    </w:p>
    <w:p>
      <w:pPr>
        <w:pStyle w:val="Normal"/>
        <w:widowControl/>
        <w:spacing w:lineRule="auto" w:line="360"/>
        <w:ind w:firstLine="709"/>
        <w:jc w:val="both"/>
        <w:rPr/>
      </w:pPr>
      <w:r>
        <w:rPr/>
        <w:t>Bez následné metriky nelze určit, zda školení změnilo kompetenci, zda se zlepšil výkon dodavatele nebo zda účastník digitálního programu bezpečněji používá internet. Podobně počet blokovaných kyberútoků dokládá rozsah bezpečnostní činnosti, ale neumožňuje jednoduše určit velikost odvrácené škody nebo přínos konkrétního opatření.</w:t>
      </w:r>
    </w:p>
    <w:p>
      <w:pPr>
        <w:pStyle w:val="Normal"/>
        <w:widowControl/>
        <w:spacing w:lineRule="auto" w:line="360"/>
        <w:ind w:firstLine="709"/>
        <w:jc w:val="both"/>
        <w:rPr/>
      </w:pPr>
      <w:r>
        <w:rPr/>
        <w:t>Tento rozdíl není kritikou samotných aktivit. Ukazuje hranici závěru: output může být relevantním prvním krokem, ale nesmí být v textu práce přepsán na outcome nebo kauzální dopad.</w:t>
      </w:r>
    </w:p>
    <w:p>
      <w:pPr>
        <w:pStyle w:val="Heading3"/>
        <w:keepNext w:val="true"/>
        <w:widowControl/>
        <w:ind w:hanging="0"/>
        <w:rPr/>
      </w:pPr>
      <w:bookmarkStart w:id="79" w:name="__RefHeading___Toc2251_2077070603"/>
      <w:bookmarkEnd w:id="79"/>
      <w:r>
        <w:rPr/>
        <w:t>4.5.2 Provozní outcome a problém intenzity</w:t>
      </w:r>
    </w:p>
    <w:p>
      <w:pPr>
        <w:pStyle w:val="Normal"/>
        <w:widowControl/>
        <w:spacing w:lineRule="auto" w:line="360"/>
        <w:ind w:firstLine="709"/>
        <w:jc w:val="both"/>
        <w:rPr/>
      </w:pPr>
      <w:r>
        <w:rPr/>
        <w:t>ČEZ zveřejňuje cíl snížit do roku 2030 emisní intenzitu o více než 50 % oproti roku 2019 a dosáhnout klimatické neutrality do roku 2040 (ČEZ Group, 2025, s. 455). Škoda Auto uvádí snížení spotřeby vody na vyrobené vozidlo od roku 2010 o 39,9 % (Škoda Auto, 2025b, sekce Water). Oba ukazatele mají baseline a měří provozní změnu.</w:t>
      </w:r>
    </w:p>
    <w:p>
      <w:pPr>
        <w:pStyle w:val="Normal"/>
        <w:widowControl/>
        <w:spacing w:lineRule="auto" w:line="360"/>
        <w:ind w:firstLine="709"/>
        <w:jc w:val="both"/>
        <w:rPr/>
      </w:pPr>
      <w:r>
        <w:rPr/>
        <w:t>Intenzitní ukazatel však není totožný s absolutním dopadem. Spotřeba na jednotku může klesnout, zatímco celková výroba roste. Emisní intenzita výroby elektřiny může klesnout při jiném vývoji absolutních emisí. Report může intenzitu zvolit oprávněně, čtenář však musí zachovat její hranici.</w:t>
      </w:r>
    </w:p>
    <w:p>
      <w:pPr>
        <w:pStyle w:val="Normal"/>
        <w:widowControl/>
        <w:spacing w:lineRule="auto" w:line="360"/>
        <w:ind w:firstLine="709"/>
        <w:jc w:val="both"/>
        <w:rPr/>
      </w:pPr>
      <w:r>
        <w:rPr/>
        <w:t>MONETA ukazuje podobný problém v jiné podobě. Provozní Scope 1 a 2 emise proti roku 2016 výrazně snížila a elektrifikovala vozový park, ale sama identifikuje financované emise jako největší součást klimatické stopy (MONETA Money Bank, 2025, s. 17 a 20). Vysoká kvalita provozního cíle nemůže zastoupit výsledek v nejmateriálnější části podnikatelského modelu.</w:t>
      </w:r>
    </w:p>
    <w:p>
      <w:pPr>
        <w:pStyle w:val="Heading3"/>
        <w:keepNext w:val="true"/>
        <w:widowControl/>
        <w:ind w:hanging="0"/>
        <w:rPr/>
      </w:pPr>
      <w:bookmarkStart w:id="80" w:name="__RefHeading___Toc2253_2077070603"/>
      <w:bookmarkEnd w:id="80"/>
      <w:r>
        <w:rPr/>
        <w:t>4.5.3 Časová řada bez stabilní hranice</w:t>
      </w:r>
    </w:p>
    <w:p>
      <w:pPr>
        <w:pStyle w:val="Normal"/>
        <w:widowControl/>
        <w:spacing w:lineRule="auto" w:line="360"/>
        <w:ind w:firstLine="709"/>
        <w:jc w:val="both"/>
        <w:rPr/>
      </w:pPr>
      <w:r>
        <w:rPr/>
        <w:t>O2 přepočítalo historická data za roky 2022 a 2023 po změně metodiky. Scope 1 a 2 vzrostly z 14 550 tCO2e v roce 2023 na 21 963 tCO2e v roce 2024, zatímco Scope 3 klesl. Zpráva současně popisuje rozšíření organizačního záběru a akvizici jako část vysvětlení růstu energie (O2 Czech Republic, 2025, s. 23–32).</w:t>
      </w:r>
    </w:p>
    <w:p>
      <w:pPr>
        <w:pStyle w:val="Normal"/>
        <w:widowControl/>
        <w:spacing w:lineRule="auto" w:line="360"/>
        <w:ind w:firstLine="709"/>
        <w:jc w:val="both"/>
        <w:rPr/>
      </w:pPr>
      <w:r>
        <w:rPr/>
        <w:t>Restatement není automaticky známkou nekvality. Může znamenat přesnější metodiku. Zároveň brání jednoduchému tvrzení, že meziroční změna představuje čisté zlepšení nebo zhoršení provozu. Pro interpretaci je nutné číst hodnotu, hranici a metodickou poznámku jako jednu kontextovou jednotku.</w:t>
      </w:r>
    </w:p>
    <w:p>
      <w:pPr>
        <w:pStyle w:val="Normal"/>
        <w:widowControl/>
        <w:spacing w:lineRule="auto" w:line="360"/>
        <w:ind w:firstLine="709"/>
        <w:jc w:val="both"/>
        <w:rPr/>
      </w:pPr>
      <w:r>
        <w:rPr/>
        <w:t>MONETA uvádí podobný problém u financovaných emisí. Rozsah výpočtu byl postupně rozšiřován o další portfolia a některé hodnoty byly přepočítány (MONETA Money Bank, 2025, s. 21–24). Časová řada tím získává širší pokrytí, ale její změnu nelze interpretovat jako čistý výkon bez zohlednění rozsahu.</w:t>
      </w:r>
    </w:p>
    <w:p>
      <w:pPr>
        <w:pStyle w:val="Heading3"/>
        <w:keepNext w:val="true"/>
        <w:widowControl/>
        <w:ind w:hanging="0"/>
        <w:rPr/>
      </w:pPr>
      <w:bookmarkStart w:id="81" w:name="__RefHeading___Toc2255_2077070603"/>
      <w:bookmarkEnd w:id="81"/>
      <w:r>
        <w:rPr/>
        <w:t>4.5.4 Assurance ověřuje vymezené tvrzení, nikoli celý příběh</w:t>
      </w:r>
    </w:p>
    <w:p>
      <w:pPr>
        <w:pStyle w:val="Normal"/>
        <w:widowControl/>
        <w:spacing w:lineRule="auto" w:line="360"/>
        <w:ind w:firstLine="709"/>
        <w:jc w:val="both"/>
        <w:rPr/>
      </w:pPr>
      <w:r>
        <w:rPr/>
        <w:t>Nejsilnější jednotlivou položkou E4 byla u MONETA metodika výpočtu financovaných emisí komerčního portfolia, která byla podle reportu předmětem přiměřeného ujištění (MONETA Money Bank, 2025, s. 21). Vysoká třída se vztahuje ke spolehlivosti vymezeného výpočtu a jeho hranice. Neznamená, že portfolio již dosahuje dekarbonizačního výsledku. Report naopak přiznává absenci outcome cíle.</w:t>
      </w:r>
    </w:p>
    <w:p>
      <w:pPr>
        <w:pStyle w:val="Normal"/>
        <w:widowControl/>
        <w:spacing w:lineRule="auto" w:line="360"/>
        <w:ind w:firstLine="709"/>
        <w:jc w:val="both"/>
        <w:rPr/>
      </w:pPr>
      <w:r>
        <w:rPr/>
        <w:t>U ČEZ pokrývá sustainability report omezené ujištění. Tato informace zvyšuje důvěryhodnost reportovacího procesu, ale sama nebyla klasifikována E3 ani E4, protože nedokládá konkrétní rozhodovací vazbu nebo silně ověřený outcome. O2 naopak výslovně uvádí, že jeho ESG report nebyl externě ověřen (O2 Czech Republic, 2025, s. 77 a 79). Absence assurance neznamená nepravdivost dat, ale snižuje míru nezávislé podpory.</w:t>
      </w:r>
    </w:p>
    <w:p>
      <w:pPr>
        <w:pStyle w:val="Heading3"/>
        <w:keepNext w:val="true"/>
        <w:widowControl/>
        <w:ind w:hanging="0"/>
        <w:rPr/>
      </w:pPr>
      <w:bookmarkStart w:id="82" w:name="__RefHeading___Toc2257_2077070603"/>
      <w:bookmarkEnd w:id="82"/>
      <w:r>
        <w:rPr/>
        <w:t>4.5.5 Mezipřípadový závěr</w:t>
      </w:r>
    </w:p>
    <w:p>
      <w:pPr>
        <w:pStyle w:val="Normal"/>
        <w:widowControl/>
        <w:spacing w:lineRule="auto" w:line="360"/>
        <w:ind w:firstLine="709"/>
        <w:jc w:val="both"/>
        <w:rPr/>
      </w:pPr>
      <w:r>
        <w:rPr/>
        <w:t>Veřejné reporty mají nejvyšší informační sílu tam, kde je uvedena:</w:t>
      </w:r>
    </w:p>
    <w:p>
      <w:pPr>
        <w:pStyle w:val="ListBullet"/>
        <w:widowControl/>
        <w:numPr>
          <w:ilvl w:val="0"/>
          <w:numId w:val="1"/>
        </w:numPr>
        <w:spacing w:lineRule="auto" w:line="360" w:before="0" w:after="0"/>
        <w:ind w:hanging="142" w:start="425"/>
        <w:contextualSpacing/>
        <w:rPr/>
      </w:pPr>
      <w:r>
        <w:rPr/>
        <w:t>jasná hranice a metodika;</w:t>
      </w:r>
    </w:p>
    <w:p>
      <w:pPr>
        <w:pStyle w:val="ListBullet"/>
        <w:widowControl/>
        <w:numPr>
          <w:ilvl w:val="0"/>
          <w:numId w:val="1"/>
        </w:numPr>
        <w:spacing w:lineRule="auto" w:line="360" w:before="0" w:after="0"/>
        <w:ind w:hanging="142" w:start="425"/>
        <w:contextualSpacing/>
        <w:rPr/>
      </w:pPr>
      <w:r>
        <w:rPr/>
        <w:t>baseline, cílová hodnota a termín;</w:t>
      </w:r>
    </w:p>
    <w:p>
      <w:pPr>
        <w:pStyle w:val="ListBullet"/>
        <w:widowControl/>
        <w:numPr>
          <w:ilvl w:val="0"/>
          <w:numId w:val="1"/>
        </w:numPr>
        <w:spacing w:lineRule="auto" w:line="360" w:before="0" w:after="0"/>
        <w:ind w:hanging="142" w:start="425"/>
        <w:contextualSpacing/>
        <w:rPr/>
      </w:pPr>
      <w:r>
        <w:rPr/>
        <w:t>srovnatelná časová řada nebo transparentní restatement;</w:t>
      </w:r>
    </w:p>
    <w:p>
      <w:pPr>
        <w:pStyle w:val="ListBullet"/>
        <w:widowControl/>
        <w:numPr>
          <w:ilvl w:val="0"/>
          <w:numId w:val="1"/>
        </w:numPr>
        <w:spacing w:lineRule="auto" w:line="360" w:before="0" w:after="0"/>
        <w:ind w:hanging="142" w:start="425"/>
        <w:contextualSpacing/>
        <w:rPr/>
      </w:pPr>
      <w:r>
        <w:rPr/>
        <w:t>vazba metriky na vlastníka a rozhodnutí;</w:t>
      </w:r>
    </w:p>
    <w:p>
      <w:pPr>
        <w:pStyle w:val="ListBullet"/>
        <w:widowControl/>
        <w:numPr>
          <w:ilvl w:val="0"/>
          <w:numId w:val="1"/>
        </w:numPr>
        <w:spacing w:lineRule="auto" w:line="360" w:before="0" w:after="0"/>
        <w:ind w:hanging="142" w:start="425"/>
        <w:contextualSpacing/>
        <w:rPr/>
      </w:pPr>
      <w:r>
        <w:rPr/>
        <w:t>rozsah externího ujištění;</w:t>
      </w:r>
    </w:p>
    <w:p>
      <w:pPr>
        <w:pStyle w:val="ListBullet"/>
        <w:widowControl/>
        <w:numPr>
          <w:ilvl w:val="0"/>
          <w:numId w:val="1"/>
        </w:numPr>
        <w:spacing w:lineRule="auto" w:line="360" w:before="0" w:after="0"/>
        <w:ind w:hanging="142" w:start="425"/>
        <w:contextualSpacing/>
        <w:rPr/>
      </w:pPr>
      <w:r>
        <w:rPr/>
        <w:t>explicitní omezení závěru.</w:t>
      </w:r>
    </w:p>
    <w:p>
      <w:pPr>
        <w:pStyle w:val="Normal"/>
        <w:widowControl/>
        <w:spacing w:lineRule="auto" w:line="360"/>
        <w:ind w:firstLine="709"/>
        <w:jc w:val="both"/>
        <w:rPr/>
      </w:pPr>
      <w:r>
        <w:rPr/>
        <w:t>Ani kombinace těchto znaků obvykle neprokazuje kauzální širší dopad. Výsledky proto podporují přísné oddělení přesně měřené aktivity, řízeného outcome a společenského či environmentálního impact claimu.</w:t>
      </w:r>
    </w:p>
    <w:p>
      <w:pPr>
        <w:pStyle w:val="Heading2"/>
        <w:keepNext w:val="true"/>
        <w:widowControl/>
        <w:ind w:hanging="0"/>
        <w:rPr/>
      </w:pPr>
      <w:bookmarkStart w:id="83" w:name="__RefHeading___Toc2259_2077070603"/>
      <w:bookmarkEnd w:id="83"/>
      <w:r>
        <w:rPr/>
        <w:t>4.6 Téma 5: Přiznané napětí, revize a negativní informace zvyšují informační hodnotu reportu</w:t>
      </w:r>
    </w:p>
    <w:p>
      <w:pPr>
        <w:pStyle w:val="Normal"/>
        <w:widowControl/>
        <w:spacing w:lineRule="auto" w:line="360"/>
        <w:ind w:firstLine="709"/>
        <w:jc w:val="both"/>
        <w:rPr/>
      </w:pPr>
      <w:r>
        <w:rPr/>
        <w:t>Páté téma nevzniklo jako původní hlavní kategorie, ale zesílilo během analýzy. Report, který zveřejňuje pouze cíle a úspěchy, neposkytuje dostatek informací pro posouzení řízení. Naopak zhoršená metrika, změna cíle, nevyřešený dopad nebo metodická korekce mohou zvýšit informační hodnotu, pokud jsou uvedeny s kontextem.</w:t>
      </w:r>
    </w:p>
    <w:p>
      <w:pPr>
        <w:pStyle w:val="Heading3"/>
        <w:keepNext w:val="true"/>
        <w:widowControl/>
        <w:ind w:hanging="0"/>
        <w:rPr/>
      </w:pPr>
      <w:bookmarkStart w:id="84" w:name="__RefHeading___Toc2261_2077070603"/>
      <w:bookmarkEnd w:id="84"/>
      <w:r>
        <w:rPr/>
        <w:t>4.6.1 ČEZ: transformace zahrnuje pokračující negativní dopad</w:t>
      </w:r>
    </w:p>
    <w:p>
      <w:pPr>
        <w:pStyle w:val="Normal"/>
        <w:widowControl/>
        <w:spacing w:lineRule="auto" w:line="360"/>
        <w:ind w:firstLine="709"/>
        <w:jc w:val="both"/>
        <w:rPr/>
      </w:pPr>
      <w:r>
        <w:rPr/>
        <w:t>ČEZ uvádí, že podíl výnosů spojených s lignitem vede k vyloučení skupiny z EU Paris-aligned Benchmark (ČEZ Group, 2025, s. 453). Těžba uhlí je v materialitní části popsána jako skutečný, dlouhodobý negativní dopad s trvalým účinkem na habitaty a biodiverzitu (ČEZ Group, 2025, s. 434). Sociální část identifikuje ztrátu pracovních míst a regionální ekonomické narušení související s útlumem uhlí (ČEZ Group, 2025, s. 478).</w:t>
      </w:r>
    </w:p>
    <w:p>
      <w:pPr>
        <w:pStyle w:val="Normal"/>
        <w:widowControl/>
        <w:spacing w:lineRule="auto" w:line="360"/>
        <w:ind w:firstLine="709"/>
        <w:jc w:val="both"/>
        <w:rPr/>
      </w:pPr>
      <w:r>
        <w:rPr/>
        <w:t>Tato zveřejnění neřeší spor o rychlost transformace ani neověřují dostatečnost nápravných opatření. Brání však tomu, aby byl přechodový plán interpretován jako již dokončená změna bez nákladů. Pro čtenáře představují důležitý kontext investičních a klimatických cílů.</w:t>
      </w:r>
    </w:p>
    <w:p>
      <w:pPr>
        <w:pStyle w:val="Heading3"/>
        <w:keepNext w:val="true"/>
        <w:widowControl/>
        <w:ind w:hanging="0"/>
        <w:rPr/>
      </w:pPr>
      <w:bookmarkStart w:id="85" w:name="__RefHeading___Toc2263_2077070603"/>
      <w:bookmarkEnd w:id="85"/>
      <w:r>
        <w:rPr/>
        <w:t>4.6.2 MONETA: otevřená kritika, zhoršený ukazatel a chybějící cíl</w:t>
      </w:r>
    </w:p>
    <w:p>
      <w:pPr>
        <w:pStyle w:val="Normal"/>
        <w:widowControl/>
        <w:spacing w:lineRule="auto" w:line="360"/>
        <w:ind w:firstLine="709"/>
        <w:jc w:val="both"/>
        <w:rPr/>
      </w:pPr>
      <w:r>
        <w:rPr/>
        <w:t>MONETA zveřejňuje nejširší soubor explicitních napětí. CEO problematizuje rozsah reportingu a zdůrazňuje konkurenceschopnost. Banka uvádí pokles zájmu investorů o ESG a úpravu KPI směrem k hmatatelným aktivitám (MONETA Money Bank, 2025, s. 2). Tato tvrzení jsou názorem managementu a nejsou důkazem objektivní neúčinnosti regulace, jsou však relevantní pro pochopení interního rámování.</w:t>
      </w:r>
    </w:p>
    <w:p>
      <w:pPr>
        <w:pStyle w:val="Normal"/>
        <w:widowControl/>
        <w:spacing w:lineRule="auto" w:line="360"/>
        <w:ind w:firstLine="709"/>
        <w:jc w:val="both"/>
        <w:rPr/>
      </w:pPr>
      <w:r>
        <w:rPr/>
        <w:t>V metrikách banka přiznává, že adjusted gender pay gap vzrostl z 0,88 % v roce 2023 na 1,44 % v roce 2024 proti cíli pod jedním procentem (MONETA Money Bank, 2025, s. 34). U financovaných emisí uvádí absenci měřitelného outcome cíle a v příloze zaznamenává zrušení KPI účasti ve volunteeringových aktivitách (MONETA Money Bank, 2025, s. 20 a 60).</w:t>
      </w:r>
    </w:p>
    <w:p>
      <w:pPr>
        <w:pStyle w:val="Normal"/>
        <w:widowControl/>
        <w:spacing w:lineRule="auto" w:line="360"/>
        <w:ind w:firstLine="709"/>
        <w:jc w:val="both"/>
        <w:rPr/>
      </w:pPr>
      <w:r>
        <w:rPr/>
        <w:t>Přítomnost těchto informací neznamená lepší výsledek. Znamená, že report umožňuje čtenáři vidět mezeru mezi governance, ambicí a výkonem. To zvyšuje informační vyváženost.</w:t>
      </w:r>
    </w:p>
    <w:p>
      <w:pPr>
        <w:pStyle w:val="Heading3"/>
        <w:keepNext w:val="true"/>
        <w:widowControl/>
        <w:ind w:hanging="0"/>
        <w:rPr/>
      </w:pPr>
      <w:bookmarkStart w:id="86" w:name="__RefHeading___Toc2265_2077070603"/>
      <w:bookmarkEnd w:id="86"/>
      <w:r>
        <w:rPr/>
        <w:t>4.6.3 O2: restrukturalizace, růst emisí a absence assurance</w:t>
      </w:r>
    </w:p>
    <w:p>
      <w:pPr>
        <w:pStyle w:val="Normal"/>
        <w:widowControl/>
        <w:spacing w:lineRule="auto" w:line="360"/>
        <w:ind w:firstLine="709"/>
        <w:jc w:val="both"/>
        <w:rPr/>
      </w:pPr>
      <w:r>
        <w:rPr/>
        <w:t>O2 uvádí reset cílů po změně skupinového uspořádání, růst nakupované elektřiny, zvýšení Scope 1 a 2, přepočet historických hodnot, chybějící ESG KPI pro nejvyšší řídicí orgán a absenci externího assurance (O2 Czech Republic, 2025, s. 14, 23–32, 77–81).</w:t>
      </w:r>
    </w:p>
    <w:p>
      <w:pPr>
        <w:pStyle w:val="Normal"/>
        <w:widowControl/>
        <w:spacing w:lineRule="auto" w:line="360"/>
        <w:ind w:firstLine="709"/>
        <w:jc w:val="both"/>
        <w:rPr/>
      </w:pPr>
      <w:r>
        <w:rPr/>
        <w:t>Tento soubor omezení je analyticky významný. Ukazuje systém ve fázi přechodu, nikoli hotovou lineární trajektorii. Současně je třeba zachovat opatrnost: růst hodnoty nemusí být plně způsoben horší energetickou efektivitou, protože reportovací hranice se rozšířila. Transparentnost změny zvyšuje kvalitu interpretace, ale nenahrazuje kvantifikaci jednotlivých příčin.</w:t>
      </w:r>
    </w:p>
    <w:p>
      <w:pPr>
        <w:pStyle w:val="Heading3"/>
        <w:keepNext w:val="true"/>
        <w:widowControl/>
        <w:ind w:hanging="0"/>
        <w:rPr/>
      </w:pPr>
      <w:bookmarkStart w:id="87" w:name="__RefHeading___Toc2267_2077070603"/>
      <w:bookmarkEnd w:id="87"/>
      <w:r>
        <w:rPr/>
        <w:t>4.6.4 Škoda Auto: korekce pozitivního narativu prostřednictvím hranic</w:t>
      </w:r>
    </w:p>
    <w:p>
      <w:pPr>
        <w:pStyle w:val="Normal"/>
        <w:widowControl/>
        <w:spacing w:lineRule="auto" w:line="360"/>
        <w:ind w:firstLine="709"/>
        <w:jc w:val="both"/>
        <w:rPr/>
      </w:pPr>
      <w:r>
        <w:rPr/>
        <w:t>Online report Škoda Auto obsahuje v analyzovaných sekcích méně explicitních nesplněných cílů než ostatní případy. Důležitou korekcí je rozdíl mezi 99% taxonomickou způsobilostí tržeb a 18% sladěností. Způsobilost tedy nelze vydávat za výsledek splnění technických kritérií (Škoda Auto, 2025a, sekce EU Taxonomy at Škoda Auto 2024).</w:t>
      </w:r>
    </w:p>
    <w:p>
      <w:pPr>
        <w:pStyle w:val="Normal"/>
        <w:widowControl/>
        <w:spacing w:lineRule="auto" w:line="360"/>
        <w:ind w:firstLine="709"/>
        <w:jc w:val="both"/>
        <w:rPr/>
      </w:pPr>
      <w:r>
        <w:rPr/>
        <w:t>Druhou hranicí je skupinová atribuce. Code of conduct a některé strategické programy mají původ ve Volkswagen Group. Přijetí skupinového rámce může být substantivní, ale samo neukazuje, jak je aplikován v jednotlivých závodech. V porovnání s ostatními případy nabízí vybrané online rozhraní méně viditelného counter-evidence; tento rozdíl může být dán i způsobem publikace a přesunem detailů do plného reportu.</w:t>
      </w:r>
    </w:p>
    <w:p>
      <w:pPr>
        <w:pStyle w:val="Heading3"/>
        <w:keepNext w:val="true"/>
        <w:widowControl/>
        <w:ind w:hanging="0"/>
        <w:rPr/>
      </w:pPr>
      <w:bookmarkStart w:id="88" w:name="__RefHeading___Toc2269_2077070603"/>
      <w:bookmarkEnd w:id="88"/>
      <w:r>
        <w:rPr/>
        <w:t>4.6.5 Mezipřípadový závěr</w:t>
      </w:r>
    </w:p>
    <w:p>
      <w:pPr>
        <w:pStyle w:val="Normal"/>
        <w:widowControl/>
        <w:spacing w:lineRule="auto" w:line="360"/>
        <w:ind w:firstLine="709"/>
        <w:jc w:val="both"/>
        <w:rPr/>
      </w:pPr>
      <w:r>
        <w:rPr/>
        <w:t>Negativní informace není automatickou známkou špatné implementace. Její analytická hodnota spočívá v tom, že umožňuje odlišit tři situace:</w:t>
      </w:r>
    </w:p>
    <w:p>
      <w:pPr>
        <w:pStyle w:val="ListBullet"/>
        <w:widowControl/>
        <w:numPr>
          <w:ilvl w:val="0"/>
          <w:numId w:val="1"/>
        </w:numPr>
        <w:spacing w:lineRule="auto" w:line="360" w:before="0" w:after="0"/>
        <w:ind w:hanging="142" w:start="425"/>
        <w:contextualSpacing/>
        <w:rPr/>
      </w:pPr>
      <w:r>
        <w:rPr/>
        <w:t>cíl je plněn;</w:t>
      </w:r>
    </w:p>
    <w:p>
      <w:pPr>
        <w:pStyle w:val="ListBullet"/>
        <w:widowControl/>
        <w:numPr>
          <w:ilvl w:val="0"/>
          <w:numId w:val="1"/>
        </w:numPr>
        <w:spacing w:lineRule="auto" w:line="360" w:before="0" w:after="0"/>
        <w:ind w:hanging="142" w:start="425"/>
        <w:contextualSpacing/>
        <w:rPr/>
      </w:pPr>
      <w:r>
        <w:rPr/>
        <w:t>cíl nebo výsledek se zhoršuje, ale systém jej zachytí a vysvětlí;</w:t>
      </w:r>
    </w:p>
    <w:p>
      <w:pPr>
        <w:pStyle w:val="ListBullet"/>
        <w:widowControl/>
        <w:numPr>
          <w:ilvl w:val="0"/>
          <w:numId w:val="1"/>
        </w:numPr>
        <w:spacing w:lineRule="auto" w:line="360" w:before="0" w:after="0"/>
        <w:ind w:hanging="142" w:start="425"/>
        <w:contextualSpacing/>
        <w:rPr/>
      </w:pPr>
      <w:r>
        <w:rPr/>
        <w:t>informaci nelze posoudit, protože chybí baseline, hranice nebo metrika.</w:t>
      </w:r>
    </w:p>
    <w:p>
      <w:pPr>
        <w:pStyle w:val="Normal"/>
        <w:widowControl/>
        <w:spacing w:lineRule="auto" w:line="360"/>
        <w:ind w:firstLine="709"/>
        <w:jc w:val="both"/>
        <w:rPr/>
      </w:pPr>
      <w:r>
        <w:rPr/>
        <w:t>Druhá situace může poskytovat kvalitnější podklad pro řízení než pozitivní tvrzení bez možnosti ověření. Výsledky tak podporují zahrnutí restatementu, zhoršeného trendu a přiznané mezery mezi znaky informační kvality.</w:t>
      </w:r>
    </w:p>
    <w:p>
      <w:pPr>
        <w:pStyle w:val="Heading2"/>
        <w:keepNext w:val="true"/>
        <w:widowControl/>
        <w:ind w:hanging="0"/>
        <w:rPr/>
      </w:pPr>
      <w:bookmarkStart w:id="89" w:name="__RefHeading___Toc2271_2077070603"/>
      <w:bookmarkEnd w:id="89"/>
      <w:r>
        <w:rPr/>
        <w:t>4.7 Mezipřípadová typologie zveřejněné implementace</w:t>
      </w:r>
    </w:p>
    <w:p>
      <w:pPr>
        <w:pStyle w:val="Normal"/>
        <w:widowControl/>
        <w:spacing w:lineRule="auto" w:line="360"/>
        <w:ind w:firstLine="709"/>
        <w:jc w:val="both"/>
        <w:rPr/>
      </w:pPr>
      <w:r>
        <w:rPr/>
        <w:t>Na základě pěti témat byla vytvořena pracovní typologie. Nejde o vývojové stupně ani pořadí od nejhoršího k nejlepšímu. Každý typ zdůrazňuje dominantní mechanismus a hlavní informační hranici.</w:t>
      </w:r>
    </w:p>
    <w:p>
      <w:pPr>
        <w:pStyle w:val="CaptionThesis"/>
        <w:widowControl/>
        <w:rPr/>
      </w:pPr>
      <w:r>
        <w:rPr>
          <w:b/>
        </w:rPr>
        <w:t>Tabulka 5: Typologie analyzovaných případů</w:t>
      </w:r>
    </w:p>
    <w:tbl>
      <w:tblPr>
        <w:tblStyle w:val="TableGrid"/>
        <w:tblW w:w="9072" w:type="dxa"/>
        <w:jc w:val="center"/>
        <w:tblInd w:w="0" w:type="dxa"/>
        <w:tblLayout w:type="fixed"/>
        <w:tblCellMar>
          <w:top w:w="80" w:type="dxa"/>
          <w:start w:w="90" w:type="dxa"/>
          <w:bottom w:w="80" w:type="dxa"/>
          <w:end w:w="90" w:type="dxa"/>
        </w:tblCellMar>
        <w:tblLook w:val="04a0" w:noHBand="0" w:noVBand="1" w:firstColumn="1" w:lastRow="0" w:lastColumn="0" w:firstRow="1"/>
      </w:tblPr>
      <w:tblGrid>
        <w:gridCol w:w="2268"/>
        <w:gridCol w:w="2268"/>
        <w:gridCol w:w="2268"/>
        <w:gridCol w:w="2267"/>
      </w:tblGrid>
      <w:tr>
        <w:trPr>
          <w:tblHeader w:val="true"/>
          <w:cantSplit w:val="true"/>
        </w:trPr>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Případ</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Pracovní typ</w:t>
            </w:r>
          </w:p>
        </w:tc>
        <w:tc>
          <w:tcPr>
            <w:tcW w:w="2268"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Dominantní doklad integrace</w:t>
            </w:r>
          </w:p>
        </w:tc>
        <w:tc>
          <w:tcPr>
            <w:tcW w:w="2267" w:type="dxa"/>
            <w:tcBorders/>
            <w:shd w:fill="E7E6E6"/>
            <w:vAlign w:val="center"/>
          </w:tcPr>
          <w:p>
            <w:pPr>
              <w:pStyle w:val="Normal"/>
              <w:spacing w:lineRule="auto" w:line="240" w:before="0" w:after="0"/>
              <w:ind w:hanging="0"/>
              <w:jc w:val="start"/>
              <w:rPr>
                <w:rFonts w:cs=""/>
                <w:kern w:val="0"/>
                <w:szCs w:val="22"/>
                <w:lang w:val="en-US" w:eastAsia="en-US" w:bidi="ar-SA"/>
              </w:rPr>
            </w:pPr>
            <w:r>
              <w:rPr>
                <w:rFonts w:cs=""/>
                <w:b/>
                <w:kern w:val="0"/>
                <w:sz w:val="19"/>
                <w:szCs w:val="22"/>
                <w:lang w:val="en-US" w:eastAsia="en-US" w:bidi="ar-SA"/>
              </w:rPr>
              <w:t>Hlavní hranice</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ČEZ Group</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kapitálově integrovaná transformace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přechodový plán, CapEx, governance a pobídka</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dlouhý horizont, pokračující fosilní dopad, omezené ujištění neověřuje účinnost</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MONETA Money Bank</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governance a pobídky s pragmatickou skepsí</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výbor, kadence, odměňování a metodika financovaných emisí</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chybějící outcome cíl v nejmateriálnější klimatické oblasti</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O2 Czech Republic</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provozní a sociálně-digitální integrace v přechodu</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energetická efektivita infrastruktury, bezpečnost a průřezový výbor</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reset cílů, neúplná governance KPI, mnoho output metrik a absence assurance</w:t>
            </w:r>
          </w:p>
        </w:tc>
      </w:tr>
      <w:tr>
        <w:trPr>
          <w:cantSplit w:val="true"/>
        </w:trPr>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Škoda Auto</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skupinově zakotvená průmyslová a dodavatelská integrace</w:t>
            </w:r>
          </w:p>
        </w:tc>
        <w:tc>
          <w:tcPr>
            <w:tcW w:w="2268"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produkt, výroba, CapEx a supplier rating</w:t>
            </w:r>
          </w:p>
        </w:tc>
        <w:tc>
          <w:tcPr>
            <w:tcW w:w="2267" w:type="dxa"/>
            <w:tcBorders/>
            <w:vAlign w:val="center"/>
          </w:tcPr>
          <w:p>
            <w:pPr>
              <w:pStyle w:val="Normal"/>
              <w:spacing w:lineRule="auto" w:line="240" w:before="0" w:after="0"/>
              <w:ind w:hanging="0"/>
              <w:jc w:val="start"/>
              <w:rPr>
                <w:rFonts w:cs=""/>
                <w:kern w:val="0"/>
                <w:szCs w:val="22"/>
                <w:lang w:val="en-US" w:eastAsia="en-US" w:bidi="ar-SA"/>
              </w:rPr>
            </w:pPr>
            <w:r>
              <w:rPr>
                <w:rFonts w:cs=""/>
                <w:kern w:val="0"/>
                <w:sz w:val="19"/>
                <w:szCs w:val="22"/>
                <w:lang w:val="en-US" w:eastAsia="en-US" w:bidi="ar-SA"/>
              </w:rPr>
              <w:t>skupinová atribuce, méně viditelné negativní výsledky v online souhrnu</w:t>
            </w:r>
          </w:p>
        </w:tc>
      </w:tr>
    </w:tbl>
    <w:p>
      <w:pPr>
        <w:pStyle w:val="Normal"/>
        <w:spacing w:before="0" w:after="40"/>
        <w:rPr/>
      </w:pPr>
      <w:r>
        <w:rPr/>
      </w:r>
    </w:p>
    <w:p>
      <w:pPr>
        <w:pStyle w:val="Normal"/>
        <w:widowControl/>
        <w:spacing w:lineRule="auto" w:line="360"/>
        <w:ind w:firstLine="709"/>
        <w:jc w:val="both"/>
        <w:rPr/>
      </w:pPr>
      <w:r>
        <w:rPr/>
        <w:t>Typologie ukazuje, že nelze vytvořit jeden univerzální obraz „ESG firmy“. V energetice se integrace projevuje jinak než v bance. Společným jmenovatelem není konkrétní ukazatel, ale řetězec od materiálního tématu přes odpovědnost k rozhodnutí.</w:t>
      </w:r>
    </w:p>
    <w:p>
      <w:pPr>
        <w:pStyle w:val="Heading2"/>
        <w:keepNext w:val="true"/>
        <w:widowControl/>
        <w:ind w:hanging="0"/>
        <w:rPr/>
      </w:pPr>
      <w:bookmarkStart w:id="90" w:name="__RefHeading___Toc2273_2077070603"/>
      <w:bookmarkEnd w:id="90"/>
      <w:r>
        <w:rPr/>
        <w:t>4.8 Odpovědi na dílčí výzkumné otázky</w:t>
      </w:r>
    </w:p>
    <w:p>
      <w:pPr>
        <w:pStyle w:val="Heading3"/>
        <w:keepNext w:val="true"/>
        <w:widowControl/>
        <w:ind w:hanging="0"/>
        <w:rPr/>
      </w:pPr>
      <w:bookmarkStart w:id="91" w:name="__RefHeading___Toc2275_2077070603"/>
      <w:bookmarkEnd w:id="91"/>
      <w:r>
        <w:rPr/>
        <w:t>4.8.1 Materialita a podnikatelský model</w:t>
      </w:r>
    </w:p>
    <w:p>
      <w:pPr>
        <w:pStyle w:val="Normal"/>
        <w:widowControl/>
        <w:spacing w:lineRule="auto" w:line="360"/>
        <w:ind w:firstLine="709"/>
        <w:jc w:val="both"/>
        <w:rPr/>
      </w:pPr>
      <w:r>
        <w:rPr/>
        <w:t>Všechny případy spojují část materiálních témat s podnikatelským modelem. Nejsilnější vazby se objevují u energetického portfolia ČEZ, financovaných emisí MONETA, digitální infrastruktury a bezpečnosti O2 a produktu, výroby a dodavatelů Škoda Auto. Proces dvojí materiality je nejpodrobněji zveřejněn u ČEZ a MONETA; u O2 má přechodový charakter a u Škoda Auto je část kontextu integrována do skupinového rámce.</w:t>
      </w:r>
    </w:p>
    <w:p>
      <w:pPr>
        <w:pStyle w:val="Heading3"/>
        <w:keepNext w:val="true"/>
        <w:widowControl/>
        <w:ind w:hanging="0"/>
        <w:rPr/>
      </w:pPr>
      <w:bookmarkStart w:id="92" w:name="__RefHeading___Toc2277_2077070603"/>
      <w:bookmarkEnd w:id="92"/>
      <w:r>
        <w:rPr/>
        <w:t>4.8.2 Odpovědnost a koordinace</w:t>
      </w:r>
    </w:p>
    <w:p>
      <w:pPr>
        <w:pStyle w:val="Normal"/>
        <w:widowControl/>
        <w:spacing w:lineRule="auto" w:line="360"/>
        <w:ind w:firstLine="709"/>
        <w:jc w:val="both"/>
        <w:rPr/>
      </w:pPr>
      <w:r>
        <w:rPr/>
        <w:t>Všechny podniky uvádějí dohled vrcholového orgánu a specializovanou koordinaci. Rozdíly spočívají v míře zveřejněné kadence, korektivní pravomoci a pobídky. Nejúplnější kombinaci těchto znaků poskytuje MONETA. ČEZ propojuje vrcholovou odpovědnost s odměnou. O2 zveřejňuje pravidelný board reporting, ale současně chybějící KPI nejvyššího orgánu. Škoda Auto zdůrazňuje definované role, externí radu a odborový dialog, méně však konkrétní rozhodovací důsledky těchto vstupů.</w:t>
      </w:r>
    </w:p>
    <w:p>
      <w:pPr>
        <w:pStyle w:val="Heading3"/>
        <w:keepNext w:val="true"/>
        <w:widowControl/>
        <w:ind w:hanging="0"/>
        <w:rPr/>
      </w:pPr>
      <w:bookmarkStart w:id="93" w:name="__RefHeading___Toc2279_2077070603"/>
      <w:bookmarkEnd w:id="93"/>
      <w:r>
        <w:rPr/>
        <w:t>4.8.3 Rozhodovací vazba</w:t>
      </w:r>
    </w:p>
    <w:p>
      <w:pPr>
        <w:pStyle w:val="Normal"/>
        <w:widowControl/>
        <w:spacing w:lineRule="auto" w:line="360"/>
        <w:ind w:firstLine="709"/>
        <w:jc w:val="both"/>
        <w:rPr/>
      </w:pPr>
      <w:r>
        <w:rPr/>
        <w:t>Rozhodovací vazba byla identifikována ve všech případech, vždy však v jiné formě. U ČEZ a Škoda Auto je nejsilnější v CapEx. U MONETA v odměňování a metodické infrastruktuře portfolia. U O2 v obnově energeticky náročné infrastruktury. Dodavatelská a produktová vazba je výrazná u Škoda Auto a částečně u O2.</w:t>
      </w:r>
    </w:p>
    <w:p>
      <w:pPr>
        <w:pStyle w:val="Heading3"/>
        <w:keepNext w:val="true"/>
        <w:widowControl/>
        <w:ind w:hanging="0"/>
        <w:rPr/>
      </w:pPr>
      <w:bookmarkStart w:id="94" w:name="__RefHeading___Toc2281_2077070603"/>
      <w:bookmarkEnd w:id="94"/>
      <w:r>
        <w:rPr/>
        <w:t>4.8.4 Evidenční síla cílů a metrik</w:t>
      </w:r>
    </w:p>
    <w:p>
      <w:pPr>
        <w:pStyle w:val="Normal"/>
        <w:widowControl/>
        <w:spacing w:lineRule="auto" w:line="360"/>
        <w:ind w:firstLine="709"/>
        <w:jc w:val="both"/>
        <w:rPr/>
      </w:pPr>
      <w:r>
        <w:rPr/>
        <w:t>Převažují E2 cíle a řízené výsledky. E1 output metriky jsou zvlášť viditelné u O2 a v komunikačních částech MONETA. E3 se týká rozhodovacích mechanismů. E4 je výjimečná a vztahuje se k jednomu přesně vymezenému, silně ověřenému výpočtu. Žádný report neposkytuje obecný nezávislý důkaz kauzálního širšího dopadu celé ESG strategie.</w:t>
      </w:r>
    </w:p>
    <w:p>
      <w:pPr>
        <w:pStyle w:val="Heading3"/>
        <w:keepNext w:val="true"/>
        <w:widowControl/>
        <w:ind w:hanging="0"/>
        <w:rPr/>
      </w:pPr>
      <w:bookmarkStart w:id="95" w:name="__RefHeading___Toc2283_2077070603"/>
      <w:bookmarkEnd w:id="95"/>
      <w:r>
        <w:rPr/>
        <w:t>4.8.5 Negativní informace a trade-offy</w:t>
      </w:r>
    </w:p>
    <w:p>
      <w:pPr>
        <w:pStyle w:val="Normal"/>
        <w:widowControl/>
        <w:spacing w:lineRule="auto" w:line="360"/>
        <w:ind w:firstLine="709"/>
        <w:jc w:val="both"/>
        <w:rPr/>
      </w:pPr>
      <w:r>
        <w:rPr/>
        <w:t>Všechny případy obsahují alespoň některou hranici nebo negativní informaci. ČEZ popisuje trvalý dopad těžby a sociální náklady útlumu. MONETA zveřejňuje chybějící cíl, zhoršený ukazatel a zrušený KPI. O2 uvádí růst části emisí, restatement, reset cílů a absenci assurance. U Škoda Auto se korekce pozitivního obrazu nachází především v taxonomických a skupinových hranicích.</w:t>
      </w:r>
    </w:p>
    <w:p>
      <w:pPr>
        <w:pStyle w:val="Heading3"/>
        <w:keepNext w:val="true"/>
        <w:widowControl/>
        <w:ind w:hanging="0"/>
        <w:rPr/>
      </w:pPr>
      <w:bookmarkStart w:id="96" w:name="__RefHeading___Toc2285_2077070603"/>
      <w:bookmarkEnd w:id="96"/>
      <w:r>
        <w:rPr/>
        <w:t>4.8.6 Sektorové rozdíly</w:t>
      </w:r>
    </w:p>
    <w:p>
      <w:pPr>
        <w:pStyle w:val="Normal"/>
        <w:widowControl/>
        <w:spacing w:lineRule="auto" w:line="360"/>
        <w:ind w:firstLine="709"/>
        <w:jc w:val="both"/>
        <w:rPr/>
      </w:pPr>
      <w:r>
        <w:rPr/>
        <w:t>Sektor neurčuje pouze témata, ale i podobu důkazu. Kapitálově náročné sektory mohou dokládat integraci prostřednictvím investičního plánu. Banka prostřednictvím risk managementu, portfolia a odměny. Telekomunikace prostřednictvím efektivity a bezpečnosti infrastruktury. Automotive prostřednictvím produktu, výroby a supplier governance. Jednotné hodnocení založené na stejném počtu environmentálních či sociálních KPI by tyto rozdíly zakrylo.</w:t>
      </w:r>
    </w:p>
    <w:p>
      <w:pPr>
        <w:pStyle w:val="Heading2"/>
        <w:keepNext w:val="true"/>
        <w:widowControl/>
        <w:ind w:hanging="0"/>
        <w:rPr/>
      </w:pPr>
      <w:bookmarkStart w:id="97" w:name="__RefHeading___Toc2287_2077070603"/>
      <w:bookmarkEnd w:id="97"/>
      <w:r>
        <w:rPr/>
        <w:t>4.9 Shrnutí výsledků</w:t>
      </w:r>
    </w:p>
    <w:p>
      <w:pPr>
        <w:pStyle w:val="Normal"/>
        <w:widowControl/>
        <w:spacing w:lineRule="auto" w:line="360"/>
        <w:ind w:firstLine="709"/>
        <w:jc w:val="both"/>
        <w:rPr/>
      </w:pPr>
      <w:r>
        <w:rPr/>
        <w:t>Hlavní výsledkový vzorec lze vyjádřit třemi větami. Zaprvé, standardizované reporty umožňují hledat obdobné prvky, ale jejich přítomnost nevypovídá o stejné manažerské hloubce. Zadruhé, nejpřesvědčivějším znakem implementace je zveřejněná vazba na rozhodnutí o kapitálu, riziku, produktu, dodavateli, odměně nebo provozu. Zatřetí, reporty lépe dokládají procesy, aktivity a provozní outcomes než širší kauzální dopady.</w:t>
      </w:r>
    </w:p>
    <w:p>
      <w:pPr>
        <w:pStyle w:val="Normal"/>
        <w:widowControl/>
        <w:spacing w:lineRule="auto" w:line="360"/>
        <w:ind w:firstLine="709"/>
        <w:jc w:val="both"/>
        <w:rPr/>
      </w:pPr>
      <w:r>
        <w:rPr/>
        <w:t>Informační kvalita se zvyšuje, když podnik vedle cílů zveřejní také hranici, restatement, zhoršený trend, nevyřešený negativní dopad nebo chybějící cíl. Taková informace sama neznamená lepší výkonnost. Umožňuje však přesněji rozlišit mezi tím, co organizace deklaruje, co řídí, co může rozhodnutím ovlivnit a co dosud nedokáže prokázat.</w:t>
      </w:r>
    </w:p>
    <w:p>
      <w:pPr>
        <w:pStyle w:val="Normal"/>
        <w:rPr/>
      </w:pPr>
      <w:r>
        <w:rPr/>
      </w:r>
      <w:r>
        <w:br w:type="page"/>
      </w:r>
    </w:p>
    <w:p>
      <w:pPr>
        <w:pStyle w:val="Heading1"/>
        <w:keepNext w:val="true"/>
        <w:widowControl/>
        <w:spacing w:before="0" w:after="180"/>
        <w:ind w:hanging="0"/>
        <w:rPr/>
      </w:pPr>
      <w:bookmarkStart w:id="98" w:name="__RefHeading___Toc2289_2077070603"/>
      <w:bookmarkEnd w:id="98"/>
      <w:r>
        <w:rPr/>
        <w:t>5 Diskuse</w:t>
      </w:r>
    </w:p>
    <w:p>
      <w:pPr>
        <w:pStyle w:val="Heading2"/>
        <w:keepNext w:val="true"/>
        <w:widowControl/>
        <w:ind w:hanging="0"/>
        <w:rPr/>
      </w:pPr>
      <w:bookmarkStart w:id="99" w:name="__RefHeading___Toc2291_2077070603"/>
      <w:bookmarkEnd w:id="99"/>
      <w:r>
        <w:rPr/>
        <w:t>5.1 Odpověď na hlavní výzkumnou otázku</w:t>
      </w:r>
    </w:p>
    <w:p>
      <w:pPr>
        <w:pStyle w:val="Normal"/>
        <w:widowControl/>
        <w:spacing w:lineRule="auto" w:line="360"/>
        <w:ind w:firstLine="709"/>
        <w:jc w:val="both"/>
        <w:rPr/>
      </w:pPr>
      <w:r>
        <w:rPr/>
        <w:t>Hlavní výzkumná otázka se ptala, jak vybrané velké podniky působící v České republice ve veřejných zprávách za rok 2024 konstruují a dokládají implementaci ESG a které znaky odlišují deklaraci, formalizaci a manažerskou integraci.</w:t>
      </w:r>
    </w:p>
    <w:p>
      <w:pPr>
        <w:pStyle w:val="Normal"/>
        <w:widowControl/>
        <w:spacing w:lineRule="auto" w:line="360"/>
        <w:ind w:firstLine="709"/>
        <w:jc w:val="both"/>
        <w:rPr/>
      </w:pPr>
      <w:r>
        <w:rPr/>
        <w:t>Výsledky ukazují, že podniky konstruují implementaci prostřednictvím podobného řetězce: materiální téma je zasazeno do strategie, přiřazeno governance struktuře, převedeno do politiky nebo opatření a doplněno cílem a metrikou. Tento řetězec odpovídá struktuře ESRS a obecnějšímu vývoji sustainability reportingu. Jeho jednotlivé články však nemají stejnou evidenční sílu.</w:t>
      </w:r>
    </w:p>
    <w:p>
      <w:pPr>
        <w:pStyle w:val="Normal"/>
        <w:widowControl/>
        <w:spacing w:lineRule="auto" w:line="360"/>
        <w:ind w:firstLine="709"/>
        <w:jc w:val="both"/>
        <w:rPr/>
      </w:pPr>
      <w:r>
        <w:rPr>
          <w:b/>
        </w:rPr>
        <w:t>Deklaraci</w:t>
      </w:r>
      <w:r>
        <w:rPr/>
        <w:t xml:space="preserve"> charakterizuje hodnotový nebo strategický závazek bez konkrétního mechanismu. Podnik může označit udržitelnost za prioritu, aniž je zřejmé, kdo odpovídá, jaký je cíl nebo jaké rozhodnutí se změní.</w:t>
      </w:r>
    </w:p>
    <w:p>
      <w:pPr>
        <w:pStyle w:val="Normal"/>
        <w:widowControl/>
        <w:spacing w:lineRule="auto" w:line="360"/>
        <w:ind w:firstLine="709"/>
        <w:jc w:val="both"/>
        <w:rPr/>
      </w:pPr>
      <w:r>
        <w:rPr>
          <w:b/>
        </w:rPr>
        <w:t>Formalizace</w:t>
      </w:r>
      <w:r>
        <w:rPr/>
        <w:t xml:space="preserve"> nastává, když téma získá vlastníka, proces, kontrolní kadenci, hranici měření, baseline, cíl nebo časovou řadu. Formalizace je významná: umožňuje odpovědnost, opakování a interní kontrolu. Stále však může fungovat převážně jako reportingová infrastruktura.</w:t>
      </w:r>
    </w:p>
    <w:p>
      <w:pPr>
        <w:pStyle w:val="Normal"/>
        <w:widowControl/>
        <w:spacing w:lineRule="auto" w:line="360"/>
        <w:ind w:firstLine="709"/>
        <w:jc w:val="both"/>
        <w:rPr/>
      </w:pPr>
      <w:r>
        <w:rPr>
          <w:b/>
        </w:rPr>
        <w:t>Manažerskou integraci</w:t>
      </w:r>
      <w:r>
        <w:rPr/>
        <w:t xml:space="preserve"> nejlépe odlišuje rozhodovací vazba. Informace se stává součástí řízení tehdy, když může ovlivnit kapitálový plán, řízení rizika, podobu produktu, výběr dodavatele, odměňování nebo konkrétní provozní pravidlo. Rozhodovací vazba je proto významnějším znakem než počet KPI, existence výboru nebo délka reportu.</w:t>
      </w:r>
    </w:p>
    <w:p>
      <w:pPr>
        <w:pStyle w:val="Normal"/>
        <w:widowControl/>
        <w:spacing w:lineRule="auto" w:line="360"/>
        <w:ind w:firstLine="709"/>
        <w:jc w:val="both"/>
        <w:rPr/>
      </w:pPr>
      <w:r>
        <w:rPr/>
        <w:t>Toto zjištění neznamená, že každý mechanismus E3 vede k dostatečnému environmentálnímu nebo sociálnímu výsledku. Investiční plán může být nedostatečně ambiciózní, pobídka může mít malou skutečnou váhu a supplier rating může zachycovat především dokumentaci. E3 dokládá možnost organizačního důsledku, nikoli normativní kvalitu rozhodnutí.</w:t>
      </w:r>
    </w:p>
    <w:p>
      <w:pPr>
        <w:pStyle w:val="Normal"/>
        <w:widowControl/>
        <w:spacing w:lineRule="auto" w:line="360"/>
        <w:ind w:firstLine="709"/>
        <w:jc w:val="both"/>
        <w:rPr/>
      </w:pPr>
      <w:r>
        <w:rPr/>
        <w:t>Poslední vrstvou je externě podpořený výsledek. Analýza ukázala, že takový důkaz je vzácný a úzce vymezený. Ani assurance nad rozsáhlou zprávou nepředstavuje audit celkové účinnosti strategie. Veřejné dokumenty proto mohou přesvědčivěji dokládat existenci mechanismu než konečný kauzální dopad.</w:t>
      </w:r>
    </w:p>
    <w:p>
      <w:pPr>
        <w:pStyle w:val="Heading2"/>
        <w:keepNext w:val="true"/>
        <w:widowControl/>
        <w:ind w:hanging="0"/>
        <w:rPr/>
      </w:pPr>
      <w:bookmarkStart w:id="100" w:name="__RefHeading___Toc2293_2077070603"/>
      <w:bookmarkEnd w:id="100"/>
      <w:r>
        <w:rPr/>
        <w:t>5.2 Institucionální izomorfismus: podobné reporty, odlišné řízení</w:t>
      </w:r>
    </w:p>
    <w:p>
      <w:pPr>
        <w:pStyle w:val="Normal"/>
        <w:widowControl/>
        <w:spacing w:lineRule="auto" w:line="360"/>
        <w:ind w:firstLine="709"/>
        <w:jc w:val="both"/>
        <w:rPr/>
      </w:pPr>
      <w:r>
        <w:rPr/>
        <w:t>První výsledkové téma podporuje institucionální interpretaci. DiMaggio a Powell (1983) předpokládají, že organizace pod společnými donucovacími, normativními a mimetickými tlaky přijímají podobné struktury. CSRD a ESRS vytvářejí silný donucovací tlak na obsah a uspořádání zveřejnění. Auditoři, poradci, profesní komunity a sustainability specialisté přispívají k normativnímu sjednocení. Organizace zároveň sledují reporty srovnatelných podniků a přebírají osvědčené formáty.</w:t>
      </w:r>
    </w:p>
    <w:p>
      <w:pPr>
        <w:pStyle w:val="Normal"/>
        <w:widowControl/>
        <w:spacing w:lineRule="auto" w:line="360"/>
        <w:ind w:firstLine="709"/>
        <w:jc w:val="both"/>
        <w:rPr/>
      </w:pPr>
      <w:r>
        <w:rPr/>
        <w:t>Ve čtyřech případech se tato podobnost projevila opakovaným sledem strategie, materialita, governance, cíle a metriky. Přínosem standardizace je dohledatelnost. Analytik nemusí v každém reportu začínat odlišnou terminologií a může porovnat například, zda orgán dostává informace, jak je vymezena dvojí materialita nebo zda cíl obsahuje baseline.</w:t>
      </w:r>
    </w:p>
    <w:p>
      <w:pPr>
        <w:pStyle w:val="Normal"/>
        <w:widowControl/>
        <w:spacing w:lineRule="auto" w:line="360"/>
        <w:ind w:firstLine="709"/>
        <w:jc w:val="both"/>
        <w:rPr/>
      </w:pPr>
      <w:r>
        <w:rPr/>
        <w:t>Institucionální teorie současně vysvětluje, proč společná forma nemůže být považována za společný výsledek. Organizace mohou přijmout podobné struktury pro legitimitu a compliance, ale jejich napojení na hlavní rozhodovací procesy se liší. ČEZ zveřejňuje přímé spojení přechodového plánu s investičním plánem. MONETA spojuje ESG s pobídkami, risk governance a měřením portfolia. O2 zachycuje přechodový stav, v němž existuje strategie a výbor, ale cíle i KPI nejvyššího orgánu se přestavují. Škoda Auto propojuje skupinovou strategii s produktovou, výrobní, kapitálovou a dodavatelskou logikou.</w:t>
      </w:r>
    </w:p>
    <w:p>
      <w:pPr>
        <w:pStyle w:val="Normal"/>
        <w:widowControl/>
        <w:spacing w:lineRule="auto" w:line="360"/>
        <w:ind w:firstLine="709"/>
        <w:jc w:val="both"/>
        <w:rPr/>
      </w:pPr>
      <w:r>
        <w:rPr/>
        <w:t xml:space="preserve">Výsledky tak nepodporují jednoduchou tezi, že standardizace je pouze formalita, ani opačnou tezi, že povinný report automaticky transformuje řízení. Regulace vytváří </w:t>
      </w:r>
      <w:r>
        <w:rPr>
          <w:b/>
        </w:rPr>
        <w:t>organizační infrastrukturu možnosti</w:t>
      </w:r>
      <w:r>
        <w:rPr/>
        <w:t>: požaduje data, role a vysvětlení. Zda se tato infrastruktura stane paralelní reportovací vrstvou, nebo vstoupí do rozhodování, závisí na sektorové materialitě, vlastnictví procesu, dostupnosti zdrojů a existujících řídicích systémech.</w:t>
      </w:r>
    </w:p>
    <w:p>
      <w:pPr>
        <w:pStyle w:val="Normal"/>
        <w:widowControl/>
        <w:spacing w:lineRule="auto" w:line="360"/>
        <w:ind w:firstLine="709"/>
        <w:jc w:val="both"/>
        <w:rPr/>
      </w:pPr>
      <w:r>
        <w:rPr/>
        <w:t>Pozdější zúžení evropského reportovacího rámce dává tomuto závěru další význam. Pokud některé procesy přetrvají i po snížení právní povinnosti, může to naznačovat, že získaly provozní nebo finanční funkci. Dokumenty za rok 2024 tuto budoucí perzistenci samozřejmě neprokazují. Nabízejí však výchozí bod pro longitudinální srovnání.</w:t>
      </w:r>
    </w:p>
    <w:p>
      <w:pPr>
        <w:pStyle w:val="Heading2"/>
        <w:keepNext w:val="true"/>
        <w:widowControl/>
        <w:ind w:hanging="0"/>
        <w:rPr/>
      </w:pPr>
      <w:bookmarkStart w:id="101" w:name="__RefHeading___Toc2295_2077070603"/>
      <w:bookmarkEnd w:id="101"/>
      <w:r>
        <w:rPr/>
        <w:t>5.3 Materialita jako seznam versus materialita jako alokační mechanismus</w:t>
      </w:r>
    </w:p>
    <w:p>
      <w:pPr>
        <w:pStyle w:val="Normal"/>
        <w:widowControl/>
        <w:spacing w:lineRule="auto" w:line="360"/>
        <w:ind w:firstLine="709"/>
        <w:jc w:val="both"/>
        <w:rPr/>
      </w:pPr>
      <w:r>
        <w:rPr/>
        <w:t>Dvojí materialita je v reportech často zobrazena jako proces a výsledný seznam témat. Z hlediska implementace je však důležitější, co následuje po identifikaci. Khan et al. (2016) ukazují význam soustředění na materiální témata z hlediska podnikové výkonnosti, jejich finanční pojetí však nepokrývá celý evropský koncept dopadové materiality. ESRS rozšiřují analytický rámec o dopady podniku na lidi a životní prostředí.</w:t>
      </w:r>
    </w:p>
    <w:p>
      <w:pPr>
        <w:pStyle w:val="Normal"/>
        <w:widowControl/>
        <w:spacing w:lineRule="auto" w:line="360"/>
        <w:ind w:firstLine="709"/>
        <w:jc w:val="both"/>
        <w:rPr/>
      </w:pPr>
      <w:r>
        <w:rPr/>
        <w:t>Výsledky naznačují, že materialita má nejvyšší manažerskou hodnotu, když funguje jako alokační mechanismus. U ČEZ se klimatická materialita promítá do přechodového a investičního plánu. U MONETA vede velikost financovaných emisí k rozvoji metodiky portfolia, i když outcome cíl zatím chybí. U O2 se energetická materialita překládá do rozhodování o infrastruktuře. U Škoda Auto se produktová a hodnotově-řetězcová materialita propojuje s životním cyklem produktu, CapEx a dodavatelským ratingem.</w:t>
      </w:r>
    </w:p>
    <w:p>
      <w:pPr>
        <w:pStyle w:val="Normal"/>
        <w:widowControl/>
        <w:spacing w:lineRule="auto" w:line="360"/>
        <w:ind w:firstLine="709"/>
        <w:jc w:val="both"/>
        <w:rPr/>
      </w:pPr>
      <w:r>
        <w:rPr/>
        <w:t>Tento výsledek umožňuje rozlišit tři úrovně materialitního procesu:</w:t>
      </w:r>
    </w:p>
    <w:p>
      <w:pPr>
        <w:pStyle w:val="Normal"/>
        <w:widowControl/>
        <w:spacing w:lineRule="auto" w:line="360" w:before="0" w:after="0"/>
        <w:ind w:hanging="255" w:start="425"/>
        <w:jc w:val="both"/>
        <w:rPr/>
      </w:pPr>
      <w:r>
        <w:rPr/>
        <w:t xml:space="preserve">1. </w:t>
      </w:r>
      <w:r>
        <w:rPr>
          <w:b/>
        </w:rPr>
        <w:t>diagnostická:</w:t>
      </w:r>
      <w:r>
        <w:rPr/>
        <w:t xml:space="preserve"> podnik identifikuje a seřadí témata;</w:t>
      </w:r>
    </w:p>
    <w:p>
      <w:pPr>
        <w:pStyle w:val="Normal"/>
        <w:widowControl/>
        <w:spacing w:lineRule="auto" w:line="360" w:before="0" w:after="0"/>
        <w:ind w:hanging="255" w:start="425"/>
        <w:jc w:val="both"/>
        <w:rPr/>
      </w:pPr>
      <w:r>
        <w:rPr/>
        <w:t xml:space="preserve">2. </w:t>
      </w:r>
      <w:r>
        <w:rPr>
          <w:b/>
        </w:rPr>
        <w:t>organizační:</w:t>
      </w:r>
      <w:r>
        <w:rPr/>
        <w:t xml:space="preserve"> přidělí téma vlastníkovi, metrice a kontrolní kadenci;</w:t>
      </w:r>
    </w:p>
    <w:p>
      <w:pPr>
        <w:pStyle w:val="Normal"/>
        <w:widowControl/>
        <w:spacing w:lineRule="auto" w:line="360" w:before="0" w:after="0"/>
        <w:ind w:hanging="255" w:start="425"/>
        <w:jc w:val="both"/>
        <w:rPr/>
      </w:pPr>
      <w:r>
        <w:rPr/>
        <w:t xml:space="preserve">3. </w:t>
      </w:r>
      <w:r>
        <w:rPr>
          <w:b/>
        </w:rPr>
        <w:t>alokační:</w:t>
      </w:r>
      <w:r>
        <w:rPr/>
        <w:t xml:space="preserve"> výsledek ovlivní zdroje nebo rozhodovací pravidlo.</w:t>
      </w:r>
    </w:p>
    <w:p>
      <w:pPr>
        <w:pStyle w:val="Normal"/>
        <w:widowControl/>
        <w:spacing w:lineRule="auto" w:line="360"/>
        <w:ind w:firstLine="709"/>
        <w:jc w:val="both"/>
        <w:rPr/>
      </w:pPr>
      <w:r>
        <w:rPr/>
        <w:t>První dvě úrovně jsou ve veřejných reportech relativně dobře viditelné. Třetí je méně častá, ale představuje nejsilnější znak integrace. Pro budoucí výzkum by bylo užitečné sledovat, zda změna materialitního výsledku skutečně vede ke změně investičního nebo rizikového rozhodnutí. K tomu by byla potřebná triangulace s interními dokumenty a rozhovory.</w:t>
      </w:r>
    </w:p>
    <w:p>
      <w:pPr>
        <w:pStyle w:val="Heading2"/>
        <w:keepNext w:val="true"/>
        <w:widowControl/>
        <w:ind w:hanging="0"/>
        <w:rPr/>
      </w:pPr>
      <w:bookmarkStart w:id="102" w:name="__RefHeading___Toc2297_2077070603"/>
      <w:bookmarkEnd w:id="102"/>
      <w:r>
        <w:rPr/>
        <w:t>5.4 Governance: od organigramu ke schopnosti korigovat rozhodnutí</w:t>
      </w:r>
    </w:p>
    <w:p>
      <w:pPr>
        <w:pStyle w:val="Normal"/>
        <w:widowControl/>
        <w:spacing w:lineRule="auto" w:line="360"/>
        <w:ind w:firstLine="709"/>
        <w:jc w:val="both"/>
        <w:rPr/>
      </w:pPr>
      <w:r>
        <w:rPr/>
        <w:t>Výsledky potvrzují význam organizačních procesů zdůrazněný Eccles et al. (2014). Udržitelnostní agenda se stává řiditelnou, když má odpovědného vlastníka, pravidelný informační tok a mechanismus kontroly. Zveřejněné organigramy však mohou vytvářet iluzi úplnosti.</w:t>
      </w:r>
    </w:p>
    <w:p>
      <w:pPr>
        <w:pStyle w:val="Normal"/>
        <w:widowControl/>
        <w:spacing w:lineRule="auto" w:line="360"/>
        <w:ind w:firstLine="709"/>
        <w:jc w:val="both"/>
        <w:rPr/>
      </w:pPr>
      <w:r>
        <w:rPr/>
        <w:t>Analýza proto rozlišovala několik governance znaků. Nejslabší je pouhé pojmenování výboru. Silnější je uvedení jeho složení a mandátu. Ještě silnější je pravidelná kadence a vazba na konkrétní KPI. Nejvyšší veřejně zjistitelnou sílu má pravomoc zahájit korekci, propojení s odměňováním nebo doložený vliv na alokaci.</w:t>
      </w:r>
    </w:p>
    <w:p>
      <w:pPr>
        <w:pStyle w:val="Normal"/>
        <w:widowControl/>
        <w:spacing w:lineRule="auto" w:line="360"/>
        <w:ind w:firstLine="709"/>
        <w:jc w:val="both"/>
        <w:rPr/>
      </w:pPr>
      <w:r>
        <w:rPr/>
        <w:t>MONETA zveřejňuje kombinaci CEO-chaired výboru, čtvrtletního monitoringu, možnosti korekce, linií obrany a variabilního odměňování. ČEZ má board-level vlastníka a společný ESG úkol členů představenstva s vazbou na odměnu. O2 uvádí pravidelný report představenstvu a průřezový výbor, současně však přiznává absenci KPI pro hodnocení nejvyššího orgánu v daném období. Škoda Auto dokládá definované role, externí expertní radu a odborový dialog, méně však zveřejňuje, jak tyto vstupy změnily konkrétní rozhodnutí.</w:t>
      </w:r>
    </w:p>
    <w:p>
      <w:pPr>
        <w:pStyle w:val="Normal"/>
        <w:widowControl/>
        <w:spacing w:lineRule="auto" w:line="360"/>
        <w:ind w:firstLine="709"/>
        <w:jc w:val="both"/>
        <w:rPr/>
      </w:pPr>
      <w:r>
        <w:rPr/>
        <w:t xml:space="preserve">Veřejný report má v této oblasti přirozenou hranici. Zápisy, konflikty, zamítnuté projekty a skutečné používání eskalace obvykle nejsou dostupné. Nelze tedy určit, zda je výbor živým rozhodovacím fórem, nebo spíše koordinačním a reportovacím orgánem. V kvalitativní interpretaci je proto vhodnější hovořit o </w:t>
      </w:r>
      <w:r>
        <w:rPr>
          <w:b/>
        </w:rPr>
        <w:t>zveřejněné governance kapacitě</w:t>
      </w:r>
      <w:r>
        <w:rPr/>
        <w:t xml:space="preserve"> než o prokázané governance účinnosti.</w:t>
      </w:r>
    </w:p>
    <w:p>
      <w:pPr>
        <w:pStyle w:val="Normal"/>
        <w:widowControl/>
        <w:spacing w:lineRule="auto" w:line="360"/>
        <w:ind w:firstLine="709"/>
        <w:jc w:val="both"/>
        <w:rPr/>
      </w:pPr>
      <w:r>
        <w:rPr/>
        <w:t>Praktickým důsledkem je změna způsobu hodnocení. Čtenář by se neměl ptát pouze „má firma ESG výbor?“, ale:</w:t>
      </w:r>
    </w:p>
    <w:p>
      <w:pPr>
        <w:pStyle w:val="ListBullet"/>
        <w:widowControl/>
        <w:numPr>
          <w:ilvl w:val="0"/>
          <w:numId w:val="1"/>
        </w:numPr>
        <w:spacing w:lineRule="auto" w:line="360" w:before="0" w:after="0"/>
        <w:ind w:hanging="142" w:start="425"/>
        <w:contextualSpacing/>
        <w:rPr/>
      </w:pPr>
      <w:r>
        <w:rPr/>
        <w:t>jaká rozhodnutí výbor sleduje;</w:t>
      </w:r>
    </w:p>
    <w:p>
      <w:pPr>
        <w:pStyle w:val="ListBullet"/>
        <w:widowControl/>
        <w:numPr>
          <w:ilvl w:val="0"/>
          <w:numId w:val="1"/>
        </w:numPr>
        <w:spacing w:lineRule="auto" w:line="360" w:before="0" w:after="0"/>
        <w:ind w:hanging="142" w:start="425"/>
        <w:contextualSpacing/>
        <w:rPr/>
      </w:pPr>
      <w:r>
        <w:rPr/>
        <w:t>jak často se schází;</w:t>
      </w:r>
    </w:p>
    <w:p>
      <w:pPr>
        <w:pStyle w:val="ListBullet"/>
        <w:widowControl/>
        <w:numPr>
          <w:ilvl w:val="0"/>
          <w:numId w:val="1"/>
        </w:numPr>
        <w:spacing w:lineRule="auto" w:line="360" w:before="0" w:after="0"/>
        <w:ind w:hanging="142" w:start="425"/>
        <w:contextualSpacing/>
        <w:rPr/>
      </w:pPr>
      <w:r>
        <w:rPr/>
        <w:t>jaké informace dostává;</w:t>
      </w:r>
    </w:p>
    <w:p>
      <w:pPr>
        <w:pStyle w:val="ListBullet"/>
        <w:widowControl/>
        <w:numPr>
          <w:ilvl w:val="0"/>
          <w:numId w:val="1"/>
        </w:numPr>
        <w:spacing w:lineRule="auto" w:line="360" w:before="0" w:after="0"/>
        <w:ind w:hanging="142" w:start="425"/>
        <w:contextualSpacing/>
        <w:rPr/>
      </w:pPr>
      <w:r>
        <w:rPr/>
        <w:t>co se stane při neplnění;</w:t>
      </w:r>
    </w:p>
    <w:p>
      <w:pPr>
        <w:pStyle w:val="ListBullet"/>
        <w:widowControl/>
        <w:numPr>
          <w:ilvl w:val="0"/>
          <w:numId w:val="1"/>
        </w:numPr>
        <w:spacing w:lineRule="auto" w:line="360" w:before="0" w:after="0"/>
        <w:ind w:hanging="142" w:start="425"/>
        <w:contextualSpacing/>
        <w:rPr/>
      </w:pPr>
      <w:r>
        <w:rPr/>
        <w:t>zda má vztah k odměně, rizikovému limitu nebo rozpočtu;</w:t>
      </w:r>
    </w:p>
    <w:p>
      <w:pPr>
        <w:pStyle w:val="ListBullet"/>
        <w:widowControl/>
        <w:numPr>
          <w:ilvl w:val="0"/>
          <w:numId w:val="1"/>
        </w:numPr>
        <w:spacing w:lineRule="auto" w:line="360" w:before="0" w:after="0"/>
        <w:ind w:hanging="142" w:start="425"/>
        <w:contextualSpacing/>
        <w:rPr/>
      </w:pPr>
      <w:r>
        <w:rPr/>
        <w:t>zda je zveřejněn příklad korekce.</w:t>
      </w:r>
    </w:p>
    <w:p>
      <w:pPr>
        <w:pStyle w:val="Heading2"/>
        <w:keepNext w:val="true"/>
        <w:widowControl/>
        <w:ind w:hanging="0"/>
        <w:rPr/>
      </w:pPr>
      <w:bookmarkStart w:id="103" w:name="__RefHeading___Toc2299_2077070603"/>
      <w:bookmarkEnd w:id="103"/>
      <w:r>
        <w:rPr/>
        <w:t>5.5 Legitimita, pozitivní narativ a význam negativních informací</w:t>
      </w:r>
    </w:p>
    <w:p>
      <w:pPr>
        <w:pStyle w:val="Normal"/>
        <w:widowControl/>
        <w:spacing w:lineRule="auto" w:line="360"/>
        <w:ind w:firstLine="709"/>
        <w:jc w:val="both"/>
        <w:rPr/>
      </w:pPr>
      <w:r>
        <w:rPr/>
        <w:t>Teorie legitimity předpokládá, že organizace aktivně vysvětlují a ospravedlňují své jednání vůči relevantním publikům (Suchman, 1995). Sustainability report je pro tuto funkci vhodným nástrojem: propojuje strategii, cíle, výsledky a příklady aktivit do koherentního narativu. Delmas a Burbano (2011) zároveň upozorňují na podmínky, za nichž vzniká mezera mezi komunikací a praxí.</w:t>
      </w:r>
    </w:p>
    <w:p>
      <w:pPr>
        <w:pStyle w:val="Normal"/>
        <w:widowControl/>
        <w:spacing w:lineRule="auto" w:line="360"/>
        <w:ind w:firstLine="709"/>
        <w:jc w:val="both"/>
        <w:rPr/>
      </w:pPr>
      <w:r>
        <w:rPr/>
        <w:t>Dokumentová analýza nemůže z pozitivního tónu odvodit úmysl greenwashingu. Může však hodnotit, zda report poskytuje informace, které umožní narativ korigovat. Výsledky podporují závěry Boirala (2013), podle nichž mohou formálně kvalitní reporty potlačovat negativní události a vytvářet idealizovaný obraz. V analyzovaném korpusu měla vysokou informační hodnotu právě místa, kde dokument přiznal napětí nebo neúplnost.</w:t>
      </w:r>
    </w:p>
    <w:p>
      <w:pPr>
        <w:pStyle w:val="Normal"/>
        <w:widowControl/>
        <w:spacing w:lineRule="auto" w:line="360"/>
        <w:ind w:firstLine="709"/>
        <w:jc w:val="both"/>
        <w:rPr/>
      </w:pPr>
      <w:r>
        <w:rPr/>
        <w:t>ČEZ zveřejňuje pokračující lignitovou expozici, trvalý dopad těžby na biodiverzitu a sociální náklady útlumu. MONETA uvádí kritický názor na reportovací zátěž, pokles zájmu investorů, zhoršení gender pay gap, chybějící outcome cíl financovaných emisí a zrušení jednoho KPI. O2 přiznává reset cílů, růst energie a části emisí, restatement historických hodnot, neúplnou governance a absenci assurance. Škoda Auto koriguje jednoduchý pozitivní obraz rozdílem mezi taxonomickou způsobilostí a sladěností a skupinovými hranicemi, ve vybraném online obsahu však obsahuje méně explicitních neúspěchů.</w:t>
      </w:r>
    </w:p>
    <w:p>
      <w:pPr>
        <w:pStyle w:val="Normal"/>
        <w:widowControl/>
        <w:spacing w:lineRule="auto" w:line="360"/>
        <w:ind w:firstLine="709"/>
        <w:jc w:val="both"/>
        <w:rPr/>
      </w:pPr>
      <w:r>
        <w:rPr/>
        <w:t xml:space="preserve">Negativní informace nelze zaměnit za negativní hodnocení organizace. Podnik, který zveřejní zhoršený ukazatel, může mít lepší kontrolní systém než podnik, který obdobný problém nezměří nebo nepublikuje. Kvalita zveřejnění proto zahrnuje nejen úspěch, ale i </w:t>
      </w:r>
      <w:r>
        <w:rPr>
          <w:b/>
        </w:rPr>
        <w:t>schopnost reportu učinit selhání, hranici a nejistotu viditelnými</w:t>
      </w:r>
      <w:r>
        <w:rPr/>
        <w:t>.</w:t>
      </w:r>
    </w:p>
    <w:p>
      <w:pPr>
        <w:pStyle w:val="Normal"/>
        <w:widowControl/>
        <w:spacing w:lineRule="auto" w:line="360"/>
        <w:ind w:firstLine="709"/>
        <w:jc w:val="both"/>
        <w:rPr/>
      </w:pPr>
      <w:r>
        <w:rPr/>
        <w:t>Toto zjištění doplňuje Michelon et al. (2015). Samostatný report, standard nebo assurance nejsou samy o sobě dostatečným znakem kvality. Podstatnější je specifita, vyváženost, srovnatelnost a manažerská orientace informací.</w:t>
      </w:r>
    </w:p>
    <w:p>
      <w:pPr>
        <w:pStyle w:val="Heading2"/>
        <w:keepNext w:val="true"/>
        <w:widowControl/>
        <w:ind w:hanging="0"/>
        <w:rPr/>
      </w:pPr>
      <w:bookmarkStart w:id="104" w:name="__RefHeading___Toc2301_2077070603"/>
      <w:bookmarkEnd w:id="104"/>
      <w:r>
        <w:rPr/>
        <w:t>5.6 Aktivita, outcome a dopad</w:t>
      </w:r>
    </w:p>
    <w:p>
      <w:pPr>
        <w:pStyle w:val="Normal"/>
        <w:widowControl/>
        <w:spacing w:lineRule="auto" w:line="360"/>
        <w:ind w:firstLine="709"/>
        <w:jc w:val="both"/>
        <w:rPr/>
      </w:pPr>
      <w:r>
        <w:rPr/>
        <w:t>Jedním z nejčastějších interpretačních rizik bylo zaměnění úrovní výsledku. Reporty mohou přesně uvádět počet proškolených zaměstnanců, účastníků programu, zapojených dodavatelů nebo bezpečnostních zásahů. Tyto hodnoty jsou důležité pro řízení kapacity a dosahu, ale představují především outputs.</w:t>
      </w:r>
    </w:p>
    <w:p>
      <w:pPr>
        <w:pStyle w:val="Normal"/>
        <w:widowControl/>
        <w:spacing w:lineRule="auto" w:line="360"/>
        <w:ind w:firstLine="709"/>
        <w:jc w:val="both"/>
        <w:rPr/>
      </w:pPr>
      <w:r>
        <w:rPr/>
        <w:t>Outcome označuje změnu stavu: nižší spotřebu na jednotku, změnu pay gap, snížení emisní intenzity, podíl elektrických vozidel nebo dosaženou kvalitu portfolia. Ani outcome však automaticky neprokazuje širší dopad nebo kauzalitu. Snížení intenzity může doprovázet růst absolutního objemu. Změna spotřeby může být ovlivněna akvizicí nebo hranicí. Počet blokovaných útoků neukazuje, kolik škody bylo zabráněno v důsledku jedné politiky.</w:t>
      </w:r>
    </w:p>
    <w:p>
      <w:pPr>
        <w:pStyle w:val="Normal"/>
        <w:widowControl/>
        <w:spacing w:lineRule="auto" w:line="360"/>
        <w:ind w:firstLine="709"/>
        <w:jc w:val="both"/>
        <w:rPr/>
      </w:pPr>
      <w:r>
        <w:rPr/>
        <w:t>Tento rozdíl je zásadní pro diskusi o ESG výkonnosti. Friede et al. (2015) a Gillan et al. (2021) ukazují, že závěry o vztahu ESG a finančního výkonu závisí na definici proměnných a designu. Podobný problém existuje uvnitř jednoho reportu: „ESG aktivita“ může znamenat výdaj, počet účastníků, změnu provozního ukazatele nebo společenský efekt. Bez oddělení těchto úrovní vzniká falešná přesnost.</w:t>
      </w:r>
    </w:p>
    <w:p>
      <w:pPr>
        <w:pStyle w:val="Normal"/>
        <w:widowControl/>
        <w:spacing w:lineRule="auto" w:line="360"/>
        <w:ind w:firstLine="709"/>
        <w:jc w:val="both"/>
        <w:rPr/>
      </w:pPr>
      <w:r>
        <w:rPr/>
        <w:t>Škála E0–E4 tento problém řeší pouze částečně. Umožňuje zabránit tomu, aby byla aktivita vydávána za outcome a governance proces za dopad. Sama však neměří význam dopadu ani jeho dostatečnost. E2 může být metodicky kvalitní, ale zaměřená na okrajové téma. E3 může být silně integrovaná, ale vést k malému zlepšení. E4 může potvrdit správnost výpočtu, nikoli normativní adekvátnost cíle.</w:t>
      </w:r>
    </w:p>
    <w:p>
      <w:pPr>
        <w:pStyle w:val="Heading2"/>
        <w:keepNext w:val="true"/>
        <w:widowControl/>
        <w:ind w:hanging="0"/>
        <w:rPr/>
      </w:pPr>
      <w:bookmarkStart w:id="105" w:name="__RefHeading___Toc2303_2077070603"/>
      <w:bookmarkEnd w:id="105"/>
      <w:r>
        <w:rPr/>
        <w:t>5.7 Externí ujištění bez halo efektu</w:t>
      </w:r>
    </w:p>
    <w:p>
      <w:pPr>
        <w:pStyle w:val="Normal"/>
        <w:widowControl/>
        <w:spacing w:lineRule="auto" w:line="360"/>
        <w:ind w:firstLine="709"/>
        <w:jc w:val="both"/>
        <w:rPr/>
      </w:pPr>
      <w:r>
        <w:rPr/>
        <w:t>Assurance je často vnímáno jako jednoduchá značka důvěryhodnosti. Analýza však ukázala potřebu oddělit několik otázek: co je ověřeno, jakou úrovní, podle jakého standardu a zda text nepřekračuje rozsah závěru.</w:t>
      </w:r>
    </w:p>
    <w:p>
      <w:pPr>
        <w:pStyle w:val="Normal"/>
        <w:widowControl/>
        <w:spacing w:lineRule="auto" w:line="360"/>
        <w:ind w:firstLine="709"/>
        <w:jc w:val="both"/>
        <w:rPr/>
      </w:pPr>
      <w:r>
        <w:rPr/>
        <w:t>ČEZ má omezené ujištění nad konsolidovanou zprávou o udržitelnosti. To zvyšuje důvěryhodnost vymezených disclosure a kontroly procesu, ale neprokazuje účinnost materiality ani budoucí úspěch přechodového plánu. MONETA uvádí přiměřené ujištění metodiky vymezené části financovaných emisí. To poskytuje silnou podporu konkrétnímu výpočtu, ne výsledku dekarbonizace. O2 explicitně assurance nemá; jeho data proto nejsou automaticky nepravdivá, ale chybí jim tato externí vrstva kontroly.</w:t>
      </w:r>
    </w:p>
    <w:p>
      <w:pPr>
        <w:pStyle w:val="Normal"/>
        <w:widowControl/>
        <w:spacing w:lineRule="auto" w:line="360"/>
        <w:ind w:firstLine="709"/>
        <w:jc w:val="both"/>
        <w:rPr/>
      </w:pPr>
      <w:r>
        <w:rPr/>
        <w:t>Oddělení assurance od evidenční třídy zabraňuje dvěma chybám. První by připsala vysokou důvěryhodnost každému tvrzení v ověřeném reportu. Druhá by podcenila silný E3 rozhodovací mechanismus jen proto, že nebyl samostatně assurance ověřen. Hloubka implementace a nezávislá spolehlivost výsledku jsou dvě různé dimenze.</w:t>
      </w:r>
    </w:p>
    <w:p>
      <w:pPr>
        <w:pStyle w:val="Normal"/>
        <w:widowControl/>
        <w:spacing w:lineRule="auto" w:line="360"/>
        <w:ind w:firstLine="709"/>
        <w:jc w:val="both"/>
        <w:rPr/>
      </w:pPr>
      <w:r>
        <w:rPr/>
        <w:t>Pro praxi z toho plyne, že podnik by měl transparentně uvádět rozsah assurance a neprezentovat obecnou značku „ověřeno“ bez vymezení. Hodnotitel by měl otevřít assurance report a zjistit, které informace a postupy byly skutečně zahrnuty.</w:t>
      </w:r>
    </w:p>
    <w:p>
      <w:pPr>
        <w:pStyle w:val="Heading2"/>
        <w:keepNext w:val="true"/>
        <w:widowControl/>
        <w:ind w:hanging="0"/>
        <w:rPr/>
      </w:pPr>
      <w:bookmarkStart w:id="106" w:name="__RefHeading___Toc2305_2077070603"/>
      <w:bookmarkEnd w:id="106"/>
      <w:r>
        <w:rPr/>
        <w:t>5.8 Přínos a limity škály E0–E4</w:t>
      </w:r>
    </w:p>
    <w:p>
      <w:pPr>
        <w:pStyle w:val="Normal"/>
        <w:widowControl/>
        <w:spacing w:lineRule="auto" w:line="360"/>
        <w:ind w:firstLine="709"/>
        <w:jc w:val="both"/>
        <w:rPr/>
      </w:pPr>
      <w:r>
        <w:rPr/>
        <w:t>Škála byla vytvořena jako pracovní nástroj pro tuto analýzu, nikoli jako validovaný rating. Jejím hlavním přínosem je změna jednotky hodnocení. Namísto otázky „jak kvalitní ESG má firma?“ se ptá „jak silně je doloženo toto konkrétní tvrzení?“</w:t>
      </w:r>
    </w:p>
    <w:p>
      <w:pPr>
        <w:pStyle w:val="Normal"/>
        <w:widowControl/>
        <w:spacing w:lineRule="auto" w:line="360"/>
        <w:ind w:firstLine="709"/>
        <w:jc w:val="both"/>
        <w:rPr/>
      </w:pPr>
      <w:r>
        <w:rPr/>
        <w:t>Tento přístup omezuje halo efekt. Podnik s rozsáhlým reportem může mít některá tvrzení E0 a jiná E3. Podnik bez assurance může zveřejnit přesvědčivou rozhodovací vazbu. Externě ověřená metrika může být E4 z hlediska výpočtu, ale může se týkat oblasti, pro niž chybí outcome cíl.</w:t>
      </w:r>
    </w:p>
    <w:p>
      <w:pPr>
        <w:pStyle w:val="Normal"/>
        <w:widowControl/>
        <w:spacing w:lineRule="auto" w:line="360"/>
        <w:ind w:firstLine="709"/>
        <w:jc w:val="both"/>
        <w:rPr/>
      </w:pPr>
      <w:r>
        <w:rPr/>
        <w:t>Škála dále podporuje přesnější psaní. E0 vede k formulaci „podnik deklaruje“. E1 k formulaci „podnik uvádí provedenou aktivitu“. E2 umožňuje hovořit o formalizovaném procesu nebo sledovaném výsledku. E3 podporuje závěr o zveřejněné integraci do rozhodování. E4 dovoluje uvést, že konkrétní výsledek má silnou externí podporu v daném rozsahu.</w:t>
      </w:r>
    </w:p>
    <w:p>
      <w:pPr>
        <w:pStyle w:val="Normal"/>
        <w:widowControl/>
        <w:spacing w:lineRule="auto" w:line="360"/>
        <w:ind w:firstLine="709"/>
        <w:jc w:val="both"/>
        <w:rPr/>
      </w:pPr>
      <w:r>
        <w:rPr/>
        <w:t>Limity jsou nejméně čtyři. Zaprvé hranice mezi E1 a E2 nebo E2 a E3 vyžaduje interpretační úsudek. Zadruhé škála může normativně zvýhodnit formalizované velké podniky proti organizacím s účinnou, ale méně dokumentovanou praxí. Zatřetí E3 nehodnotí ambici ani směr rozhodnutí. Začtvrté E4 je závislá na dostupnosti assurance nebo triangulace, která může být nákladná a selektivní.</w:t>
      </w:r>
    </w:p>
    <w:p>
      <w:pPr>
        <w:pStyle w:val="Normal"/>
        <w:widowControl/>
        <w:spacing w:lineRule="auto" w:line="360"/>
        <w:ind w:firstLine="709"/>
        <w:jc w:val="both"/>
        <w:rPr/>
      </w:pPr>
      <w:r>
        <w:rPr/>
        <w:t>Budoucí výzkum by mohl škálu testovat na větším korpusu, použít více kodérů, porovnat hodnocení s interními dokumenty a ověřit, zda E3 vazby předpovídají stabilnější výsledky v čase.</w:t>
      </w:r>
    </w:p>
    <w:p>
      <w:pPr>
        <w:pStyle w:val="Heading2"/>
        <w:keepNext w:val="true"/>
        <w:widowControl/>
        <w:ind w:hanging="0"/>
        <w:rPr/>
      </w:pPr>
      <w:bookmarkStart w:id="107" w:name="__RefHeading___Toc2307_2077070603"/>
      <w:bookmarkEnd w:id="107"/>
      <w:r>
        <w:rPr/>
        <w:t>5.9 Sektorová materialita a nemožnost jednotného skóre</w:t>
      </w:r>
    </w:p>
    <w:p>
      <w:pPr>
        <w:pStyle w:val="Normal"/>
        <w:widowControl/>
        <w:spacing w:lineRule="auto" w:line="360"/>
        <w:ind w:firstLine="709"/>
        <w:jc w:val="both"/>
        <w:rPr/>
      </w:pPr>
      <w:r>
        <w:rPr/>
        <w:t>Komparace čtyř sektorů ukázala, že univerzální počet KPI by byl analyticky slabý. Energetika, bankovnictví, telekomunikace a automotive mají rozdílnou vazbu mezi vlastní činností, hodnotovým řetězcem a dopadem.</w:t>
      </w:r>
    </w:p>
    <w:p>
      <w:pPr>
        <w:pStyle w:val="Normal"/>
        <w:widowControl/>
        <w:spacing w:lineRule="auto" w:line="360"/>
        <w:ind w:firstLine="709"/>
        <w:jc w:val="both"/>
        <w:rPr/>
      </w:pPr>
      <w:r>
        <w:rPr/>
        <w:t>U ČEZ je centrální výroba energie, investiční portfolio a útlum uhlí. U MONETA je největší klimatická oblast mimo vlastní provoz v úvěrovém portfoliu. U O2 jsou vedle energie významné bezpečnost, dostupnost a digitální kompetence. U Škoda Auto je klíčový životní cyklus produktu, výroba a globální dodavatelé.</w:t>
      </w:r>
    </w:p>
    <w:p>
      <w:pPr>
        <w:pStyle w:val="Normal"/>
        <w:widowControl/>
        <w:spacing w:lineRule="auto" w:line="360"/>
        <w:ind w:firstLine="709"/>
        <w:jc w:val="both"/>
        <w:rPr/>
      </w:pPr>
      <w:r>
        <w:rPr/>
        <w:t>Berg et al. (2022) ukazují, že ESG ratingy se rozcházejí v rozsahu, měření a vahách. Výsledky této práce tento problém ilustrují na úrovni kvalitativního srovnání. Jednotné váhy by vyžadovaly rozhodnout, jak porovnat například biodiversitní dopad těžby, financed emissions, digitální bezpečnost a recyklovaný materiál. Takové rozhodnutí není technicky neutrální.</w:t>
      </w:r>
    </w:p>
    <w:p>
      <w:pPr>
        <w:pStyle w:val="Normal"/>
        <w:widowControl/>
        <w:spacing w:lineRule="auto" w:line="360"/>
        <w:ind w:firstLine="709"/>
        <w:jc w:val="both"/>
        <w:rPr/>
      </w:pPr>
      <w:r>
        <w:rPr/>
        <w:t>Práce proto používá společnou logiku mechanismu, nikoli společné skóre dopadu. Ptá se, zda je sektorově materiální téma spojeno s odpovědností, cílem, hranicí a rozhodnutím. Tento přístup zachovává srovnatelnost bez předstírání, že jsou samotné dopady zaměnitelné.</w:t>
      </w:r>
    </w:p>
    <w:p>
      <w:pPr>
        <w:pStyle w:val="Heading2"/>
        <w:keepNext w:val="true"/>
        <w:widowControl/>
        <w:ind w:hanging="0"/>
        <w:rPr/>
      </w:pPr>
      <w:bookmarkStart w:id="108" w:name="__RefHeading___Toc2309_2077070603"/>
      <w:bookmarkEnd w:id="108"/>
      <w:r>
        <w:rPr/>
        <w:t>5.10 Praktická doporučení pro podniky</w:t>
      </w:r>
    </w:p>
    <w:p>
      <w:pPr>
        <w:pStyle w:val="Normal"/>
        <w:widowControl/>
        <w:spacing w:lineRule="auto" w:line="360"/>
        <w:ind w:firstLine="709"/>
        <w:jc w:val="both"/>
        <w:rPr/>
      </w:pPr>
      <w:r>
        <w:rPr/>
        <w:t>Z výsledků lze odvodit několik doporučení pro tvorbu a řízení sustainability informací.</w:t>
      </w:r>
    </w:p>
    <w:p>
      <w:pPr>
        <w:pStyle w:val="Heading3"/>
        <w:keepNext w:val="true"/>
        <w:widowControl/>
        <w:ind w:hanging="0"/>
        <w:rPr/>
      </w:pPr>
      <w:bookmarkStart w:id="109" w:name="__RefHeading___Toc2311_2077070603"/>
      <w:bookmarkEnd w:id="109"/>
      <w:r>
        <w:rPr/>
        <w:t>5.10.1 Spojit tvrzení s rozhodovacím mechanismem</w:t>
      </w:r>
    </w:p>
    <w:p>
      <w:pPr>
        <w:pStyle w:val="Normal"/>
        <w:widowControl/>
        <w:spacing w:lineRule="auto" w:line="360"/>
        <w:ind w:firstLine="709"/>
        <w:jc w:val="both"/>
        <w:rPr/>
      </w:pPr>
      <w:r>
        <w:rPr/>
        <w:t>Místo obecného popisu priority je vhodné uvést, kdo rozhoduje, který proces se mění a jaký může mít výsledek důsledek. Pro čtenáře je informativnější vazba klimatického cíle na investiční plán než dlouhý seznam izolovaných projektů.</w:t>
      </w:r>
    </w:p>
    <w:p>
      <w:pPr>
        <w:pStyle w:val="Heading3"/>
        <w:keepNext w:val="true"/>
        <w:widowControl/>
        <w:ind w:hanging="0"/>
        <w:rPr/>
      </w:pPr>
      <w:bookmarkStart w:id="110" w:name="__RefHeading___Toc2313_2077070603"/>
      <w:bookmarkEnd w:id="110"/>
      <w:r>
        <w:rPr/>
        <w:t>5.10.2 Oddělit aktivitu, outcome a dopad</w:t>
      </w:r>
    </w:p>
    <w:p>
      <w:pPr>
        <w:pStyle w:val="Normal"/>
        <w:widowControl/>
        <w:spacing w:lineRule="auto" w:line="360"/>
        <w:ind w:firstLine="709"/>
        <w:jc w:val="both"/>
        <w:rPr/>
      </w:pPr>
      <w:r>
        <w:rPr/>
        <w:t>Počet proškolených osob nebo zapojených dodavatelů má být označen jako výstup. Pokud organizace tvrdí změnu chování nebo širší dopad, měla by uvést metodu, baseline, srovnání a omezení kauzální interpretace.</w:t>
      </w:r>
    </w:p>
    <w:p>
      <w:pPr>
        <w:pStyle w:val="Heading3"/>
        <w:keepNext w:val="true"/>
        <w:widowControl/>
        <w:ind w:hanging="0"/>
        <w:rPr/>
      </w:pPr>
      <w:bookmarkStart w:id="111" w:name="__RefHeading___Toc2315_2077070603"/>
      <w:bookmarkEnd w:id="111"/>
      <w:r>
        <w:rPr/>
        <w:t>5.10.3 Zveřejnit hranice a změny metodiky</w:t>
      </w:r>
    </w:p>
    <w:p>
      <w:pPr>
        <w:pStyle w:val="Normal"/>
        <w:widowControl/>
        <w:spacing w:lineRule="auto" w:line="360"/>
        <w:ind w:firstLine="709"/>
        <w:jc w:val="both"/>
        <w:rPr/>
      </w:pPr>
      <w:r>
        <w:rPr/>
        <w:t>Restatement, rozšíření portfolia nebo akvizice mohou významně změnit časovou řadu. Přepočet by měl být vysvětlen tak, aby čtenář rozlišil změnu výkonu od změny měření.</w:t>
      </w:r>
    </w:p>
    <w:p>
      <w:pPr>
        <w:pStyle w:val="Heading3"/>
        <w:keepNext w:val="true"/>
        <w:widowControl/>
        <w:ind w:hanging="0"/>
        <w:rPr/>
      </w:pPr>
      <w:bookmarkStart w:id="112" w:name="__RefHeading___Toc2317_2077070603"/>
      <w:bookmarkEnd w:id="112"/>
      <w:r>
        <w:rPr/>
        <w:t>5.10.4 Ukázat, co se stane při neplnění</w:t>
      </w:r>
    </w:p>
    <w:p>
      <w:pPr>
        <w:pStyle w:val="Normal"/>
        <w:widowControl/>
        <w:spacing w:lineRule="auto" w:line="360"/>
        <w:ind w:firstLine="709"/>
        <w:jc w:val="both"/>
        <w:rPr/>
      </w:pPr>
      <w:r>
        <w:rPr/>
        <w:t>Governance získává evidenční sílu, když je uveden korektivní mechanismus: eskalace, změna plánu, dopad na odměnu, nápravný plán dodavatele nebo investiční podmínka.</w:t>
      </w:r>
    </w:p>
    <w:p>
      <w:pPr>
        <w:pStyle w:val="Heading3"/>
        <w:keepNext w:val="true"/>
        <w:widowControl/>
        <w:ind w:hanging="0"/>
        <w:rPr/>
      </w:pPr>
      <w:bookmarkStart w:id="113" w:name="__RefHeading___Toc2319_2077070603"/>
      <w:bookmarkEnd w:id="113"/>
      <w:r>
        <w:rPr/>
        <w:t>5.10.5 Nezakrývat neúspěch</w:t>
      </w:r>
    </w:p>
    <w:p>
      <w:pPr>
        <w:pStyle w:val="Normal"/>
        <w:widowControl/>
        <w:spacing w:lineRule="auto" w:line="360"/>
        <w:ind w:firstLine="709"/>
        <w:jc w:val="both"/>
        <w:rPr/>
      </w:pPr>
      <w:r>
        <w:rPr/>
        <w:t>Zhoršený KPI, zrušený cíl nebo chybějící data mohou snížit reputační komfort, ale zvyšují rozhodovací hodnotu reportu. Transparentnost nevyřešeného problému je užitečnější než přesvědčivá, ale neověřitelná pozitivní formulace.</w:t>
      </w:r>
    </w:p>
    <w:p>
      <w:pPr>
        <w:pStyle w:val="Heading3"/>
        <w:keepNext w:val="true"/>
        <w:widowControl/>
        <w:ind w:hanging="0"/>
        <w:rPr/>
      </w:pPr>
      <w:bookmarkStart w:id="114" w:name="__RefHeading___Toc2321_2077070603"/>
      <w:bookmarkEnd w:id="114"/>
      <w:r>
        <w:rPr/>
        <w:t>5.10.6 Přesně vymezit assurance</w:t>
      </w:r>
    </w:p>
    <w:p>
      <w:pPr>
        <w:pStyle w:val="Normal"/>
        <w:widowControl/>
        <w:spacing w:lineRule="auto" w:line="360"/>
        <w:ind w:firstLine="709"/>
        <w:jc w:val="both"/>
        <w:rPr/>
      </w:pPr>
      <w:r>
        <w:rPr/>
        <w:t>Podnik by měl uvést úroveň, rozsah a předmět externího ověření. Obecná grafická značka „verified“ může vytvářet nesprávný dojem, že byly potvrzeny všechny informace a dopady.</w:t>
      </w:r>
    </w:p>
    <w:p>
      <w:pPr>
        <w:pStyle w:val="Heading2"/>
        <w:keepNext w:val="true"/>
        <w:widowControl/>
        <w:ind w:hanging="0"/>
        <w:rPr/>
      </w:pPr>
      <w:bookmarkStart w:id="115" w:name="__RefHeading___Toc2323_2077070603"/>
      <w:bookmarkEnd w:id="115"/>
      <w:r>
        <w:rPr/>
        <w:t>5.11 Doporučení pro čtenáře, investory a hodnotitele</w:t>
      </w:r>
    </w:p>
    <w:p>
      <w:pPr>
        <w:pStyle w:val="Normal"/>
        <w:widowControl/>
        <w:spacing w:lineRule="auto" w:line="360"/>
        <w:ind w:firstLine="709"/>
        <w:jc w:val="both"/>
        <w:rPr/>
      </w:pPr>
      <w:r>
        <w:rPr/>
        <w:t>Čtenář reportu by neměl používat délku dokumentu, počet KPI, rating ani assurance jako samostatnou zkratku kvality. Vhodnější je postupovat od konkrétního tvrzení:</w:t>
      </w:r>
    </w:p>
    <w:p>
      <w:pPr>
        <w:pStyle w:val="Normal"/>
        <w:widowControl/>
        <w:spacing w:lineRule="auto" w:line="360" w:before="0" w:after="0"/>
        <w:ind w:hanging="255" w:start="425"/>
        <w:jc w:val="both"/>
        <w:rPr/>
      </w:pPr>
      <w:r>
        <w:rPr/>
        <w:t>1. Je uvedena hranice a zdroj informace?</w:t>
      </w:r>
    </w:p>
    <w:p>
      <w:pPr>
        <w:pStyle w:val="Normal"/>
        <w:widowControl/>
        <w:spacing w:lineRule="auto" w:line="360" w:before="0" w:after="0"/>
        <w:ind w:hanging="255" w:start="425"/>
        <w:jc w:val="both"/>
        <w:rPr/>
      </w:pPr>
      <w:r>
        <w:rPr/>
        <w:t>2. Jde o závazek, aktivitu, outcome nebo dopad?</w:t>
      </w:r>
    </w:p>
    <w:p>
      <w:pPr>
        <w:pStyle w:val="Normal"/>
        <w:widowControl/>
        <w:spacing w:lineRule="auto" w:line="360" w:before="0" w:after="0"/>
        <w:ind w:hanging="255" w:start="425"/>
        <w:jc w:val="both"/>
        <w:rPr/>
      </w:pPr>
      <w:r>
        <w:rPr/>
        <w:t>3. Má cíl baseline a termín?</w:t>
      </w:r>
    </w:p>
    <w:p>
      <w:pPr>
        <w:pStyle w:val="Normal"/>
        <w:widowControl/>
        <w:spacing w:lineRule="auto" w:line="360" w:before="0" w:after="0"/>
        <w:ind w:hanging="255" w:start="425"/>
        <w:jc w:val="both"/>
        <w:rPr/>
      </w:pPr>
      <w:r>
        <w:rPr/>
        <w:t>4. Kdo je vlastníkem a jaká je kontrolní kadence?</w:t>
      </w:r>
    </w:p>
    <w:p>
      <w:pPr>
        <w:pStyle w:val="Normal"/>
        <w:widowControl/>
        <w:spacing w:lineRule="auto" w:line="360" w:before="0" w:after="0"/>
        <w:ind w:hanging="255" w:start="425"/>
        <w:jc w:val="both"/>
        <w:rPr/>
      </w:pPr>
      <w:r>
        <w:rPr/>
        <w:t>5. Ovlivňuje výsledek kapitál, riziko, produkt, dodavatele nebo odměnu?</w:t>
      </w:r>
    </w:p>
    <w:p>
      <w:pPr>
        <w:pStyle w:val="Normal"/>
        <w:widowControl/>
        <w:spacing w:lineRule="auto" w:line="360" w:before="0" w:after="0"/>
        <w:ind w:hanging="255" w:start="425"/>
        <w:jc w:val="both"/>
        <w:rPr/>
      </w:pPr>
      <w:r>
        <w:rPr/>
        <w:t>6. Je zveřejněn nepříznivý trend nebo alternativní výklad?</w:t>
      </w:r>
    </w:p>
    <w:p>
      <w:pPr>
        <w:pStyle w:val="Normal"/>
        <w:widowControl/>
        <w:spacing w:lineRule="auto" w:line="360" w:before="0" w:after="0"/>
        <w:ind w:hanging="255" w:start="425"/>
        <w:jc w:val="both"/>
        <w:rPr/>
      </w:pPr>
      <w:r>
        <w:rPr/>
        <w:t>7. Co přesně bylo externě ověřeno?</w:t>
      </w:r>
    </w:p>
    <w:p>
      <w:pPr>
        <w:pStyle w:val="Normal"/>
        <w:widowControl/>
        <w:spacing w:lineRule="auto" w:line="360"/>
        <w:ind w:firstLine="709"/>
        <w:jc w:val="both"/>
        <w:rPr/>
      </w:pPr>
      <w:r>
        <w:rPr/>
        <w:t>Tento postup je použitelný i mimo analyzované případy. Neprodukuje rychlé souhrnné skóre, ale snižuje riziko, že se formální znaky zamění za substantivní výsledek.</w:t>
      </w:r>
    </w:p>
    <w:p>
      <w:pPr>
        <w:pStyle w:val="Heading2"/>
        <w:keepNext w:val="true"/>
        <w:widowControl/>
        <w:ind w:hanging="0"/>
        <w:rPr/>
      </w:pPr>
      <w:bookmarkStart w:id="116" w:name="__RefHeading___Toc2325_2077070603"/>
      <w:bookmarkEnd w:id="116"/>
      <w:r>
        <w:rPr/>
        <w:t>5.12 Doporučení pro další výzkum</w:t>
      </w:r>
    </w:p>
    <w:p>
      <w:pPr>
        <w:pStyle w:val="Normal"/>
        <w:widowControl/>
        <w:spacing w:lineRule="auto" w:line="360"/>
        <w:ind w:firstLine="709"/>
        <w:jc w:val="both"/>
        <w:rPr/>
      </w:pPr>
      <w:r>
        <w:rPr/>
        <w:t>První možností je triangulace. Rozhovory s odpovědnými pracovníky by mohly ověřit, zda zveřejněné výbory a metriky skutečně vstupují do rozhodování. Rozhovory s odbory, dodavateli, zákazníky a komunitami by rozšířily perspektivu za oficiální hlas organizace.</w:t>
      </w:r>
    </w:p>
    <w:p>
      <w:pPr>
        <w:pStyle w:val="Normal"/>
        <w:widowControl/>
        <w:spacing w:lineRule="auto" w:line="360"/>
        <w:ind w:firstLine="709"/>
        <w:jc w:val="both"/>
        <w:rPr/>
      </w:pPr>
      <w:r>
        <w:rPr/>
        <w:t>Druhou možností je longitudinální design. Porovnání reportů 2024, 2026 a pozdějších období by mohlo ukázat, které procesy přetrvaly po regulatorních změnách, které cíle byly resetovány a zda E3 vazby vedly ke stabilnějším outcomes.</w:t>
      </w:r>
    </w:p>
    <w:p>
      <w:pPr>
        <w:pStyle w:val="Normal"/>
        <w:widowControl/>
        <w:spacing w:lineRule="auto" w:line="360"/>
        <w:ind w:firstLine="709"/>
        <w:jc w:val="both"/>
        <w:rPr/>
      </w:pPr>
      <w:r>
        <w:rPr/>
        <w:t>Třetí možností je rozšíření na malé a střední podniky. Současný korpus je reportovací elitou. U menších podniků mohou existovat provozní praktiky bez rozsáhlé formalizace a veřejného reportu. To by prověřilo, zda škála nepřeceňuje dokumentovanost.</w:t>
      </w:r>
    </w:p>
    <w:p>
      <w:pPr>
        <w:pStyle w:val="Normal"/>
        <w:widowControl/>
        <w:spacing w:lineRule="auto" w:line="360"/>
        <w:ind w:firstLine="709"/>
        <w:jc w:val="both"/>
        <w:rPr/>
      </w:pPr>
      <w:r>
        <w:rPr/>
        <w:t>Čtvrtou možností je validace E0–E4. Více kodérů by mohlo nezávisle klasifikovat tvrzení a diskutovat problematické hranice. Výsledky by bylo možné porovnat s ratingy, assurance, interními investičními procesy a následným vývojem metrik.</w:t>
      </w:r>
    </w:p>
    <w:p>
      <w:pPr>
        <w:pStyle w:val="Normal"/>
        <w:widowControl/>
        <w:spacing w:lineRule="auto" w:line="360"/>
        <w:ind w:firstLine="709"/>
        <w:jc w:val="both"/>
        <w:rPr/>
      </w:pPr>
      <w:r>
        <w:rPr/>
        <w:t>Pátou možností je zkoumání práce s generativní AI v sustainability reportingu. Modely mohou urychlit mapování datových bodů, návrh textu i kontrolu konzistence, ale současně mohou standardizovat jazyk, zakrýt původ tvrzení nebo vytvářet přesvědčivé syntézy bez dostatečné opory. Pro budoucí kvalitu reportingu bude důležitá dohledatelnost zdroje, lidská odpovědnost a oddělení jazykové produkce od evidence.</w:t>
      </w:r>
    </w:p>
    <w:p>
      <w:pPr>
        <w:pStyle w:val="Heading2"/>
        <w:keepNext w:val="true"/>
        <w:widowControl/>
        <w:ind w:hanging="0"/>
        <w:rPr/>
      </w:pPr>
      <w:bookmarkStart w:id="117" w:name="__RefHeading___Toc2327_2077070603"/>
      <w:bookmarkEnd w:id="117"/>
      <w:r>
        <w:rPr/>
        <w:t>5.13 Limity interpretace výsledků</w:t>
      </w:r>
    </w:p>
    <w:p>
      <w:pPr>
        <w:pStyle w:val="Normal"/>
        <w:widowControl/>
        <w:spacing w:lineRule="auto" w:line="360"/>
        <w:ind w:firstLine="709"/>
        <w:jc w:val="both"/>
        <w:rPr/>
      </w:pPr>
      <w:r>
        <w:rPr/>
        <w:t>Závěry se vztahují pouze k veřejně vykazované implementaci. Nelze z nich určit skutečný stav každého závodu, úvěrového rozhodnutí, dodavatele nebo sociálního programu. Dokument může praxi podhodnotit i nadhodnotit.</w:t>
      </w:r>
    </w:p>
    <w:p>
      <w:pPr>
        <w:pStyle w:val="Normal"/>
        <w:widowControl/>
        <w:spacing w:lineRule="auto" w:line="360"/>
        <w:ind w:firstLine="709"/>
        <w:jc w:val="both"/>
        <w:rPr/>
      </w:pPr>
      <w:r>
        <w:rPr/>
        <w:t>Čtyři případy byly vybrány pro kontrast, nikoli reprezentativnost. Typologie není obecnou klasifikací českých podniků. Výsledky mohou být silně ovlivněny velikostí a reportovací kapacitou organizací.</w:t>
      </w:r>
    </w:p>
    <w:p>
      <w:pPr>
        <w:pStyle w:val="Normal"/>
        <w:widowControl/>
        <w:spacing w:lineRule="auto" w:line="360"/>
        <w:ind w:firstLine="709"/>
        <w:jc w:val="both"/>
        <w:rPr/>
      </w:pPr>
      <w:r>
        <w:rPr/>
        <w:t>Analyzované zdroje mají rozdílnou podobu. ČEZ používá rozsáhlou integrovanou zprávu, MONETA samostatný čtenářský report propojený s povinným zveřejněním, O2 GRI-oriented report v přechodu a Škoda Auto kombinaci online rozhraní a plného reportu. Rozdíly v nalezeném counter-evidence mohou být částečně způsobeny médiem.</w:t>
      </w:r>
    </w:p>
    <w:p>
      <w:pPr>
        <w:pStyle w:val="Normal"/>
        <w:widowControl/>
        <w:spacing w:lineRule="auto" w:line="360"/>
        <w:ind w:firstLine="709"/>
        <w:jc w:val="both"/>
        <w:rPr/>
      </w:pPr>
      <w:r>
        <w:rPr/>
        <w:t>Hodnocení E0–E4 provedl jeden analytik. Přesný ledger a kontrolní kódování zvyšují transparentnost, ale nerozptylují interpretaci do více nezávislých perspektiv.</w:t>
      </w:r>
    </w:p>
    <w:p>
      <w:pPr>
        <w:pStyle w:val="Normal"/>
        <w:widowControl/>
        <w:spacing w:lineRule="auto" w:line="360"/>
        <w:ind w:firstLine="709"/>
        <w:jc w:val="both"/>
        <w:rPr/>
      </w:pPr>
      <w:r>
        <w:rPr/>
        <w:t>Rok 2024 je historickým řezem v rychle se měnícím regulatorním prostředí. Pozdější reporty mohou mít jinou strukturu a některé podniky mohou změnit cíle nebo rozsah. Výsledky proto nemají být vydávány za aktuální hodnocení organizací k jinému datu.</w:t>
      </w:r>
    </w:p>
    <w:p>
      <w:pPr>
        <w:pStyle w:val="Heading2"/>
        <w:keepNext w:val="true"/>
        <w:widowControl/>
        <w:ind w:hanging="0"/>
        <w:rPr/>
      </w:pPr>
      <w:bookmarkStart w:id="118" w:name="__RefHeading___Toc2329_2077070603"/>
      <w:bookmarkEnd w:id="118"/>
      <w:r>
        <w:rPr/>
        <w:t>5.14 Shrnutí diskuse</w:t>
      </w:r>
    </w:p>
    <w:p>
      <w:pPr>
        <w:pStyle w:val="Normal"/>
        <w:widowControl/>
        <w:spacing w:lineRule="auto" w:line="360"/>
        <w:ind w:firstLine="709"/>
        <w:jc w:val="both"/>
        <w:rPr/>
      </w:pPr>
      <w:r>
        <w:rPr/>
        <w:t>Diskuse potvrzuje, že veřejný ESG report může být hodnotným zdrojem o organizaci, pokud je čten jako soubor různě silných tvrzení, nikoli jako automatický audit reality. Standardizace zvyšuje srovnatelnost struktury, ale manažerskou integraci odlišuje až zveřejněná rozhodovací vazba. Materialita získává organizační význam, když přechází ze seznamu témat do alokace zdrojů. Governance získává důvěryhodnost prostřednictvím vlastnictví, kadence a korektivní pravomoci. Metriky musí oddělit aktivitu, outcome a dopad. Assurance je třeba interpretovat v konkrétním rozsahu.</w:t>
      </w:r>
    </w:p>
    <w:p>
      <w:pPr>
        <w:pStyle w:val="Normal"/>
        <w:widowControl/>
        <w:spacing w:lineRule="auto" w:line="360"/>
        <w:ind w:firstLine="709"/>
        <w:jc w:val="both"/>
        <w:rPr/>
      </w:pPr>
      <w:r>
        <w:rPr/>
        <w:t>Nejvýznamnější metodický závěr se týká jednotky hodnocení. Smysluplnější než přiřadit firmě jedno ESG skóre je hodnotit, co dokládá konkrétní tvrzení, jakou má hranici a jaký organizační důsledek může mít. Tento přístup nevytváří jednoduchý žebříček, ale poskytuje přesnější odpověď na otázku, co lze z veřejného reportu důvodně tvrdit a co zůstává otevřené.</w:t>
      </w:r>
    </w:p>
    <w:p>
      <w:pPr>
        <w:pStyle w:val="Normal"/>
        <w:rPr/>
      </w:pPr>
      <w:r>
        <w:rPr/>
      </w:r>
      <w:r>
        <w:br w:type="page"/>
      </w:r>
    </w:p>
    <w:p>
      <w:pPr>
        <w:pStyle w:val="Heading1"/>
        <w:keepNext w:val="true"/>
        <w:widowControl/>
        <w:spacing w:before="0" w:after="180"/>
        <w:ind w:hanging="0"/>
        <w:rPr/>
      </w:pPr>
      <w:bookmarkStart w:id="119" w:name="__RefHeading___Toc2331_2077070603"/>
      <w:bookmarkEnd w:id="119"/>
      <w:r>
        <w:rPr/>
        <w:t>Závěr</w:t>
      </w:r>
    </w:p>
    <w:p>
      <w:pPr>
        <w:pStyle w:val="Normal"/>
        <w:widowControl/>
        <w:spacing w:lineRule="auto" w:line="360"/>
        <w:ind w:firstLine="709"/>
        <w:jc w:val="both"/>
        <w:rPr/>
      </w:pPr>
      <w:r>
        <w:rPr/>
        <w:t>Cílem práce bylo zjistit, jak vybrané velké podniky působící v České republice ve veřejných zprávách za rok 2024 dokládají implementaci ESG, jak propojují cíle s odpovědností, metrikami a rozhodováním a jaké rozdíly se objevují mezi sektory. Výzkum použil komparativní kvalitativní analýzu oficiálních dokumentů ČEZ Group, MONETA Money Bank, O2 Czech Republic a Škoda Auto. Hlavní evidenční korpus tvořilo 45 dohledatelných segmentů s přesným lokátorem, tematickými kódy, třídou důkazu a explicitním omezením interpretace.</w:t>
      </w:r>
    </w:p>
    <w:p>
      <w:pPr>
        <w:pStyle w:val="Normal"/>
        <w:widowControl/>
        <w:spacing w:lineRule="auto" w:line="360"/>
        <w:ind w:firstLine="709"/>
        <w:jc w:val="both"/>
        <w:rPr/>
      </w:pPr>
      <w:r>
        <w:rPr/>
        <w:t xml:space="preserve">Hlavní výzkumná otázka se ptala, které znaky odlišují deklaraci, formalizaci a manažerskou integraci. Výsledky ukazují, že </w:t>
      </w:r>
      <w:r>
        <w:rPr>
          <w:b/>
        </w:rPr>
        <w:t>rozhodujícím rozlišovacím znakem je vazba sustainability informace na konkrétní manažerské rozhodnutí</w:t>
      </w:r>
      <w:r>
        <w:rPr/>
        <w:t>. Deklarace pojmenovává prioritu. Formalizace jí přiřazuje vlastníka, proces, cíl, metriku nebo kontrolní kadenci. Manažerská integrace nastává tehdy, když informace může ovlivnit kapitálový plán, řízení rizika, produkt, dodavatele, odměňování nebo provozní pravidlo.</w:t>
      </w:r>
    </w:p>
    <w:p>
      <w:pPr>
        <w:pStyle w:val="Normal"/>
        <w:widowControl/>
        <w:spacing w:lineRule="auto" w:line="360"/>
        <w:ind w:firstLine="709"/>
        <w:jc w:val="both"/>
        <w:rPr/>
      </w:pPr>
      <w:r>
        <w:rPr/>
        <w:t>Tento přechod měl v jednotlivých sektorech odlišnou podobu. U ČEZ byla nejsilnější zveřejněná vazba mezi přechodovým plánem a dlouhodobou alokací kapitálu. U MONETA se integrace projevovala prostřednictvím governance, variabilního odměňování a budování metodiky financovaného portfolia. U O2 byla nejzřetelnější v rozhodování o energetické efektivitě digitální infrastruktury, zatímco cílový a governance systém procházel po restrukturalizaci přestavbou. U Škoda Auto se ESG promítalo do životního cyklu produktu, výrobního řízení, taxonomicky klasifikovaných kapitálových výdajů a hodnocení dodavatelů.</w:t>
      </w:r>
    </w:p>
    <w:p>
      <w:pPr>
        <w:pStyle w:val="Normal"/>
        <w:widowControl/>
        <w:spacing w:lineRule="auto" w:line="360"/>
        <w:ind w:firstLine="709"/>
        <w:jc w:val="both"/>
        <w:rPr/>
      </w:pPr>
      <w:r>
        <w:rPr/>
        <w:t>První dílčí otázka sledovala materialitu a podnikatelský model. Všechny případy spojovaly část materiálních témat se svou hlavní ekonomickou činností. Samotný seznam materiálních témat však měl nižší evidenční sílu než informace o tom, kdo téma vlastní, jak je měřeno a jak se promítá do zdrojů. Materialita se tak ukázala nejen jako reportovací filtr, ale potenciálně jako alokační mechanismus.</w:t>
      </w:r>
    </w:p>
    <w:p>
      <w:pPr>
        <w:pStyle w:val="Normal"/>
        <w:widowControl/>
        <w:spacing w:lineRule="auto" w:line="360"/>
        <w:ind w:firstLine="709"/>
        <w:jc w:val="both"/>
        <w:rPr/>
      </w:pPr>
      <w:r>
        <w:rPr/>
        <w:t>Druhá otázka se týkala governance. Všechny podniky uváděly dohled vrcholových orgánů a specializovanou koordinaci. Z výsledků však vyplynulo, že název výboru je slabým důkazem. Silnější je zveřejnění složení, pravidelné kadence, kontrolovaných KPI, pravomoci zahájit korekci a vazby na odměnu. Veřejné dokumenty jen zřídka ukazují příklad skutečně změněného nebo zamítnutého rozhodnutí, a proto dokládají spíše governance kapacitu než její účinnost.</w:t>
      </w:r>
    </w:p>
    <w:p>
      <w:pPr>
        <w:pStyle w:val="Normal"/>
        <w:widowControl/>
        <w:spacing w:lineRule="auto" w:line="360"/>
        <w:ind w:firstLine="709"/>
        <w:jc w:val="both"/>
        <w:rPr/>
      </w:pPr>
      <w:r>
        <w:rPr/>
        <w:t>Třetí otázka hledala rozhodovací vazby. Ty byly nalezeny ve všech čtyřech případech, ale vždy v sektorově specifické podobě. Společným principem nebyla jedna metrika, nýbrž možnost organizačního důsledku. Tento výsledek podporuje opuštění jednoduchého srovnávání počtu ESG cílů a nahrazuje je otázkou, zda informace vstupuje do již významného řídicího procesu.</w:t>
      </w:r>
    </w:p>
    <w:p>
      <w:pPr>
        <w:pStyle w:val="Normal"/>
        <w:widowControl/>
        <w:spacing w:lineRule="auto" w:line="360"/>
        <w:ind w:firstLine="709"/>
        <w:jc w:val="both"/>
        <w:rPr/>
      </w:pPr>
      <w:r>
        <w:rPr/>
        <w:t>Čtvrtá otázka zkoumala sílu cílů a metrik. Převažovaly formalizované procesy a řízené výsledky třídy E2. Výstupové metriky E1 byly přesné z hlediska dosahu aktivity, ale nedokládaly změnu stavu nebo chování. Rozhodovací vazby E3 poskytovaly nejsilnější doklad integrace. E4 bylo použito pouze pro konkrétní, přesně vymezený výsledek se silnou externí podporou. Žádný dokument neposkytoval obecný nezávislý důkaz kauzálního širšího dopadu celé ESG strategie.</w:t>
      </w:r>
    </w:p>
    <w:p>
      <w:pPr>
        <w:pStyle w:val="Normal"/>
        <w:widowControl/>
        <w:spacing w:lineRule="auto" w:line="360"/>
        <w:ind w:firstLine="709"/>
        <w:jc w:val="both"/>
        <w:rPr/>
      </w:pPr>
      <w:r>
        <w:rPr/>
        <w:t>Pátá otázka se zaměřila na negativní informace a trade-offy. Analýza ukázala, že zhoršený KPI, restatement, změna hranice, chybějící cíl nebo popis trvalého negativního dopadu mohou zvyšovat informační hodnotu reportu. Negativní výsledek není známkou lepší výkonnosti, ale jeho transparentní zveřejnění umožňuje rozlišit selhání cíle od absence měření. Vyváženost je proto významnou součástí kvality disclosure.</w:t>
      </w:r>
    </w:p>
    <w:p>
      <w:pPr>
        <w:pStyle w:val="Normal"/>
        <w:widowControl/>
        <w:spacing w:lineRule="auto" w:line="360"/>
        <w:ind w:firstLine="709"/>
        <w:jc w:val="both"/>
        <w:rPr/>
      </w:pPr>
      <w:r>
        <w:rPr/>
        <w:t>Šestá otázka sledovala sektorové rozdíly. Výsledky nepotvrdily možnost smysluplného univerzálního ESG skóre založeného na stejném počtu nebo typu ukazatelů. Energetika, bankovnictví, telekomunikace a automobilový průmysl mají odlišné vztahy mezi vlastní činností, hodnotovým řetězcem a dopadem. Srovnatelnost je možné zachovat na úrovni mechanismu — materialita, odpovědnost, rozhodnutí, metrika a ověření — nikoli nutně na úrovni samotných dopadů.</w:t>
      </w:r>
    </w:p>
    <w:p>
      <w:pPr>
        <w:pStyle w:val="Normal"/>
        <w:widowControl/>
        <w:spacing w:lineRule="auto" w:line="360"/>
        <w:ind w:firstLine="709"/>
        <w:jc w:val="both"/>
        <w:rPr/>
      </w:pPr>
      <w:r>
        <w:rPr/>
        <w:t>Teoretickým přínosem práce je propojení institucionální podobnosti reportů s rozdílnou hloubkou implementace. CSRD a ESRS vytvářejí společnou informační architekturu, která zvyšuje dohledatelnost, ale neodstraňuje možnost symbolické adopce. Teorie legitimity vysvětluje komunikační funkci reportu, aniž nutně zpochybňuje pravdivost každého tvrzení. Materialita a organizační perspektiva pak posouvají pozornost k tomu, zda se zveřejněné téma promítá do odpovědnosti a alokace.</w:t>
      </w:r>
    </w:p>
    <w:p>
      <w:pPr>
        <w:pStyle w:val="Normal"/>
        <w:widowControl/>
        <w:spacing w:lineRule="auto" w:line="360"/>
        <w:ind w:firstLine="709"/>
        <w:jc w:val="both"/>
        <w:rPr/>
      </w:pPr>
      <w:r>
        <w:rPr/>
        <w:t>Metodickým přínosem je škála E0–E4. Jejím účelem není vytvořit další rating, ale hodnotit konkrétní tvrzení podle typu důkazu. Škála pomáhá oddělit deklaraci, aktivitu, formalizovaný výsledek, rozhodovací vazbu a externě podpořený výsledek. Současně odděluje assurance od manažerské integrace: externí ověření může zvyšovat spolehlivost metriky, ale nemusí dokazovat, že téma vstupuje do rozhodování nebo že strategie dosahuje dostatečného dopadu.</w:t>
      </w:r>
    </w:p>
    <w:p>
      <w:pPr>
        <w:pStyle w:val="Normal"/>
        <w:widowControl/>
        <w:spacing w:lineRule="auto" w:line="360"/>
        <w:ind w:firstLine="709"/>
        <w:jc w:val="both"/>
        <w:rPr/>
      </w:pPr>
      <w:r>
        <w:rPr/>
        <w:t>Praktickým přínosem je soubor otázek pro kritické čtení reportu. Čtenář by měl hledat hranici a zdroj metriky, baseline a termín cíle, vlastníka a kontrolní kadenci, důsledek pro kapitál, riziko, produkt, nákup nebo odměnu, zveřejněný nepříznivý trend a přesný rozsah assurance. Délka dokumentu, počet KPI ani rating tyto otázky nenahrazují.</w:t>
      </w:r>
    </w:p>
    <w:p>
      <w:pPr>
        <w:pStyle w:val="Normal"/>
        <w:widowControl/>
        <w:spacing w:lineRule="auto" w:line="360"/>
        <w:ind w:firstLine="709"/>
        <w:jc w:val="both"/>
        <w:rPr/>
      </w:pPr>
      <w:r>
        <w:rPr/>
        <w:t>Závěry jsou omezeny charakterem korpusu. Práce analyzuje čtyři velké organizace s vysokou reportovací kapacitou, používá jeden historický časový řez a vychází z oficiální sebeprezentace. Neověřuje interní dokumenty, provoz, zkušenost zaměstnanců, dodavatelů ani komunit. Absence informace proto neznamená absenci praxe a zveřejněná rozhodovací vazba není nezávislým potvrzením každého rozhodnutí.</w:t>
      </w:r>
    </w:p>
    <w:p>
      <w:pPr>
        <w:pStyle w:val="Normal"/>
        <w:widowControl/>
        <w:spacing w:lineRule="auto" w:line="360"/>
        <w:ind w:firstLine="709"/>
        <w:jc w:val="both"/>
        <w:rPr/>
      </w:pPr>
      <w:r>
        <w:rPr/>
        <w:t>Další výzkum by měl propojit dokumentovou analýzu s rozhovory a interními doklady, rozšířit korpus o malé a střední podniky a sledovat změny v čase. Zvlášť relevantní bude porovnat, které procesy přetrvají po změnách evropského reportovacího rámce. Takové srovnání by mohlo ukázat, zda se systémy zavedené pod regulatorním tlakem staly trvalou součástí řízení, nebo zůstaly závislé na rozsahu povinného zveřejnění.</w:t>
      </w:r>
    </w:p>
    <w:p>
      <w:pPr>
        <w:pStyle w:val="Normal"/>
        <w:widowControl/>
        <w:spacing w:lineRule="auto" w:line="360"/>
        <w:ind w:firstLine="709"/>
        <w:jc w:val="both"/>
        <w:rPr/>
      </w:pPr>
      <w:r>
        <w:rPr/>
        <w:t xml:space="preserve">Výsledný závěr lze shrnout následovně: </w:t>
      </w:r>
      <w:r>
        <w:rPr>
          <w:b/>
        </w:rPr>
        <w:t>veřejný ESG report je hodnotným, ale omezeným důkazním zdrojem. Nejdůležitější otázkou není, kolik informací podnik zveřejňuje, ale zda lze dohledat cestu od materiálního tématu přes odpovědnost a metriku ke konkrétnímu rozhodnutí — a zda report stejně transparentně ukazuje i hranice, neúspěchy a to, co zatím prokázat nedokáže.</w:t>
      </w:r>
    </w:p>
    <w:p>
      <w:pPr>
        <w:pStyle w:val="Normal"/>
        <w:rPr/>
      </w:pPr>
      <w:r>
        <w:rPr/>
      </w:r>
      <w:r>
        <w:br w:type="page"/>
      </w:r>
    </w:p>
    <w:p>
      <w:pPr>
        <w:pStyle w:val="Heading1"/>
        <w:keepNext w:val="true"/>
        <w:widowControl/>
        <w:spacing w:before="0" w:after="180"/>
        <w:ind w:hanging="0"/>
        <w:rPr/>
      </w:pPr>
      <w:bookmarkStart w:id="120" w:name="__RefHeading___Toc2333_2077070603"/>
      <w:bookmarkEnd w:id="120"/>
      <w:r>
        <w:rPr/>
        <w:t>Seznam použitých zdrojů</w:t>
      </w:r>
    </w:p>
    <w:p>
      <w:pPr>
        <w:pStyle w:val="Heading2"/>
        <w:keepNext w:val="true"/>
        <w:widowControl/>
        <w:ind w:hanging="0"/>
        <w:rPr/>
      </w:pPr>
      <w:bookmarkStart w:id="121" w:name="__RefHeading___Toc2335_2077070603"/>
      <w:bookmarkEnd w:id="121"/>
      <w:r>
        <w:rPr/>
        <w:t>Akademická literatura</w:t>
      </w:r>
    </w:p>
    <w:p>
      <w:pPr>
        <w:pStyle w:val="Reference"/>
        <w:widowControl/>
        <w:rPr/>
      </w:pPr>
      <w:r>
        <w:rPr/>
        <w:t xml:space="preserve">Berg, F., Kölbel, J. F., &amp; Rigobon, R. (2022). Aggregate confusion: The divergence of ESG ratings. </w:t>
      </w:r>
      <w:r>
        <w:rPr>
          <w:i/>
        </w:rPr>
        <w:t>Review of Finance, 26</w:t>
      </w:r>
      <w:r>
        <w:rPr/>
        <w:t>(6), 1315–1344. https://doi.org/10.1093/rof/rfac033</w:t>
      </w:r>
    </w:p>
    <w:p>
      <w:pPr>
        <w:pStyle w:val="Reference"/>
        <w:widowControl/>
        <w:rPr/>
      </w:pPr>
      <w:r>
        <w:rPr/>
        <w:t xml:space="preserve">Boiral, O. (2013). Sustainability reports as simulacra? A counter-account of A and A+ GRI reports. </w:t>
      </w:r>
      <w:r>
        <w:rPr>
          <w:i/>
        </w:rPr>
        <w:t>Accounting, Auditing &amp; Accountability Journal, 26</w:t>
      </w:r>
      <w:r>
        <w:rPr/>
        <w:t>(7), 1036–1071. https://doi.org/10.1108/AAAJ-04-2012-00998</w:t>
      </w:r>
    </w:p>
    <w:p>
      <w:pPr>
        <w:pStyle w:val="Reference"/>
        <w:widowControl/>
        <w:rPr/>
      </w:pPr>
      <w:r>
        <w:rPr/>
        <w:t xml:space="preserve">Bowen, G. A. (2009). Document analysis as a qualitative research method. </w:t>
      </w:r>
      <w:r>
        <w:rPr>
          <w:i/>
        </w:rPr>
        <w:t>Qualitative Research Journal, 9</w:t>
      </w:r>
      <w:r>
        <w:rPr/>
        <w:t>(2), 27–40. https://doi.org/10.3316/QRJ0902027</w:t>
      </w:r>
    </w:p>
    <w:p>
      <w:pPr>
        <w:pStyle w:val="Reference"/>
        <w:widowControl/>
        <w:rPr/>
      </w:pPr>
      <w:r>
        <w:rPr/>
        <w:t xml:space="preserve">Carroll, A. B. (1991). The pyramid of corporate social responsibility: Toward the moral management of organizational stakeholders. </w:t>
      </w:r>
      <w:r>
        <w:rPr>
          <w:i/>
        </w:rPr>
        <w:t>Business Horizons, 34</w:t>
      </w:r>
      <w:r>
        <w:rPr/>
        <w:t>(4), 39–48. https://doi.org/10.1016/0007-6813(91)90005-G</w:t>
      </w:r>
    </w:p>
    <w:p>
      <w:pPr>
        <w:pStyle w:val="Reference"/>
        <w:widowControl/>
        <w:rPr/>
      </w:pPr>
      <w:r>
        <w:rPr/>
        <w:t xml:space="preserve">Christensen, H. B., Hail, L., &amp; Leuz, C. (2021). Mandatory CSR and sustainability reporting: Economic analysis and literature review. </w:t>
      </w:r>
      <w:r>
        <w:rPr>
          <w:i/>
        </w:rPr>
        <w:t>Review of Accounting Studies, 26</w:t>
      </w:r>
      <w:r>
        <w:rPr/>
        <w:t>(3), 1176–1248. https://doi.org/10.1007/s11142-021-09609-5</w:t>
      </w:r>
    </w:p>
    <w:p>
      <w:pPr>
        <w:pStyle w:val="Reference"/>
        <w:widowControl/>
        <w:rPr/>
      </w:pPr>
      <w:r>
        <w:rPr/>
        <w:t xml:space="preserve">Delmas, M. A., &amp; Burbano, V. C. (2011). The drivers of greenwashing. </w:t>
      </w:r>
      <w:r>
        <w:rPr>
          <w:i/>
        </w:rPr>
        <w:t>California Management Review, 54</w:t>
      </w:r>
      <w:r>
        <w:rPr/>
        <w:t>(1), 64–87. https://doi.org/10.1525/cmr.2011.54.1.64</w:t>
      </w:r>
    </w:p>
    <w:p>
      <w:pPr>
        <w:pStyle w:val="Reference"/>
        <w:widowControl/>
        <w:rPr/>
      </w:pPr>
      <w:r>
        <w:rPr/>
        <w:t xml:space="preserve">DiMaggio, P. J., &amp; Powell, W. W. (1983). The iron cage revisited: Institutional isomorphism and collective rationality in organizational fields. </w:t>
      </w:r>
      <w:r>
        <w:rPr>
          <w:i/>
        </w:rPr>
        <w:t>American Sociological Review, 48</w:t>
      </w:r>
      <w:r>
        <w:rPr/>
        <w:t>(2), 147–160. https://doi.org/10.2307/2095101</w:t>
      </w:r>
    </w:p>
    <w:p>
      <w:pPr>
        <w:pStyle w:val="Reference"/>
        <w:widowControl/>
        <w:rPr/>
      </w:pPr>
      <w:r>
        <w:rPr/>
        <w:t xml:space="preserve">Drempetic, S., Klein, C., &amp; Zwergel, B. (2020). The influence of firm size on the ESG score: Corporate sustainability ratings under review. </w:t>
      </w:r>
      <w:r>
        <w:rPr>
          <w:i/>
        </w:rPr>
        <w:t>Journal of Business Ethics, 167</w:t>
      </w:r>
      <w:r>
        <w:rPr/>
        <w:t>(2), 333–360. https://doi.org/10.1007/s10551-019-04164-1</w:t>
      </w:r>
    </w:p>
    <w:p>
      <w:pPr>
        <w:pStyle w:val="Reference"/>
        <w:widowControl/>
        <w:rPr/>
      </w:pPr>
      <w:r>
        <w:rPr/>
        <w:t xml:space="preserve">Eccles, R. G., Ioannou, I., &amp; Serafeim, G. (2014). The impact of corporate sustainability on organizational processes and performance. </w:t>
      </w:r>
      <w:r>
        <w:rPr>
          <w:i/>
        </w:rPr>
        <w:t>Management Science, 60</w:t>
      </w:r>
      <w:r>
        <w:rPr/>
        <w:t>(11), 2835–2857. https://doi.org/10.1287/mnsc.2014.1984</w:t>
      </w:r>
    </w:p>
    <w:p>
      <w:pPr>
        <w:pStyle w:val="Reference"/>
        <w:widowControl/>
        <w:rPr/>
      </w:pPr>
      <w:r>
        <w:rPr/>
        <w:t xml:space="preserve">Friede, G., Busch, T., &amp; Bassen, A. (2015). ESG and financial performance: Aggregated evidence from more than 2000 empirical studies. </w:t>
      </w:r>
      <w:r>
        <w:rPr>
          <w:i/>
        </w:rPr>
        <w:t>Journal of Sustainable Finance &amp; Investment, 5</w:t>
      </w:r>
      <w:r>
        <w:rPr/>
        <w:t>(4), 210–233. https://doi.org/10.1080/20430795.2015.1118917</w:t>
      </w:r>
    </w:p>
    <w:p>
      <w:pPr>
        <w:pStyle w:val="Reference"/>
        <w:widowControl/>
        <w:rPr/>
      </w:pPr>
      <w:r>
        <w:rPr/>
        <w:t xml:space="preserve">Gillan, S. L., Koch, A., &amp; Starks, L. T. (2021). Firms and social responsibility: A review of ESG and CSR research in corporate finance. </w:t>
      </w:r>
      <w:r>
        <w:rPr>
          <w:i/>
        </w:rPr>
        <w:t>Journal of Corporate Finance, 66</w:t>
      </w:r>
      <w:r>
        <w:rPr/>
        <w:t>, 101889. https://doi.org/10.1016/j.jcorpfin.2021.101889</w:t>
      </w:r>
    </w:p>
    <w:p>
      <w:pPr>
        <w:pStyle w:val="Reference"/>
        <w:widowControl/>
        <w:rPr/>
      </w:pPr>
      <w:r>
        <w:rPr/>
        <w:t xml:space="preserve">Hahn, R., &amp; Kühnen, M. (2013). Determinants of sustainability reporting: A review of results, trends, theory, and opportunities in an expanding field of research. </w:t>
      </w:r>
      <w:r>
        <w:rPr>
          <w:i/>
        </w:rPr>
        <w:t>Journal of Cleaner Production, 59</w:t>
      </w:r>
      <w:r>
        <w:rPr/>
        <w:t>, 5–21. https://doi.org/10.1016/j.jclepro.2013.07.005</w:t>
      </w:r>
    </w:p>
    <w:p>
      <w:pPr>
        <w:pStyle w:val="Reference"/>
        <w:widowControl/>
        <w:rPr/>
      </w:pPr>
      <w:r>
        <w:rPr/>
        <w:t xml:space="preserve">Hsieh, H.-F., &amp; Shannon, S. E. (2005). Three approaches to qualitative content analysis. </w:t>
      </w:r>
      <w:r>
        <w:rPr>
          <w:i/>
        </w:rPr>
        <w:t>Qualitative Health Research, 15</w:t>
      </w:r>
      <w:r>
        <w:rPr/>
        <w:t>(9), 1277–1288. https://doi.org/10.1177/1049732305276687</w:t>
      </w:r>
    </w:p>
    <w:p>
      <w:pPr>
        <w:pStyle w:val="Reference"/>
        <w:widowControl/>
        <w:rPr/>
      </w:pPr>
      <w:r>
        <w:rPr/>
        <w:t xml:space="preserve">Khan, M., Serafeim, G., &amp; Yoon, A. (2016). Corporate sustainability: First evidence on materiality. </w:t>
      </w:r>
      <w:r>
        <w:rPr>
          <w:i/>
        </w:rPr>
        <w:t>The Accounting Review, 91</w:t>
      </w:r>
      <w:r>
        <w:rPr/>
        <w:t>(6), 1697–1724. https://doi.org/10.2308/accr-51383</w:t>
      </w:r>
    </w:p>
    <w:p>
      <w:pPr>
        <w:pStyle w:val="Reference"/>
        <w:widowControl/>
        <w:rPr/>
      </w:pPr>
      <w:r>
        <w:rPr/>
        <w:t xml:space="preserve">Michelon, G., Pilonato, S., &amp; Ricceri, F. (2015). CSR reporting practices and the quality of disclosure: An empirical analysis. </w:t>
      </w:r>
      <w:r>
        <w:rPr>
          <w:i/>
        </w:rPr>
        <w:t>Critical Perspectives on Accounting, 33</w:t>
      </w:r>
      <w:r>
        <w:rPr/>
        <w:t>, 59–78. https://doi.org/10.1016/j.cpa.2014.10.003</w:t>
      </w:r>
    </w:p>
    <w:p>
      <w:pPr>
        <w:pStyle w:val="Reference"/>
        <w:widowControl/>
        <w:rPr/>
      </w:pPr>
      <w:r>
        <w:rPr/>
        <w:t xml:space="preserve">Schreier, M. (2012). </w:t>
      </w:r>
      <w:r>
        <w:rPr>
          <w:i/>
        </w:rPr>
        <w:t>Qualitative content analysis in practice</w:t>
      </w:r>
      <w:r>
        <w:rPr/>
        <w:t>. SAGE Publications.</w:t>
      </w:r>
    </w:p>
    <w:p>
      <w:pPr>
        <w:pStyle w:val="Reference"/>
        <w:widowControl/>
        <w:rPr/>
      </w:pPr>
      <w:r>
        <w:rPr/>
        <w:t xml:space="preserve">Suchman, M. C. (1995). Managing legitimacy: Strategic and institutional approaches. </w:t>
      </w:r>
      <w:r>
        <w:rPr>
          <w:i/>
        </w:rPr>
        <w:t>Academy of Management Review, 20</w:t>
      </w:r>
      <w:r>
        <w:rPr/>
        <w:t>(3), 571–610. https://doi.org/10.5465/amr.1995.9508080331</w:t>
      </w:r>
    </w:p>
    <w:p>
      <w:pPr>
        <w:pStyle w:val="Heading2"/>
        <w:keepNext w:val="true"/>
        <w:widowControl/>
        <w:ind w:hanging="0"/>
        <w:rPr/>
      </w:pPr>
      <w:bookmarkStart w:id="122" w:name="__RefHeading___Toc2337_2077070603"/>
      <w:bookmarkEnd w:id="122"/>
      <w:r>
        <w:rPr/>
        <w:t>Právní a regulatorní prameny</w:t>
      </w:r>
    </w:p>
    <w:p>
      <w:pPr>
        <w:pStyle w:val="Reference"/>
        <w:widowControl/>
        <w:rPr/>
      </w:pPr>
      <w:r>
        <w:rPr/>
        <w:t xml:space="preserve">Česká republika. (1991). </w:t>
      </w:r>
      <w:r>
        <w:rPr>
          <w:i/>
        </w:rPr>
        <w:t>Zákon č. 563/1991 Sb., o účetnictví, ve znění pozdějších předpisů</w:t>
      </w:r>
      <w:r>
        <w:rPr/>
        <w:t>.</w:t>
      </w:r>
    </w:p>
    <w:p>
      <w:pPr>
        <w:pStyle w:val="Reference"/>
        <w:widowControl/>
        <w:rPr/>
      </w:pPr>
      <w:r>
        <w:rPr/>
        <w:t xml:space="preserve">Česká republika. (2023). </w:t>
      </w:r>
      <w:r>
        <w:rPr>
          <w:i/>
        </w:rPr>
        <w:t>Zákon č. 349/2023 Sb., kterým se mění některé zákony v souvislosti s konsolidací veřejných rozpočtů</w:t>
      </w:r>
      <w:r>
        <w:rPr/>
        <w:t>.</w:t>
      </w:r>
    </w:p>
    <w:p>
      <w:pPr>
        <w:pStyle w:val="Reference"/>
        <w:widowControl/>
        <w:rPr/>
      </w:pPr>
      <w:r>
        <w:rPr/>
        <w:t xml:space="preserve">Evropská komise. (2021). </w:t>
      </w:r>
      <w:r>
        <w:rPr>
          <w:i/>
        </w:rPr>
        <w:t>Nařízení Komise v přenesené pravomoci (EU) 2021/2178 ze dne 6. července 2021, kterým se doplňuje nařízení (EU) 2020/852 upřesněním obsahu a informací zveřejňovaných podniky podle článku 8 Taxonomie</w:t>
      </w:r>
      <w:r>
        <w:rPr/>
        <w:t>. Úřední věstník Evropské unie, L 443, 9–67. https://eur-lex.europa.eu/eli/reg_del/2021/2178/oj</w:t>
      </w:r>
    </w:p>
    <w:p>
      <w:pPr>
        <w:pStyle w:val="Reference"/>
        <w:widowControl/>
        <w:rPr/>
      </w:pPr>
      <w:r>
        <w:rPr/>
        <w:t xml:space="preserve">Evropská komise. (2023). </w:t>
      </w:r>
      <w:r>
        <w:rPr>
          <w:i/>
        </w:rPr>
        <w:t>Nařízení Komise v přenesené pravomoci (EU) 2023/2772 ze dne 31. července 2023, kterým se doplňuje směrnice 2013/34/EU, pokud jde o standardy pro podávání zpráv o udržitelnosti</w:t>
      </w:r>
      <w:r>
        <w:rPr/>
        <w:t>. Úřední věstník Evropské unie. https://eur-lex.europa.eu/eli/reg_del/2023/2772/oj</w:t>
      </w:r>
    </w:p>
    <w:p>
      <w:pPr>
        <w:pStyle w:val="Reference"/>
        <w:widowControl/>
        <w:rPr/>
      </w:pPr>
      <w:r>
        <w:rPr/>
        <w:t xml:space="preserve">Evropský parlament a Rada EU. (2020). </w:t>
      </w:r>
      <w:r>
        <w:rPr>
          <w:i/>
        </w:rPr>
        <w:t>Nařízení (EU) 2020/852 ze dne 18. června 2020 o zřízení rámce pro usnadnění udržitelných investic</w:t>
      </w:r>
      <w:r>
        <w:rPr/>
        <w:t>. Úřední věstník Evropské unie, L 198, 13–43. https://eur-lex.europa.eu/eli/reg/2020/852/oj</w:t>
      </w:r>
    </w:p>
    <w:p>
      <w:pPr>
        <w:pStyle w:val="Reference"/>
        <w:widowControl/>
        <w:rPr/>
      </w:pPr>
      <w:r>
        <w:rPr/>
        <w:t xml:space="preserve">Evropský parlament a Rada EU. (2022). </w:t>
      </w:r>
      <w:r>
        <w:rPr>
          <w:i/>
        </w:rPr>
        <w:t>Směrnice (EU) 2022/2464 ze dne 14. prosince 2022, pokud jde o podávání zpráv podniků o udržitelnosti</w:t>
      </w:r>
      <w:r>
        <w:rPr/>
        <w:t>. Úřední věstník Evropské unie, L 322, 15–80. https://eur-lex.europa.eu/eli/dir/2022/2464/oj</w:t>
      </w:r>
    </w:p>
    <w:p>
      <w:pPr>
        <w:pStyle w:val="Reference"/>
        <w:widowControl/>
        <w:rPr/>
      </w:pPr>
      <w:r>
        <w:rPr/>
        <w:t xml:space="preserve">Evropský parlament a Rada EU. (2025). </w:t>
      </w:r>
      <w:r>
        <w:rPr>
          <w:i/>
        </w:rPr>
        <w:t>Směrnice (EU) 2025/794 ze dne 14. dubna 2025, kterou se mění směrnice (EU) 2022/2464 a (EU) 2024/1760, pokud jde o data, od nichž mají členské státy uplatňovat některé požadavky na podávání zpráv podniků o udržitelnosti a náležitou péči podniků v oblasti udržitelnosti</w:t>
      </w:r>
      <w:r>
        <w:rPr/>
        <w:t>. Úřední věstník Evropské unie. https://eur-lex.europa.eu/eli/dir/2025/794/oj</w:t>
      </w:r>
    </w:p>
    <w:p>
      <w:pPr>
        <w:pStyle w:val="Reference"/>
        <w:widowControl/>
        <w:rPr/>
      </w:pPr>
      <w:r>
        <w:rPr/>
        <w:t xml:space="preserve">Evropský parlament a Rada EU. (2026). </w:t>
      </w:r>
      <w:r>
        <w:rPr>
          <w:i/>
        </w:rPr>
        <w:t>Směrnice (EU) 2026/470 ze dne 24. února 2026, kterou se mění směrnice 2006/43/ES, 2013/34/EU, (EU) 2022/2464 a (EU) 2024/1760, pokud jde o některé požadavky na podávání zpráv podniků o udržitelnosti a náležitou péči podniků v oblasti udržitelnosti</w:t>
      </w:r>
      <w:r>
        <w:rPr/>
        <w:t>. Úřední věstník Evropské unie. https://eur-lex.europa.eu/eli/dir/2026/470/oj</w:t>
      </w:r>
    </w:p>
    <w:p>
      <w:pPr>
        <w:pStyle w:val="Heading2"/>
        <w:keepNext w:val="true"/>
        <w:widowControl/>
        <w:ind w:hanging="0"/>
        <w:rPr/>
      </w:pPr>
      <w:bookmarkStart w:id="123" w:name="__RefHeading___Toc2339_2077070603"/>
      <w:bookmarkEnd w:id="123"/>
      <w:r>
        <w:rPr/>
        <w:t>Analyzované firemní dokumenty</w:t>
      </w:r>
    </w:p>
    <w:p>
      <w:pPr>
        <w:pStyle w:val="Reference"/>
        <w:widowControl/>
        <w:rPr/>
      </w:pPr>
      <w:r>
        <w:rPr/>
        <w:t xml:space="preserve">ČEZ Group. (2025). </w:t>
      </w:r>
      <w:r>
        <w:rPr>
          <w:i/>
        </w:rPr>
        <w:t>CEZ Group Annual Financial Report 2024</w:t>
      </w:r>
      <w:r>
        <w:rPr/>
        <w:t>. https://www.cez.cz/webpublic/file/edee/ospol/fileexport/investori/vz-2024/cez-group-annual-financial-report-2024.pdf</w:t>
      </w:r>
    </w:p>
    <w:p>
      <w:pPr>
        <w:pStyle w:val="Reference"/>
        <w:widowControl/>
        <w:rPr/>
      </w:pPr>
      <w:r>
        <w:rPr/>
        <w:t xml:space="preserve">MONETA Money Bank. (2025). </w:t>
      </w:r>
      <w:r>
        <w:rPr>
          <w:i/>
        </w:rPr>
        <w:t>Sustainability at MONETA 2024</w:t>
      </w:r>
      <w:r>
        <w:rPr/>
        <w:t>. https://esg.moneta.cz/documents/19688341/19803994/mmb-sustainability-report-2024-en.pdf</w:t>
      </w:r>
    </w:p>
    <w:p>
      <w:pPr>
        <w:pStyle w:val="Reference"/>
        <w:widowControl/>
        <w:rPr/>
      </w:pPr>
      <w:r>
        <w:rPr/>
        <w:t xml:space="preserve">O2 Czech Republic. (2025). </w:t>
      </w:r>
      <w:r>
        <w:rPr>
          <w:i/>
        </w:rPr>
        <w:t>ESG Report 2024</w:t>
      </w:r>
      <w:r>
        <w:rPr/>
        <w:t>. https://spolecnost.o2.cz/-a344067?_linka=a1285401&amp;field=data</w:t>
      </w:r>
    </w:p>
    <w:p>
      <w:pPr>
        <w:pStyle w:val="Reference"/>
        <w:widowControl/>
        <w:rPr/>
      </w:pPr>
      <w:r>
        <w:rPr/>
        <w:t xml:space="preserve">Škoda Auto. (2025a). Sustainability strategy. In </w:t>
      </w:r>
      <w:r>
        <w:rPr>
          <w:i/>
        </w:rPr>
        <w:t>Škoda Annual Report 2024</w:t>
      </w:r>
      <w:r>
        <w:rPr/>
        <w:t>. https://reporting.skoda-auto.com/archive/2024/</w:t>
      </w:r>
    </w:p>
    <w:p>
      <w:pPr>
        <w:pStyle w:val="Reference"/>
        <w:widowControl/>
        <w:rPr/>
      </w:pPr>
      <w:r>
        <w:rPr/>
        <w:t xml:space="preserve">Škoda Auto. (2025b). Environment. In </w:t>
      </w:r>
      <w:r>
        <w:rPr>
          <w:i/>
        </w:rPr>
        <w:t>Škoda Annual Report 2024</w:t>
      </w:r>
      <w:r>
        <w:rPr/>
        <w:t>. https://reporting.skoda-auto.com/archive/2024/</w:t>
      </w:r>
    </w:p>
    <w:p>
      <w:pPr>
        <w:pStyle w:val="Reference"/>
        <w:widowControl/>
        <w:spacing w:before="0" w:after="100"/>
        <w:rPr/>
      </w:pPr>
      <w:r>
        <w:rPr/>
        <w:t xml:space="preserve">Škoda Auto. (2025c). Social. In </w:t>
      </w:r>
      <w:r>
        <w:rPr>
          <w:i/>
        </w:rPr>
        <w:t>Škoda Annual Report 2024</w:t>
      </w:r>
      <w:r>
        <w:rPr/>
        <w:t>. https://reporting.skoda-auto.com/archive/2024/</w:t>
      </w:r>
    </w:p>
    <w:sectPr>
      <w:headerReference w:type="default" r:id="rId2"/>
      <w:footerReference w:type="default" r:id="rId3"/>
      <w:type w:val="nextPage"/>
      <w:pgSz w:w="11906" w:h="16838"/>
      <w:pgMar w:left="1984" w:right="850" w:gutter="0" w:header="680" w:top="1417" w:footer="567"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65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jc w:val="end"/>
      <w:rPr/>
    </w:pPr>
    <w:r>
      <w:rPr>
        <w:color w:val="595959"/>
        <w:sz w:val="16"/>
      </w:rPr>
      <w:t>ESG-DP-2026-BLIND-01  |  experimentální rukopis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ind w:firstLine="709"/>
      <w:jc w:val="both"/>
    </w:pPr>
    <w:rPr>
      <w:rFonts w:ascii="Times New Roman" w:hAnsi="Times New Roman" w:eastAsia="Times New Roman" w:cs="" w:cstheme="minorBidi"/>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before="360" w:after="180"/>
      <w:ind w:hanging="0"/>
      <w:jc w:val="start"/>
      <w:outlineLvl w:val="0"/>
    </w:pPr>
    <w:rPr>
      <w:rFonts w:ascii="Calibri" w:hAnsi="Calibri" w:eastAsia="ＭＳ ゴシック" w:cs="" w:asciiTheme="majorHAnsi" w:cstheme="majorBidi" w:eastAsiaTheme="majorEastAsia" w:hAnsiTheme="majorHAnsi"/>
      <w:b/>
      <w:bCs/>
      <w:color w:val="000000"/>
      <w:sz w:val="30"/>
      <w:szCs w:val="28"/>
    </w:rPr>
  </w:style>
  <w:style w:type="paragraph" w:styleId="Heading2">
    <w:name w:val="Heading 2"/>
    <w:basedOn w:val="Normal"/>
    <w:next w:val="Normal"/>
    <w:link w:val="Heading2Char"/>
    <w:uiPriority w:val="9"/>
    <w:unhideWhenUsed/>
    <w:qFormat/>
    <w:rsid w:val="00fc693f"/>
    <w:pPr>
      <w:keepNext w:val="true"/>
      <w:keepLines/>
      <w:widowControl/>
      <w:spacing w:before="240" w:after="120"/>
      <w:ind w:hanging="0"/>
      <w:jc w:val="start"/>
      <w:outlineLvl w:val="1"/>
    </w:pPr>
    <w:rPr>
      <w:rFonts w:ascii="Calibri" w:hAnsi="Calibri" w:eastAsia="ＭＳ ゴシック" w:cs="" w:asciiTheme="majorHAnsi" w:cstheme="majorBidi" w:eastAsiaTheme="majorEastAsia" w:hAnsiTheme="majorHAnsi"/>
      <w:b/>
      <w:bCs/>
      <w:color w:val="000000"/>
      <w:sz w:val="26"/>
      <w:szCs w:val="26"/>
    </w:rPr>
  </w:style>
  <w:style w:type="paragraph" w:styleId="Heading3">
    <w:name w:val="Heading 3"/>
    <w:basedOn w:val="Normal"/>
    <w:next w:val="Normal"/>
    <w:link w:val="Heading3Char"/>
    <w:uiPriority w:val="9"/>
    <w:unhideWhenUsed/>
    <w:qFormat/>
    <w:rsid w:val="00fc693f"/>
    <w:pPr>
      <w:keepNext w:val="true"/>
      <w:keepLines/>
      <w:widowControl/>
      <w:spacing w:before="180" w:after="80"/>
      <w:ind w:hanging="0"/>
      <w:jc w:val="start"/>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widowControl/>
      <w:pBdr>
        <w:bottom w:val="single" w:sz="8" w:space="4" w:color="4F81BD" w:themeColor="accent1"/>
      </w:pBdr>
      <w:spacing w:lineRule="auto" w:line="240" w:before="0" w:after="240"/>
      <w:contextualSpacing/>
    </w:pPr>
    <w:rPr>
      <w:rFonts w:ascii="Calibri" w:hAnsi="Calibri" w:eastAsia="ＭＳ ゴシック" w:cs="" w:asciiTheme="majorHAnsi" w:cstheme="majorBidi" w:eastAsiaTheme="majorEastAsia" w:hAnsiTheme="majorHAnsi"/>
      <w:b/>
      <w:color w:val="000000"/>
      <w:spacing w:val="5"/>
      <w:kern w:val="2"/>
      <w:sz w:val="36"/>
      <w:szCs w:val="52"/>
    </w:rPr>
  </w:style>
  <w:style w:type="paragraph" w:styleId="Subtitle">
    <w:name w:val="Subtitle"/>
    <w:basedOn w:val="Normal"/>
    <w:next w:val="Normal"/>
    <w:link w:val="SubtitleChar"/>
    <w:uiPriority w:val="11"/>
    <w:qFormat/>
    <w:rsid w:val="00fc693f"/>
    <w:pPr>
      <w:keepNext w:val="true"/>
      <w:widowControl/>
      <w:spacing w:before="0" w:after="160"/>
    </w:pPr>
    <w:rPr>
      <w:rFonts w:ascii="Calibri" w:hAnsi="Calibri" w:eastAsia="ＭＳ ゴシック" w:cs="" w:asciiTheme="majorHAnsi" w:cstheme="majorBidi" w:eastAsiaTheme="majorEastAsia" w:hAnsiTheme="majorHAnsi"/>
      <w:b w:val="false"/>
      <w:i/>
      <w:iCs/>
      <w:color w:val="000000"/>
      <w:spacing w:val="15"/>
      <w:sz w:val="26"/>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lockQuote" w:customStyle="1">
    <w:name w:val="Block Quote"/>
    <w:qFormat/>
    <w:pPr>
      <w:widowControl/>
      <w:bidi w:val="0"/>
      <w:spacing w:lineRule="auto" w:line="276" w:before="120" w:after="120"/>
      <w:ind w:hanging="0" w:start="567" w:end="283"/>
      <w:jc w:val="start"/>
    </w:pPr>
    <w:rPr>
      <w:rFonts w:ascii="Times New Roman" w:hAnsi="Times New Roman" w:eastAsia="ＭＳ 明朝" w:cs="" w:cstheme="minorBidi" w:eastAsiaTheme="minorEastAsia"/>
      <w:i/>
      <w:color w:val="auto"/>
      <w:kern w:val="0"/>
      <w:sz w:val="22"/>
      <w:szCs w:val="22"/>
      <w:lang w:val="en-US" w:eastAsia="en-US" w:bidi="ar-SA"/>
    </w:rPr>
  </w:style>
  <w:style w:type="paragraph" w:styleId="Reference" w:customStyle="1">
    <w:name w:val="Reference"/>
    <w:qFormat/>
    <w:pPr>
      <w:widowControl/>
      <w:bidi w:val="0"/>
      <w:spacing w:lineRule="auto" w:line="240" w:before="0" w:after="100"/>
      <w:ind w:hanging="425" w:start="425"/>
      <w:jc w:val="start"/>
    </w:pPr>
    <w:rPr>
      <w:rFonts w:ascii="Times New Roman" w:hAnsi="Times New Roman" w:eastAsia="ＭＳ 明朝" w:cs="" w:cstheme="minorBidi" w:eastAsiaTheme="minorEastAsia"/>
      <w:color w:val="auto"/>
      <w:kern w:val="0"/>
      <w:sz w:val="22"/>
      <w:szCs w:val="22"/>
      <w:lang w:val="en-US" w:eastAsia="en-US" w:bidi="ar-SA"/>
    </w:rPr>
  </w:style>
  <w:style w:type="paragraph" w:styleId="CaptionThesis" w:customStyle="1">
    <w:name w:val="Caption Thesis"/>
    <w:qFormat/>
    <w:pPr>
      <w:keepNext w:val="true"/>
      <w:widowControl/>
      <w:bidi w:val="0"/>
      <w:spacing w:lineRule="auto" w:line="276" w:before="160" w:after="80"/>
      <w:ind w:hanging="0"/>
      <w:jc w:val="start"/>
    </w:pPr>
    <w:rPr>
      <w:rFonts w:ascii="Times New Roman" w:hAnsi="Times New Roman" w:eastAsia="ＭＳ 明朝" w:cs="" w:cstheme="minorBidi" w:eastAsiaTheme="minorEastAsia"/>
      <w:b/>
      <w:color w:val="auto"/>
      <w:kern w:val="0"/>
      <w:sz w:val="20"/>
      <w:szCs w:val="22"/>
      <w:lang w:val="en-US" w:eastAsia="en-US" w:bidi="ar-SA"/>
    </w:rPr>
  </w:style>
  <w:style w:type="paragraph" w:styleId="TOC1">
    <w:name w:val="TOC 1"/>
    <w:basedOn w:val="Index"/>
    <w:pPr>
      <w:tabs>
        <w:tab w:val="clear" w:pos="720"/>
        <w:tab w:val="right" w:pos="9072" w:leader="dot"/>
      </w:tabs>
      <w:ind w:hanging="0" w:start="0"/>
    </w:pPr>
    <w:rPr/>
  </w:style>
  <w:style w:type="paragraph" w:styleId="TOC2">
    <w:name w:val="TOC 2"/>
    <w:basedOn w:val="Index"/>
    <w:pPr>
      <w:tabs>
        <w:tab w:val="clear" w:pos="720"/>
        <w:tab w:val="right" w:pos="8789" w:leader="dot"/>
      </w:tabs>
      <w:ind w:hanging="0" w:start="283"/>
    </w:pPr>
    <w:rPr/>
  </w:style>
  <w:style w:type="paragraph" w:styleId="TOC3">
    <w:name w:val="TOC 3"/>
    <w:basedOn w:val="Index"/>
    <w:pPr>
      <w:tabs>
        <w:tab w:val="clear" w:pos="720"/>
        <w:tab w:val="right" w:pos="8505" w:leader="dot"/>
      </w:tabs>
      <w:ind w:hanging="0" w:start="567"/>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68</Pages>
  <Words>17992</Words>
  <Characters>116592</Characters>
  <CharactersWithSpaces>133611</CharactersWithSpaces>
  <Paragraphs>861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Anonymizováno pro účely hodnocení</dc:creator>
  <dc:description>generated by python-docx</dc:description>
  <cp:keywords>ESG CSRD ESRS dokumentová analýza</cp:keywords>
  <dc:language>en-US</dc:language>
  <cp:lastModifiedBy/>
  <dcterms:modified xsi:type="dcterms:W3CDTF">2026-09-01T21:34:13Z</dcterms:modified>
  <cp:revision>2</cp:revision>
  <dc:subject>Experimentální rukopis pro zaslepené odborné hodnocení</dc:subject>
  <dc:title>Veřejně vykazovaná implementace ESG ve vybraných velkých podnicích působících v České republice</dc:title>
</cp:coreProperties>
</file>

<file path=docProps/custom.xml><?xml version="1.0" encoding="utf-8"?>
<Properties xmlns="http://schemas.openxmlformats.org/officeDocument/2006/custom-properties" xmlns:vt="http://schemas.openxmlformats.org/officeDocument/2006/docPropsVTypes"/>
</file>