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sz w:val="26"/>
        </w:rPr>
        <w:t>UNIVERZITA JANA EVANGELISTY PURKYNĚ V ÚSTÍ NAD LABEM</w:t>
      </w:r>
    </w:p>
    <w:p>
      <w:pPr>
        <w:pStyle w:val="Normal"/>
        <w:jc w:val="center"/>
        <w:rPr/>
      </w:pPr>
      <w:r>
        <w:rPr>
          <w:b/>
          <w:sz w:val="28"/>
        </w:rPr>
        <w:t>FAKULTA SOCIÁLNĚ EKONOMICKÁ</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240"/>
        <w:jc w:val="center"/>
        <w:rPr/>
      </w:pPr>
      <w:r>
        <w:rPr>
          <w:b/>
          <w:sz w:val="32"/>
        </w:rPr>
        <w:t>Veřejně vykazovaná implementace ESG ve vybraných velkých podnicích působících v České republice</w:t>
      </w:r>
    </w:p>
    <w:p>
      <w:pPr>
        <w:pStyle w:val="Normal"/>
        <w:jc w:val="center"/>
        <w:rPr/>
      </w:pPr>
      <w:r>
        <w:rPr>
          <w:i/>
          <w:sz w:val="26"/>
        </w:rPr>
        <w:t>Publicly Reported ESG Implementation in Selected Large Enterprises Operating in the Czech Republic</w:t>
      </w:r>
    </w:p>
    <w:p>
      <w:pPr>
        <w:pStyle w:val="Normal"/>
        <w:rPr/>
      </w:pPr>
      <w:r>
        <w:rPr/>
      </w:r>
    </w:p>
    <w:p>
      <w:pPr>
        <w:pStyle w:val="Normal"/>
        <w:rPr/>
      </w:pPr>
      <w:r>
        <w:rPr/>
      </w:r>
    </w:p>
    <w:p>
      <w:pPr>
        <w:pStyle w:val="Normal"/>
        <w:rPr/>
      </w:pPr>
      <w:r>
        <w:rPr/>
      </w:r>
    </w:p>
    <w:p>
      <w:pPr>
        <w:pStyle w:val="Normal"/>
        <w:jc w:val="center"/>
        <w:rPr/>
      </w:pPr>
      <w:r>
        <w:rPr>
          <w:b/>
          <w:sz w:val="24"/>
        </w:rPr>
        <w:t>Diplomová práce – experimentální rukopis pro zaslepené odborné hodnocení</w:t>
      </w:r>
    </w:p>
    <w:p>
      <w:pPr>
        <w:pStyle w:val="Normal"/>
        <w:rPr/>
      </w:pPr>
      <w:r>
        <w:rPr/>
      </w:r>
    </w:p>
    <w:p>
      <w:pPr>
        <w:pStyle w:val="Normal"/>
        <w:ind w:hanging="0"/>
        <w:jc w:val="center"/>
        <w:rPr/>
      </w:pPr>
      <w:r>
        <w:rPr/>
        <w:t>Autor: anonymizováno pro účely hodnocení</w:t>
      </w:r>
    </w:p>
    <w:p>
      <w:pPr>
        <w:pStyle w:val="Normal"/>
        <w:ind w:hanging="0"/>
        <w:jc w:val="center"/>
        <w:rPr/>
      </w:pPr>
      <w:r>
        <w:rPr/>
        <w:t>Studijní program: Ekonomika a management veřejného sektoru</w:t>
      </w:r>
    </w:p>
    <w:p>
      <w:pPr>
        <w:pStyle w:val="Normal"/>
        <w:ind w:hanging="0"/>
        <w:jc w:val="center"/>
        <w:rPr/>
      </w:pPr>
      <w:r>
        <w:rPr/>
        <w:t>Rok: 2026</w:t>
      </w:r>
    </w:p>
    <w:p>
      <w:pPr>
        <w:pStyle w:val="Normal"/>
        <w:rPr/>
      </w:pPr>
      <w:r>
        <w:rPr/>
      </w:r>
    </w:p>
    <w:p>
      <w:pPr>
        <w:pStyle w:val="Normal"/>
        <w:rPr/>
      </w:pPr>
      <w:r>
        <w:rPr/>
      </w:r>
    </w:p>
    <w:p>
      <w:pPr>
        <w:pStyle w:val="Normal"/>
        <w:rPr/>
      </w:pPr>
      <w:r>
        <w:rPr/>
      </w:r>
    </w:p>
    <w:p>
      <w:pPr>
        <w:pStyle w:val="Normal"/>
        <w:rPr/>
      </w:pPr>
      <w:r>
        <w:rPr/>
      </w:r>
    </w:p>
    <w:p>
      <w:pPr>
        <w:pStyle w:val="Normal"/>
        <w:ind w:hanging="0"/>
        <w:jc w:val="center"/>
        <w:rPr/>
      </w:pPr>
      <w:r>
        <w:rPr/>
        <w:t>Ústí nad Labem 2026</w:t>
      </w:r>
    </w:p>
    <w:p>
      <w:pPr>
        <w:pStyle w:val="Normal"/>
        <w:rPr/>
      </w:pPr>
      <w:r>
        <w:rPr/>
      </w:r>
      <w:r>
        <w:br w:type="page"/>
      </w:r>
    </w:p>
    <w:p>
      <w:pPr>
        <w:pStyle w:val="Title"/>
        <w:spacing w:before="0" w:after="240"/>
        <w:contextualSpacing/>
        <w:jc w:val="start"/>
        <w:rPr/>
      </w:pPr>
      <w:r>
        <w:rPr/>
        <w:t>Poznámka k rukopisu</w:t>
      </w:r>
    </w:p>
    <w:p>
      <w:pPr>
        <w:pStyle w:val="Normal"/>
        <w:rPr/>
      </w:pPr>
      <w:r>
        <w:rPr/>
        <w:t>Tento dokument je výzkumný artefakt určený výhradně k nezávislému odbornému hodnocení kvality rukopisu. Není podáván jako kvalifikační práce k získání akademického titulu. Identita autora a informace o procesu vzniku jsou v hodnoticí verzi odděleny, aby neovlivnily posouzení textu. Po uzavření hodnocení je hodnotitelům zpřístupněn úplný metodický a produkční audit.</w:t>
      </w:r>
    </w:p>
    <w:p>
      <w:pPr>
        <w:pStyle w:val="Normal"/>
        <w:rPr/>
      </w:pPr>
      <w:r>
        <w:rPr/>
        <w:t>Rukopis neobsahuje čestné prohlášení studenta, podpis ani tvrzení o absolvování skutečného studijního procesu.</w:t>
      </w:r>
    </w:p>
    <w:p>
      <w:pPr>
        <w:pStyle w:val="Normal"/>
        <w:rPr/>
      </w:pPr>
      <w:r>
        <w:rPr/>
      </w:r>
      <w:r>
        <w:br w:type="page"/>
      </w:r>
    </w:p>
    <w:p>
      <w:pPr>
        <w:pStyle w:val="Title"/>
        <w:spacing w:before="0" w:after="240"/>
        <w:contextualSpacing/>
        <w:jc w:val="start"/>
        <w:rPr/>
      </w:pPr>
      <w:r>
        <w:rPr/>
        <w:t>Abstrakt</w:t>
      </w:r>
    </w:p>
    <w:p>
      <w:pPr>
        <w:pStyle w:val="Normal"/>
        <w:widowControl/>
        <w:spacing w:lineRule="auto" w:line="360"/>
        <w:ind w:firstLine="709"/>
        <w:jc w:val="both"/>
        <w:rPr/>
      </w:pPr>
      <w:r>
        <w:rPr/>
        <w:t>Práce zkoumá, jak vybrané velké podniky působící v České republice ve veřejných zprávách za rok 2024 dokládají implementaci environmentálních, sociálních a správních témat. Zaměřuje se především na rozdíl mezi deklarací, formalizovaným řízením a manažerskou integrací. Empirický korpus tvoří oficiální dokumenty ČEZ Group, MONETA Money Bank, O2 Czech Republic a Škoda Auto. Pomocí komparativní dokumentové analýzy a řízené kvalitativní obsahové analýzy bylo vybráno 45 významových segmentů, z nichž každý má přesný lokátor, tematické kódy, evidenční třídu a uvedenou hranici interpretace. Pro srovnání různých typů tvrzení byla vytvořena škála E0–E4: od obecné deklarace přes aktivitu a formalizovaný proces až po rozhodovací vazbu a externě podpořený konkrétní výsledek. Analýza ukazuje, že standardizovaná architektura reportingu usnadňuje orientaci, ale sama nedokládá stejnou hloubku řízení. Nejsilnějším veřejným znakem manažerské integrace je vazba informace na kapitálový plán, řízení rizika, produkt, dodavatele, odměňování nebo provozní pravidlo. Reporty podstatně lépe dokládají procesy, aktivity a provozní výsledky než širší kauzální dopady. Jejich informační hodnotu zvyšují transparentně zveřejněné restatementy, nepříznivé trendy, chybějící cíle, trade-offy a negativní dopady. Závěry se vztahují k veřejně vykazované implementaci a nepředstavují nezávislé hodnocení celkové udržitelnosti analyzovaných podniků.</w:t>
      </w:r>
    </w:p>
    <w:p>
      <w:pPr>
        <w:pStyle w:val="Normal"/>
        <w:widowControl/>
        <w:spacing w:lineRule="auto" w:line="360"/>
        <w:ind w:firstLine="709"/>
        <w:jc w:val="both"/>
        <w:rPr/>
      </w:pPr>
      <w:r>
        <w:rPr>
          <w:b/>
        </w:rPr>
        <w:t>Klíčová slova:</w:t>
      </w:r>
      <w:r>
        <w:rPr/>
        <w:t xml:space="preserve"> ESG; CSRD; ESRS; udržitelnostní reporting; implementace; dvojí materialita; obsahová analýza</w:t>
      </w:r>
    </w:p>
    <w:p>
      <w:pPr>
        <w:pStyle w:val="Normal"/>
        <w:rPr/>
      </w:pPr>
      <w:r>
        <w:rPr/>
      </w:r>
      <w:r>
        <w:br w:type="page"/>
      </w:r>
    </w:p>
    <w:p>
      <w:pPr>
        <w:pStyle w:val="Title"/>
        <w:spacing w:before="0" w:after="240"/>
        <w:contextualSpacing/>
        <w:jc w:val="start"/>
        <w:rPr/>
      </w:pPr>
      <w:r>
        <w:rPr/>
        <w:t>Abstract</w:t>
      </w:r>
    </w:p>
    <w:p>
      <w:pPr>
        <w:pStyle w:val="Normal"/>
        <w:widowControl/>
        <w:spacing w:lineRule="auto" w:line="360"/>
        <w:ind w:firstLine="709"/>
        <w:jc w:val="both"/>
        <w:rPr/>
      </w:pPr>
      <w:r>
        <w:rPr/>
        <w:t>This thesis examines how selected large enterprises operating in the Czech Republic substantiate the implementation of environmental, social and governance issues in their public reports for 2024. It focuses on the distinction between declaration, formalised management and managerial integration. The empirical corpus consists of official documents published by ČEZ Group, MONETA Money Bank, O2 Czech Republic and Škoda Auto. A comparative document analysis and directed qualitative content analysis produced a set of 45 meaning units, each linked to an exact source location, thematic codes, an evidence class and an explicit interpretive boundary. To compare different types of claims, the thesis develops an E0–E4 scale ranging from a general declaration through an activity and a formalised process to a decision link and a specifically delimited result with strong external support. The analysis shows that a standardised reporting architecture improves navigation and traceability, but does not by itself demonstrate an equal depth of management integration. The strongest publicly observable indicator of managerial integration is a link between sustainability information and capital planning, risk management, product design, supplier management, remuneration or an operational rule. The reports provide substantially stronger evidence of processes, activities and operational outcomes than of broader causal impacts. Their information value increases when they disclose restatements, adverse trends, missing targets, trade-offs and negative impacts transparently. The conclusions concern publicly reported implementation and do not constitute an independent assessment of the enterprises’ overall sustainability performance.</w:t>
      </w:r>
    </w:p>
    <w:p>
      <w:pPr>
        <w:pStyle w:val="Normal"/>
        <w:widowControl/>
        <w:spacing w:lineRule="auto" w:line="360"/>
        <w:ind w:firstLine="709"/>
        <w:jc w:val="both"/>
        <w:rPr/>
      </w:pPr>
      <w:r>
        <w:rPr>
          <w:b/>
        </w:rPr>
        <w:t>Keywords:</w:t>
      </w:r>
      <w:r>
        <w:rPr/>
        <w:t xml:space="preserve"> ESG; CSRD; ESRS; sustainability reporting; implementation; double materiality; content analysis</w:t>
      </w:r>
    </w:p>
    <w:p>
      <w:pPr>
        <w:pStyle w:val="Normal"/>
        <w:rPr/>
      </w:pPr>
      <w:r>
        <w:rPr/>
      </w:r>
      <w:r>
        <w:br w:type="page"/>
      </w:r>
    </w:p>
    <w:p>
      <w:pPr>
        <w:pStyle w:val="Title"/>
        <w:spacing w:before="0" w:after="240"/>
        <w:contextualSpacing/>
        <w:jc w:val="start"/>
        <w:rPr/>
      </w:pPr>
      <w:r>
        <w:rPr/>
        <w:t>Seznam zkratek</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6"/>
        <w:gridCol w:w="4535"/>
      </w:tblGrid>
      <w:tr>
        <w:trPr>
          <w:tblHeader w:val="true"/>
          <w:cantSplit w:val="true"/>
        </w:trPr>
        <w:tc>
          <w:tcPr>
            <w:tcW w:w="4536"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Zkratka</w:t>
            </w:r>
          </w:p>
        </w:tc>
        <w:tc>
          <w:tcPr>
            <w:tcW w:w="4535"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Význam</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CapEx</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kapitálové výdaje (capital expenditure)</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CSRD</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směrnice o podávání zpráv podniků o udržitelnosti</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DMA</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posouzení dvojí materiality (double materiality assessment)</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ESG</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environmentální, sociální a správní oblast</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ESRS</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evropské standardy pro podávání zpráv o udržitelnosti</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GRI</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Global Reporting Initiative</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IRO</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dopady, rizika a příležitosti (impacts, risks and opportunities)</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KPI</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klíčový ukazatel výkonnosti</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OpEx</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provozní výdaje (operating expenditure)</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PCAF</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Partnership for Carbon Accounting Financials</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Scope 1</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přímé emise skleníkových plynů z vlastních nebo řízených zdrojů</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Scope 2</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nepřímé emise spojené s nakupovanou energií</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Scope 3</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ostatní nepřímé emise v hodnotovém řetězci</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UEP</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environmentální výrobní ukazatel používaný Škoda Auto</w:t>
            </w:r>
          </w:p>
        </w:tc>
      </w:tr>
    </w:tbl>
    <w:p>
      <w:pPr>
        <w:sectPr>
          <w:type w:val="nextPage"/>
          <w:pgSz w:w="11906" w:h="16838"/>
          <w:pgMar w:left="1984" w:right="850" w:gutter="0" w:header="0" w:top="1417" w:footer="0" w:bottom="1134"/>
          <w:pgNumType w:fmt="decimal"/>
          <w:formProt w:val="false"/>
          <w:textDirection w:val="lrTb"/>
          <w:docGrid w:type="default" w:linePitch="360" w:charSpace="0"/>
        </w:sectPr>
        <w:pStyle w:val="Normal"/>
        <w:spacing w:before="0" w:after="40"/>
        <w:rPr/>
      </w:pPr>
      <w:r>
        <w:rPr/>
      </w:r>
    </w:p>
    <w:p>
      <w:pPr>
        <w:pStyle w:val="Title"/>
        <w:jc w:val="start"/>
        <w:rPr/>
      </w:pPr>
      <w:r>
        <w:rPr/>
        <w:t>Obsah</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04_516823210">
            <w:r>
              <w:rPr>
                <w:webHidden/>
                <w:rStyle w:val="IndexLink"/>
              </w:rPr>
              <w:t>Úvod</w:t>
              <w:tab/>
              <w:t>5</w:t>
            </w:r>
          </w:hyperlink>
        </w:p>
        <w:p>
          <w:pPr>
            <w:pStyle w:val="TOC2"/>
            <w:tabs>
              <w:tab w:val="clear" w:pos="8789"/>
              <w:tab w:val="right" w:pos="9071" w:leader="dot"/>
            </w:tabs>
            <w:rPr/>
          </w:pPr>
          <w:hyperlink w:anchor="__RefHeading___Toc2006_516823210">
            <w:r>
              <w:rPr>
                <w:webHidden/>
                <w:rStyle w:val="IndexLink"/>
              </w:rPr>
              <w:t>Cíl práce</w:t>
              <w:tab/>
              <w:t>6</w:t>
            </w:r>
          </w:hyperlink>
        </w:p>
        <w:p>
          <w:pPr>
            <w:pStyle w:val="TOC2"/>
            <w:tabs>
              <w:tab w:val="clear" w:pos="8789"/>
              <w:tab w:val="right" w:pos="9071" w:leader="dot"/>
            </w:tabs>
            <w:rPr/>
          </w:pPr>
          <w:hyperlink w:anchor="__RefHeading___Toc2008_516823210">
            <w:r>
              <w:rPr>
                <w:webHidden/>
                <w:rStyle w:val="IndexLink"/>
              </w:rPr>
              <w:t>Výzkumné otázky</w:t>
              <w:tab/>
              <w:t>6</w:t>
            </w:r>
          </w:hyperlink>
        </w:p>
        <w:p>
          <w:pPr>
            <w:pStyle w:val="TOC2"/>
            <w:tabs>
              <w:tab w:val="clear" w:pos="8789"/>
              <w:tab w:val="right" w:pos="9071" w:leader="dot"/>
            </w:tabs>
            <w:rPr/>
          </w:pPr>
          <w:hyperlink w:anchor="__RefHeading___Toc2010_516823210">
            <w:r>
              <w:rPr>
                <w:webHidden/>
                <w:rStyle w:val="IndexLink"/>
              </w:rPr>
              <w:t>Výběr případů a období</w:t>
              <w:tab/>
              <w:t>7</w:t>
            </w:r>
          </w:hyperlink>
        </w:p>
        <w:p>
          <w:pPr>
            <w:pStyle w:val="TOC2"/>
            <w:tabs>
              <w:tab w:val="clear" w:pos="8789"/>
              <w:tab w:val="right" w:pos="9071" w:leader="dot"/>
            </w:tabs>
            <w:rPr/>
          </w:pPr>
          <w:hyperlink w:anchor="__RefHeading___Toc2012_516823210">
            <w:r>
              <w:rPr>
                <w:webHidden/>
                <w:rStyle w:val="IndexLink"/>
              </w:rPr>
              <w:t>Teoretické a metodické vymezení</w:t>
              <w:tab/>
              <w:t>7</w:t>
            </w:r>
          </w:hyperlink>
        </w:p>
        <w:p>
          <w:pPr>
            <w:pStyle w:val="TOC2"/>
            <w:tabs>
              <w:tab w:val="clear" w:pos="8789"/>
              <w:tab w:val="right" w:pos="9071" w:leader="dot"/>
            </w:tabs>
            <w:rPr/>
          </w:pPr>
          <w:hyperlink w:anchor="__RefHeading___Toc2014_516823210">
            <w:r>
              <w:rPr>
                <w:webHidden/>
                <w:rStyle w:val="IndexLink"/>
              </w:rPr>
              <w:t>Přínos práce</w:t>
              <w:tab/>
              <w:t>8</w:t>
            </w:r>
          </w:hyperlink>
        </w:p>
        <w:p>
          <w:pPr>
            <w:pStyle w:val="TOC2"/>
            <w:tabs>
              <w:tab w:val="clear" w:pos="8789"/>
              <w:tab w:val="right" w:pos="9071" w:leader="dot"/>
            </w:tabs>
            <w:rPr/>
          </w:pPr>
          <w:hyperlink w:anchor="__RefHeading___Toc2016_516823210">
            <w:r>
              <w:rPr>
                <w:webHidden/>
                <w:rStyle w:val="IndexLink"/>
              </w:rPr>
              <w:t>Struktura práce</w:t>
              <w:tab/>
              <w:t>9</w:t>
            </w:r>
          </w:hyperlink>
        </w:p>
        <w:p>
          <w:pPr>
            <w:pStyle w:val="TOC1"/>
            <w:tabs>
              <w:tab w:val="clear" w:pos="9072"/>
              <w:tab w:val="right" w:pos="9071" w:leader="dot"/>
            </w:tabs>
            <w:rPr/>
          </w:pPr>
          <w:hyperlink w:anchor="__RefHeading___Toc2018_516823210">
            <w:r>
              <w:rPr>
                <w:webHidden/>
                <w:rStyle w:val="IndexLink"/>
              </w:rPr>
              <w:t>1 Teoretická východiska</w:t>
              <w:tab/>
              <w:t>10</w:t>
            </w:r>
          </w:hyperlink>
        </w:p>
        <w:p>
          <w:pPr>
            <w:pStyle w:val="TOC2"/>
            <w:tabs>
              <w:tab w:val="clear" w:pos="8789"/>
              <w:tab w:val="right" w:pos="9071" w:leader="dot"/>
            </w:tabs>
            <w:rPr/>
          </w:pPr>
          <w:hyperlink w:anchor="__RefHeading___Toc2020_516823210">
            <w:r>
              <w:rPr>
                <w:webHidden/>
                <w:rStyle w:val="IndexLink"/>
              </w:rPr>
              <w:t>1.1 Od společenské odpovědnosti k ESG</w:t>
              <w:tab/>
              <w:t>10</w:t>
            </w:r>
          </w:hyperlink>
        </w:p>
        <w:p>
          <w:pPr>
            <w:pStyle w:val="TOC2"/>
            <w:tabs>
              <w:tab w:val="clear" w:pos="8789"/>
              <w:tab w:val="right" w:pos="9071" w:leader="dot"/>
            </w:tabs>
            <w:rPr/>
          </w:pPr>
          <w:hyperlink w:anchor="__RefHeading___Toc2022_516823210">
            <w:r>
              <w:rPr>
                <w:webHidden/>
                <w:rStyle w:val="IndexLink"/>
              </w:rPr>
              <w:t>1.2 Stakeholderová perspektiva</w:t>
              <w:tab/>
              <w:t>11</w:t>
            </w:r>
          </w:hyperlink>
        </w:p>
        <w:p>
          <w:pPr>
            <w:pStyle w:val="TOC2"/>
            <w:tabs>
              <w:tab w:val="clear" w:pos="8789"/>
              <w:tab w:val="right" w:pos="9071" w:leader="dot"/>
            </w:tabs>
            <w:rPr/>
          </w:pPr>
          <w:hyperlink w:anchor="__RefHeading___Toc2024_516823210">
            <w:r>
              <w:rPr>
                <w:webHidden/>
                <w:rStyle w:val="IndexLink"/>
              </w:rPr>
              <w:t>1.3 Institucionální tlaky a organizační podobnost</w:t>
              <w:tab/>
              <w:t>12</w:t>
            </w:r>
          </w:hyperlink>
        </w:p>
        <w:p>
          <w:pPr>
            <w:pStyle w:val="TOC2"/>
            <w:tabs>
              <w:tab w:val="clear" w:pos="8789"/>
              <w:tab w:val="right" w:pos="9071" w:leader="dot"/>
            </w:tabs>
            <w:rPr/>
          </w:pPr>
          <w:hyperlink w:anchor="__RefHeading___Toc2026_516823210">
            <w:r>
              <w:rPr>
                <w:webHidden/>
                <w:rStyle w:val="IndexLink"/>
              </w:rPr>
              <w:t>1.4 Legitimita a firemní zveřejnění</w:t>
              <w:tab/>
              <w:t>12</w:t>
            </w:r>
          </w:hyperlink>
        </w:p>
        <w:p>
          <w:pPr>
            <w:pStyle w:val="TOC2"/>
            <w:tabs>
              <w:tab w:val="clear" w:pos="8789"/>
              <w:tab w:val="right" w:pos="9071" w:leader="dot"/>
            </w:tabs>
            <w:rPr/>
          </w:pPr>
          <w:hyperlink w:anchor="__RefHeading___Toc2028_516823210">
            <w:r>
              <w:rPr>
                <w:webHidden/>
                <w:rStyle w:val="IndexLink"/>
              </w:rPr>
              <w:t>1.5 Materialita jako rozhodnutí o prioritách</w:t>
              <w:tab/>
              <w:t>13</w:t>
            </w:r>
          </w:hyperlink>
        </w:p>
        <w:p>
          <w:pPr>
            <w:pStyle w:val="TOC2"/>
            <w:tabs>
              <w:tab w:val="clear" w:pos="8789"/>
              <w:tab w:val="right" w:pos="9071" w:leader="dot"/>
            </w:tabs>
            <w:rPr/>
          </w:pPr>
          <w:hyperlink w:anchor="__RefHeading___Toc2030_516823210">
            <w:r>
              <w:rPr>
                <w:webHidden/>
                <w:rStyle w:val="IndexLink"/>
              </w:rPr>
              <w:t>1.6 Organizační procesy a hloubka implementace</w:t>
              <w:tab/>
              <w:t>14</w:t>
            </w:r>
          </w:hyperlink>
        </w:p>
        <w:p>
          <w:pPr>
            <w:pStyle w:val="TOC2"/>
            <w:tabs>
              <w:tab w:val="clear" w:pos="8789"/>
              <w:tab w:val="right" w:pos="9071" w:leader="dot"/>
            </w:tabs>
            <w:rPr/>
          </w:pPr>
          <w:hyperlink w:anchor="__RefHeading___Toc2032_516823210">
            <w:r>
              <w:rPr>
                <w:webHidden/>
                <w:rStyle w:val="IndexLink"/>
              </w:rPr>
              <w:t>1.7 ESG a podniková výkonnost</w:t>
              <w:tab/>
              <w:t>15</w:t>
            </w:r>
          </w:hyperlink>
        </w:p>
        <w:p>
          <w:pPr>
            <w:pStyle w:val="TOC2"/>
            <w:tabs>
              <w:tab w:val="clear" w:pos="8789"/>
              <w:tab w:val="right" w:pos="9071" w:leader="dot"/>
            </w:tabs>
            <w:rPr/>
          </w:pPr>
          <w:hyperlink w:anchor="__RefHeading___Toc2034_516823210">
            <w:r>
              <w:rPr>
                <w:webHidden/>
                <w:rStyle w:val="IndexLink"/>
              </w:rPr>
              <w:t>1.8 Ratingy a problém agregace</w:t>
              <w:tab/>
              <w:t>15</w:t>
            </w:r>
          </w:hyperlink>
        </w:p>
        <w:p>
          <w:pPr>
            <w:pStyle w:val="TOC2"/>
            <w:tabs>
              <w:tab w:val="clear" w:pos="8789"/>
              <w:tab w:val="right" w:pos="9071" w:leader="dot"/>
            </w:tabs>
            <w:rPr/>
          </w:pPr>
          <w:hyperlink w:anchor="__RefHeading___Toc2036_516823210">
            <w:r>
              <w:rPr>
                <w:webHidden/>
                <w:rStyle w:val="IndexLink"/>
              </w:rPr>
              <w:t>1.9 Povinný reporting jako možný impuls organizační změny</w:t>
              <w:tab/>
              <w:t>16</w:t>
            </w:r>
          </w:hyperlink>
        </w:p>
        <w:p>
          <w:pPr>
            <w:pStyle w:val="TOC2"/>
            <w:tabs>
              <w:tab w:val="clear" w:pos="8789"/>
              <w:tab w:val="right" w:pos="9071" w:leader="dot"/>
            </w:tabs>
            <w:rPr/>
          </w:pPr>
          <w:hyperlink w:anchor="__RefHeading___Toc2038_516823210">
            <w:r>
              <w:rPr>
                <w:webHidden/>
                <w:rStyle w:val="IndexLink"/>
              </w:rPr>
              <w:t>1.10 Kvalita zveřejnění: více dat ještě neznamená více informace</w:t>
              <w:tab/>
              <w:t>17</w:t>
            </w:r>
          </w:hyperlink>
        </w:p>
        <w:p>
          <w:pPr>
            <w:pStyle w:val="TOC2"/>
            <w:tabs>
              <w:tab w:val="clear" w:pos="8789"/>
              <w:tab w:val="right" w:pos="9071" w:leader="dot"/>
            </w:tabs>
            <w:rPr/>
          </w:pPr>
          <w:hyperlink w:anchor="__RefHeading___Toc2040_516823210">
            <w:r>
              <w:rPr>
                <w:webHidden/>
                <w:rStyle w:val="IndexLink"/>
              </w:rPr>
              <w:t>1.11 Assurance a hranice ověření</w:t>
              <w:tab/>
              <w:t>17</w:t>
            </w:r>
          </w:hyperlink>
        </w:p>
        <w:p>
          <w:pPr>
            <w:pStyle w:val="TOC2"/>
            <w:tabs>
              <w:tab w:val="clear" w:pos="8789"/>
              <w:tab w:val="right" w:pos="9071" w:leader="dot"/>
            </w:tabs>
            <w:rPr/>
          </w:pPr>
          <w:hyperlink w:anchor="__RefHeading___Toc2042_516823210">
            <w:r>
              <w:rPr>
                <w:webHidden/>
                <w:rStyle w:val="IndexLink"/>
              </w:rPr>
              <w:t>1.12 Dokument jako empirický zdroj</w:t>
              <w:tab/>
              <w:t>18</w:t>
            </w:r>
          </w:hyperlink>
        </w:p>
        <w:p>
          <w:pPr>
            <w:pStyle w:val="TOC2"/>
            <w:tabs>
              <w:tab w:val="clear" w:pos="8789"/>
              <w:tab w:val="right" w:pos="9071" w:leader="dot"/>
            </w:tabs>
            <w:rPr/>
          </w:pPr>
          <w:hyperlink w:anchor="__RefHeading___Toc2044_516823210">
            <w:r>
              <w:rPr>
                <w:webHidden/>
                <w:rStyle w:val="IndexLink"/>
              </w:rPr>
              <w:t>1.13 Pracovní model zveřejněné implementace</w:t>
              <w:tab/>
              <w:t>19</w:t>
            </w:r>
          </w:hyperlink>
        </w:p>
        <w:p>
          <w:pPr>
            <w:pStyle w:val="TOC2"/>
            <w:tabs>
              <w:tab w:val="clear" w:pos="8789"/>
              <w:tab w:val="right" w:pos="9071" w:leader="dot"/>
            </w:tabs>
            <w:rPr/>
          </w:pPr>
          <w:hyperlink w:anchor="__RefHeading___Toc2046_516823210">
            <w:r>
              <w:rPr>
                <w:webHidden/>
                <w:rStyle w:val="IndexLink"/>
              </w:rPr>
              <w:t>1.14 Shrnutí teoretické kapitoly</w:t>
              <w:tab/>
              <w:t>19</w:t>
            </w:r>
          </w:hyperlink>
        </w:p>
        <w:p>
          <w:pPr>
            <w:pStyle w:val="TOC1"/>
            <w:tabs>
              <w:tab w:val="clear" w:pos="9072"/>
              <w:tab w:val="right" w:pos="9071" w:leader="dot"/>
            </w:tabs>
            <w:rPr/>
          </w:pPr>
          <w:hyperlink w:anchor="__RefHeading___Toc2048_516823210">
            <w:r>
              <w:rPr>
                <w:webHidden/>
                <w:rStyle w:val="IndexLink"/>
              </w:rPr>
              <w:t>2 Regulatorní a reportovací kontext</w:t>
              <w:tab/>
              <w:t>21</w:t>
            </w:r>
          </w:hyperlink>
        </w:p>
        <w:p>
          <w:pPr>
            <w:pStyle w:val="TOC2"/>
            <w:tabs>
              <w:tab w:val="clear" w:pos="8789"/>
              <w:tab w:val="right" w:pos="9071" w:leader="dot"/>
            </w:tabs>
            <w:rPr/>
          </w:pPr>
          <w:hyperlink w:anchor="__RefHeading___Toc2050_516823210">
            <w:r>
              <w:rPr>
                <w:webHidden/>
                <w:rStyle w:val="IndexLink"/>
              </w:rPr>
              <w:t>2.1 Proč je regulace součástí analýzy</w:t>
              <w:tab/>
              <w:t>21</w:t>
            </w:r>
          </w:hyperlink>
        </w:p>
        <w:p>
          <w:pPr>
            <w:pStyle w:val="TOC2"/>
            <w:tabs>
              <w:tab w:val="clear" w:pos="8789"/>
              <w:tab w:val="right" w:pos="9071" w:leader="dot"/>
            </w:tabs>
            <w:rPr/>
          </w:pPr>
          <w:hyperlink w:anchor="__RefHeading___Toc2052_516823210">
            <w:r>
              <w:rPr>
                <w:webHidden/>
                <w:rStyle w:val="IndexLink"/>
              </w:rPr>
              <w:t>2.2 CSRD a změna logiky podávání zpráv</w:t>
              <w:tab/>
              <w:t>21</w:t>
            </w:r>
          </w:hyperlink>
        </w:p>
        <w:p>
          <w:pPr>
            <w:pStyle w:val="TOC2"/>
            <w:tabs>
              <w:tab w:val="clear" w:pos="8789"/>
              <w:tab w:val="right" w:pos="9071" w:leader="dot"/>
            </w:tabs>
            <w:rPr/>
          </w:pPr>
          <w:hyperlink w:anchor="__RefHeading___Toc2054_516823210">
            <w:r>
              <w:rPr>
                <w:webHidden/>
                <w:rStyle w:val="IndexLink"/>
              </w:rPr>
              <w:t>2.3 ESRS jako společná informační architektura</w:t>
              <w:tab/>
              <w:t>22</w:t>
            </w:r>
          </w:hyperlink>
        </w:p>
        <w:p>
          <w:pPr>
            <w:pStyle w:val="TOC3"/>
            <w:tabs>
              <w:tab w:val="clear" w:pos="8505"/>
              <w:tab w:val="right" w:pos="9071" w:leader="dot"/>
            </w:tabs>
            <w:rPr/>
          </w:pPr>
          <w:hyperlink w:anchor="__RefHeading___Toc2056_516823210">
            <w:r>
              <w:rPr>
                <w:webHidden/>
                <w:rStyle w:val="IndexLink"/>
              </w:rPr>
              <w:t>2.3.1 Dvojí materialita</w:t>
              <w:tab/>
              <w:t>23</w:t>
            </w:r>
          </w:hyperlink>
        </w:p>
        <w:p>
          <w:pPr>
            <w:pStyle w:val="TOC3"/>
            <w:tabs>
              <w:tab w:val="clear" w:pos="8505"/>
              <w:tab w:val="right" w:pos="9071" w:leader="dot"/>
            </w:tabs>
            <w:rPr/>
          </w:pPr>
          <w:hyperlink w:anchor="__RefHeading___Toc2058_516823210">
            <w:r>
              <w:rPr>
                <w:webHidden/>
                <w:rStyle w:val="IndexLink"/>
              </w:rPr>
              <w:t>2.3.2 Dopady, rizika a příležitosti</w:t>
              <w:tab/>
              <w:t>23</w:t>
            </w:r>
          </w:hyperlink>
        </w:p>
        <w:p>
          <w:pPr>
            <w:pStyle w:val="TOC3"/>
            <w:tabs>
              <w:tab w:val="clear" w:pos="8505"/>
              <w:tab w:val="right" w:pos="9071" w:leader="dot"/>
            </w:tabs>
            <w:rPr/>
          </w:pPr>
          <w:hyperlink w:anchor="__RefHeading___Toc2060_516823210">
            <w:r>
              <w:rPr>
                <w:webHidden/>
                <w:rStyle w:val="IndexLink"/>
              </w:rPr>
              <w:t>2.3.3 Politiky, opatření, zdroje, cíle a metriky</w:t>
              <w:tab/>
              <w:t>24</w:t>
            </w:r>
          </w:hyperlink>
        </w:p>
        <w:p>
          <w:pPr>
            <w:pStyle w:val="TOC2"/>
            <w:tabs>
              <w:tab w:val="clear" w:pos="8789"/>
              <w:tab w:val="right" w:pos="9071" w:leader="dot"/>
            </w:tabs>
            <w:rPr/>
          </w:pPr>
          <w:hyperlink w:anchor="__RefHeading___Toc2062_516823210">
            <w:r>
              <w:rPr>
                <w:webHidden/>
                <w:rStyle w:val="IndexLink"/>
              </w:rPr>
              <w:t>2.4 Zpráva o udržitelnosti a omezené ujištění</w:t>
              <w:tab/>
              <w:t>24</w:t>
            </w:r>
          </w:hyperlink>
        </w:p>
        <w:p>
          <w:pPr>
            <w:pStyle w:val="TOC2"/>
            <w:tabs>
              <w:tab w:val="clear" w:pos="8789"/>
              <w:tab w:val="right" w:pos="9071" w:leader="dot"/>
            </w:tabs>
            <w:rPr/>
          </w:pPr>
          <w:hyperlink w:anchor="__RefHeading___Toc2064_516823210">
            <w:r>
              <w:rPr>
                <w:webHidden/>
                <w:rStyle w:val="IndexLink"/>
              </w:rPr>
              <w:t>2.5 EU Taxonomie</w:t>
              <w:tab/>
              <w:t>25</w:t>
            </w:r>
          </w:hyperlink>
        </w:p>
        <w:p>
          <w:pPr>
            <w:pStyle w:val="TOC2"/>
            <w:tabs>
              <w:tab w:val="clear" w:pos="8789"/>
              <w:tab w:val="right" w:pos="9071" w:leader="dot"/>
            </w:tabs>
            <w:rPr/>
          </w:pPr>
          <w:hyperlink w:anchor="__RefHeading___Toc2066_516823210">
            <w:r>
              <w:rPr>
                <w:webHidden/>
                <w:rStyle w:val="IndexLink"/>
              </w:rPr>
              <w:t>2.6 Česká transpozice pro první reportovací období</w:t>
              <w:tab/>
              <w:t>25</w:t>
            </w:r>
          </w:hyperlink>
        </w:p>
        <w:p>
          <w:pPr>
            <w:pStyle w:val="TOC2"/>
            <w:tabs>
              <w:tab w:val="clear" w:pos="8789"/>
              <w:tab w:val="right" w:pos="9071" w:leader="dot"/>
            </w:tabs>
            <w:rPr/>
          </w:pPr>
          <w:hyperlink w:anchor="__RefHeading___Toc2068_516823210">
            <w:r>
              <w:rPr>
                <w:webHidden/>
                <w:rStyle w:val="IndexLink"/>
              </w:rPr>
              <w:t>2.7 GRI, skupinové standardy a přechodné reportování</w:t>
              <w:tab/>
              <w:t>26</w:t>
            </w:r>
          </w:hyperlink>
        </w:p>
        <w:p>
          <w:pPr>
            <w:pStyle w:val="TOC2"/>
            <w:tabs>
              <w:tab w:val="clear" w:pos="8789"/>
              <w:tab w:val="right" w:pos="9071" w:leader="dot"/>
            </w:tabs>
            <w:rPr/>
          </w:pPr>
          <w:hyperlink w:anchor="__RefHeading___Toc2070_516823210">
            <w:r>
              <w:rPr>
                <w:webHidden/>
                <w:rStyle w:val="IndexLink"/>
              </w:rPr>
              <w:t>2.8 Pozdější změny a analytické zmrazení</w:t>
              <w:tab/>
              <w:t>27</w:t>
            </w:r>
          </w:hyperlink>
        </w:p>
        <w:p>
          <w:pPr>
            <w:pStyle w:val="TOC2"/>
            <w:tabs>
              <w:tab w:val="clear" w:pos="8789"/>
              <w:tab w:val="right" w:pos="9071" w:leader="dot"/>
            </w:tabs>
            <w:rPr/>
          </w:pPr>
          <w:hyperlink w:anchor="__RefHeading___Toc2072_516823210">
            <w:r>
              <w:rPr>
                <w:webHidden/>
                <w:rStyle w:val="IndexLink"/>
              </w:rPr>
              <w:t>2.9 Co z regulatorního kontextu plyne pro analýzu</w:t>
              <w:tab/>
              <w:t>27</w:t>
            </w:r>
          </w:hyperlink>
        </w:p>
        <w:p>
          <w:pPr>
            <w:pStyle w:val="TOC1"/>
            <w:tabs>
              <w:tab w:val="clear" w:pos="9072"/>
              <w:tab w:val="right" w:pos="9071" w:leader="dot"/>
            </w:tabs>
            <w:rPr/>
          </w:pPr>
          <w:hyperlink w:anchor="__RefHeading___Toc2074_516823210">
            <w:r>
              <w:rPr>
                <w:webHidden/>
                <w:rStyle w:val="IndexLink"/>
              </w:rPr>
              <w:t>3 Metodologie</w:t>
              <w:tab/>
              <w:t>28</w:t>
            </w:r>
          </w:hyperlink>
        </w:p>
        <w:p>
          <w:pPr>
            <w:pStyle w:val="TOC2"/>
            <w:tabs>
              <w:tab w:val="clear" w:pos="8789"/>
              <w:tab w:val="right" w:pos="9071" w:leader="dot"/>
            </w:tabs>
            <w:rPr/>
          </w:pPr>
          <w:hyperlink w:anchor="__RefHeading___Toc2076_516823210">
            <w:r>
              <w:rPr>
                <w:webHidden/>
                <w:rStyle w:val="IndexLink"/>
              </w:rPr>
              <w:t>3.1 Výzkumný přístup</w:t>
              <w:tab/>
              <w:t>28</w:t>
            </w:r>
          </w:hyperlink>
        </w:p>
        <w:p>
          <w:pPr>
            <w:pStyle w:val="TOC2"/>
            <w:tabs>
              <w:tab w:val="clear" w:pos="8789"/>
              <w:tab w:val="right" w:pos="9071" w:leader="dot"/>
            </w:tabs>
            <w:rPr/>
          </w:pPr>
          <w:hyperlink w:anchor="__RefHeading___Toc2078_516823210">
            <w:r>
              <w:rPr>
                <w:webHidden/>
                <w:rStyle w:val="IndexLink"/>
              </w:rPr>
              <w:t>3.2 Výzkumné otázky</w:t>
              <w:tab/>
              <w:t>28</w:t>
            </w:r>
          </w:hyperlink>
        </w:p>
        <w:p>
          <w:pPr>
            <w:pStyle w:val="TOC2"/>
            <w:tabs>
              <w:tab w:val="clear" w:pos="8789"/>
              <w:tab w:val="right" w:pos="9071" w:leader="dot"/>
            </w:tabs>
            <w:rPr/>
          </w:pPr>
          <w:hyperlink w:anchor="__RefHeading___Toc2080_516823210">
            <w:r>
              <w:rPr>
                <w:webHidden/>
                <w:rStyle w:val="IndexLink"/>
              </w:rPr>
              <w:t>3.3 Výběr případů</w:t>
              <w:tab/>
              <w:t>29</w:t>
            </w:r>
          </w:hyperlink>
        </w:p>
        <w:p>
          <w:pPr>
            <w:pStyle w:val="TOC2"/>
            <w:tabs>
              <w:tab w:val="clear" w:pos="8789"/>
              <w:tab w:val="right" w:pos="9071" w:leader="dot"/>
            </w:tabs>
            <w:rPr/>
          </w:pPr>
          <w:hyperlink w:anchor="__RefHeading___Toc2082_516823210">
            <w:r>
              <w:rPr>
                <w:webHidden/>
                <w:rStyle w:val="IndexLink"/>
              </w:rPr>
              <w:t>3.4 Dokumentový korpus</w:t>
              <w:tab/>
              <w:t>30</w:t>
            </w:r>
          </w:hyperlink>
        </w:p>
        <w:p>
          <w:pPr>
            <w:pStyle w:val="TOC2"/>
            <w:tabs>
              <w:tab w:val="clear" w:pos="8789"/>
              <w:tab w:val="right" w:pos="9071" w:leader="dot"/>
            </w:tabs>
            <w:rPr/>
          </w:pPr>
          <w:hyperlink w:anchor="__RefHeading___Toc2084_516823210">
            <w:r>
              <w:rPr>
                <w:webHidden/>
                <w:rStyle w:val="IndexLink"/>
              </w:rPr>
              <w:t>3.5 Strategie čtení a extrakce</w:t>
              <w:tab/>
              <w:t>31</w:t>
            </w:r>
          </w:hyperlink>
        </w:p>
        <w:p>
          <w:pPr>
            <w:pStyle w:val="TOC2"/>
            <w:tabs>
              <w:tab w:val="clear" w:pos="8789"/>
              <w:tab w:val="right" w:pos="9071" w:leader="dot"/>
            </w:tabs>
            <w:rPr/>
          </w:pPr>
          <w:hyperlink w:anchor="__RefHeading___Toc2086_516823210">
            <w:r>
              <w:rPr>
                <w:webHidden/>
                <w:rStyle w:val="IndexLink"/>
              </w:rPr>
              <w:t>3.6 Jednotky analýzy a segmentace</w:t>
              <w:tab/>
              <w:t>31</w:t>
            </w:r>
          </w:hyperlink>
        </w:p>
        <w:p>
          <w:pPr>
            <w:pStyle w:val="TOC2"/>
            <w:tabs>
              <w:tab w:val="clear" w:pos="8789"/>
              <w:tab w:val="right" w:pos="9071" w:leader="dot"/>
            </w:tabs>
            <w:rPr/>
          </w:pPr>
          <w:hyperlink w:anchor="__RefHeading___Toc2088_516823210">
            <w:r>
              <w:rPr>
                <w:webHidden/>
                <w:rStyle w:val="IndexLink"/>
              </w:rPr>
              <w:t>3.7 Kódovací rámec</w:t>
              <w:tab/>
              <w:t>32</w:t>
            </w:r>
          </w:hyperlink>
        </w:p>
        <w:p>
          <w:pPr>
            <w:pStyle w:val="TOC2"/>
            <w:tabs>
              <w:tab w:val="clear" w:pos="8789"/>
              <w:tab w:val="right" w:pos="9071" w:leader="dot"/>
            </w:tabs>
            <w:rPr/>
          </w:pPr>
          <w:hyperlink w:anchor="__RefHeading___Toc2090_516823210">
            <w:r>
              <w:rPr>
                <w:webHidden/>
                <w:rStyle w:val="IndexLink"/>
              </w:rPr>
              <w:t>3.8 Škála evidenční síly E0–E4</w:t>
              <w:tab/>
              <w:t>33</w:t>
            </w:r>
          </w:hyperlink>
        </w:p>
        <w:p>
          <w:pPr>
            <w:pStyle w:val="TOC2"/>
            <w:tabs>
              <w:tab w:val="clear" w:pos="8789"/>
              <w:tab w:val="right" w:pos="9071" w:leader="dot"/>
            </w:tabs>
            <w:rPr/>
          </w:pPr>
          <w:hyperlink w:anchor="__RefHeading___Toc2092_516823210">
            <w:r>
              <w:rPr>
                <w:webHidden/>
                <w:rStyle w:val="IndexLink"/>
              </w:rPr>
              <w:t>3.9 Pilotní kódování</w:t>
              <w:tab/>
              <w:t>34</w:t>
            </w:r>
          </w:hyperlink>
        </w:p>
        <w:p>
          <w:pPr>
            <w:pStyle w:val="TOC2"/>
            <w:tabs>
              <w:tab w:val="clear" w:pos="8789"/>
              <w:tab w:val="right" w:pos="9071" w:leader="dot"/>
            </w:tabs>
            <w:rPr/>
          </w:pPr>
          <w:hyperlink w:anchor="__RefHeading___Toc2094_516823210">
            <w:r>
              <w:rPr>
                <w:webHidden/>
                <w:rStyle w:val="IndexLink"/>
              </w:rPr>
              <w:t>3.10 Hlavní kódování a případová mema</w:t>
              <w:tab/>
              <w:t>34</w:t>
            </w:r>
          </w:hyperlink>
        </w:p>
        <w:p>
          <w:pPr>
            <w:pStyle w:val="TOC2"/>
            <w:tabs>
              <w:tab w:val="clear" w:pos="8789"/>
              <w:tab w:val="right" w:pos="9071" w:leader="dot"/>
            </w:tabs>
            <w:rPr/>
          </w:pPr>
          <w:hyperlink w:anchor="__RefHeading___Toc2096_516823210">
            <w:r>
              <w:rPr>
                <w:webHidden/>
                <w:rStyle w:val="IndexLink"/>
              </w:rPr>
              <w:t>3.11 Mezipřípadová syntéza</w:t>
              <w:tab/>
              <w:t>35</w:t>
            </w:r>
          </w:hyperlink>
        </w:p>
        <w:p>
          <w:pPr>
            <w:pStyle w:val="TOC2"/>
            <w:tabs>
              <w:tab w:val="clear" w:pos="8789"/>
              <w:tab w:val="right" w:pos="9071" w:leader="dot"/>
            </w:tabs>
            <w:rPr/>
          </w:pPr>
          <w:hyperlink w:anchor="__RefHeading___Toc2098_516823210">
            <w:r>
              <w:rPr>
                <w:webHidden/>
                <w:rStyle w:val="IndexLink"/>
              </w:rPr>
              <w:t>3.12 Kontrola konzistence</w:t>
              <w:tab/>
              <w:t>35</w:t>
            </w:r>
          </w:hyperlink>
        </w:p>
        <w:p>
          <w:pPr>
            <w:pStyle w:val="TOC2"/>
            <w:tabs>
              <w:tab w:val="clear" w:pos="8789"/>
              <w:tab w:val="right" w:pos="9071" w:leader="dot"/>
            </w:tabs>
            <w:rPr/>
          </w:pPr>
          <w:hyperlink w:anchor="__RefHeading___Toc2100_516823210">
            <w:r>
              <w:rPr>
                <w:webHidden/>
                <w:rStyle w:val="IndexLink"/>
              </w:rPr>
              <w:t>3.13 Důvěryhodnost a auditní stopa</w:t>
              <w:tab/>
              <w:t>36</w:t>
            </w:r>
          </w:hyperlink>
        </w:p>
        <w:p>
          <w:pPr>
            <w:pStyle w:val="TOC3"/>
            <w:tabs>
              <w:tab w:val="clear" w:pos="8505"/>
              <w:tab w:val="right" w:pos="9071" w:leader="dot"/>
            </w:tabs>
            <w:rPr/>
          </w:pPr>
          <w:hyperlink w:anchor="__RefHeading___Toc2102_516823210">
            <w:r>
              <w:rPr>
                <w:webHidden/>
                <w:rStyle w:val="IndexLink"/>
              </w:rPr>
              <w:t>3.13.1 Dohledatelnost</w:t>
              <w:tab/>
              <w:t>36</w:t>
            </w:r>
          </w:hyperlink>
        </w:p>
        <w:p>
          <w:pPr>
            <w:pStyle w:val="TOC3"/>
            <w:tabs>
              <w:tab w:val="clear" w:pos="8505"/>
              <w:tab w:val="right" w:pos="9071" w:leader="dot"/>
            </w:tabs>
            <w:rPr/>
          </w:pPr>
          <w:hyperlink w:anchor="__RefHeading___Toc2104_516823210">
            <w:r>
              <w:rPr>
                <w:webHidden/>
                <w:rStyle w:val="IndexLink"/>
              </w:rPr>
              <w:t>3.13.2 Negativní případy</w:t>
              <w:tab/>
              <w:t>36</w:t>
            </w:r>
          </w:hyperlink>
        </w:p>
        <w:p>
          <w:pPr>
            <w:pStyle w:val="TOC3"/>
            <w:tabs>
              <w:tab w:val="clear" w:pos="8505"/>
              <w:tab w:val="right" w:pos="9071" w:leader="dot"/>
            </w:tabs>
            <w:rPr/>
          </w:pPr>
          <w:hyperlink w:anchor="__RefHeading___Toc2106_516823210">
            <w:r>
              <w:rPr>
                <w:webHidden/>
                <w:rStyle w:val="IndexLink"/>
              </w:rPr>
              <w:t>3.13.3 Alternativní výklad</w:t>
              <w:tab/>
              <w:t>36</w:t>
            </w:r>
          </w:hyperlink>
        </w:p>
        <w:p>
          <w:pPr>
            <w:pStyle w:val="TOC3"/>
            <w:tabs>
              <w:tab w:val="clear" w:pos="8505"/>
              <w:tab w:val="right" w:pos="9071" w:leader="dot"/>
            </w:tabs>
            <w:rPr/>
          </w:pPr>
          <w:hyperlink w:anchor="__RefHeading___Toc2108_516823210">
            <w:r>
              <w:rPr>
                <w:webHidden/>
                <w:rStyle w:val="IndexLink"/>
              </w:rPr>
              <w:t>3.13.4 Reflexivita</w:t>
              <w:tab/>
              <w:t>37</w:t>
            </w:r>
          </w:hyperlink>
        </w:p>
        <w:p>
          <w:pPr>
            <w:pStyle w:val="TOC3"/>
            <w:tabs>
              <w:tab w:val="clear" w:pos="8505"/>
              <w:tab w:val="right" w:pos="9071" w:leader="dot"/>
            </w:tabs>
            <w:rPr/>
          </w:pPr>
          <w:hyperlink w:anchor="__RefHeading___Toc2110_516823210">
            <w:r>
              <w:rPr>
                <w:webHidden/>
                <w:rStyle w:val="IndexLink"/>
              </w:rPr>
              <w:t>3.13.5 Verzování</w:t>
              <w:tab/>
              <w:t>37</w:t>
            </w:r>
          </w:hyperlink>
        </w:p>
        <w:p>
          <w:pPr>
            <w:pStyle w:val="TOC2"/>
            <w:tabs>
              <w:tab w:val="clear" w:pos="8789"/>
              <w:tab w:val="right" w:pos="9071" w:leader="dot"/>
            </w:tabs>
            <w:rPr/>
          </w:pPr>
          <w:hyperlink w:anchor="__RefHeading___Toc2112_516823210">
            <w:r>
              <w:rPr>
                <w:webHidden/>
                <w:rStyle w:val="IndexLink"/>
              </w:rPr>
              <w:t>3.14 Etické aspekty</w:t>
              <w:tab/>
              <w:t>37</w:t>
            </w:r>
          </w:hyperlink>
        </w:p>
        <w:p>
          <w:pPr>
            <w:pStyle w:val="TOC2"/>
            <w:tabs>
              <w:tab w:val="clear" w:pos="8789"/>
              <w:tab w:val="right" w:pos="9071" w:leader="dot"/>
            </w:tabs>
            <w:rPr/>
          </w:pPr>
          <w:hyperlink w:anchor="__RefHeading___Toc2114_516823210">
            <w:r>
              <w:rPr>
                <w:webHidden/>
                <w:rStyle w:val="IndexLink"/>
              </w:rPr>
              <w:t>3.15 Limity výzkumného designu</w:t>
              <w:tab/>
              <w:t>37</w:t>
            </w:r>
          </w:hyperlink>
        </w:p>
        <w:p>
          <w:pPr>
            <w:pStyle w:val="TOC2"/>
            <w:tabs>
              <w:tab w:val="clear" w:pos="8789"/>
              <w:tab w:val="right" w:pos="9071" w:leader="dot"/>
            </w:tabs>
            <w:rPr/>
          </w:pPr>
          <w:hyperlink w:anchor="__RefHeading___Toc2116_516823210">
            <w:r>
              <w:rPr>
                <w:webHidden/>
                <w:rStyle w:val="IndexLink"/>
              </w:rPr>
              <w:t>3.16 Kritérium analytické dostatečnosti</w:t>
              <w:tab/>
              <w:t>38</w:t>
            </w:r>
          </w:hyperlink>
        </w:p>
        <w:p>
          <w:pPr>
            <w:pStyle w:val="TOC1"/>
            <w:tabs>
              <w:tab w:val="clear" w:pos="9072"/>
              <w:tab w:val="right" w:pos="9071" w:leader="dot"/>
            </w:tabs>
            <w:rPr/>
          </w:pPr>
          <w:hyperlink w:anchor="__RefHeading___Toc2118_516823210">
            <w:r>
              <w:rPr>
                <w:webHidden/>
                <w:rStyle w:val="IndexLink"/>
              </w:rPr>
              <w:t>4 Výsledky</w:t>
              <w:tab/>
              <w:t>39</w:t>
            </w:r>
          </w:hyperlink>
        </w:p>
        <w:p>
          <w:pPr>
            <w:pStyle w:val="TOC2"/>
            <w:tabs>
              <w:tab w:val="clear" w:pos="8789"/>
              <w:tab w:val="right" w:pos="9071" w:leader="dot"/>
            </w:tabs>
            <w:rPr/>
          </w:pPr>
          <w:hyperlink w:anchor="__RefHeading___Toc2120_516823210">
            <w:r>
              <w:rPr>
                <w:webHidden/>
                <w:rStyle w:val="IndexLink"/>
              </w:rPr>
              <w:t>4.1 Charakteristika analytického korpusu</w:t>
              <w:tab/>
              <w:t>39</w:t>
            </w:r>
          </w:hyperlink>
        </w:p>
        <w:p>
          <w:pPr>
            <w:pStyle w:val="TOC2"/>
            <w:tabs>
              <w:tab w:val="clear" w:pos="8789"/>
              <w:tab w:val="right" w:pos="9071" w:leader="dot"/>
            </w:tabs>
            <w:rPr/>
          </w:pPr>
          <w:hyperlink w:anchor="__RefHeading___Toc2122_516823210">
            <w:r>
              <w:rPr>
                <w:webHidden/>
                <w:rStyle w:val="IndexLink"/>
              </w:rPr>
              <w:t>4.2 Téma 1: Standardizovaná architektura reportingu zakrývá rozdílnou manažerskou hloubku</w:t>
              <w:tab/>
              <w:t>40</w:t>
            </w:r>
          </w:hyperlink>
        </w:p>
        <w:p>
          <w:pPr>
            <w:pStyle w:val="TOC3"/>
            <w:tabs>
              <w:tab w:val="clear" w:pos="8505"/>
              <w:tab w:val="right" w:pos="9071" w:leader="dot"/>
            </w:tabs>
            <w:rPr/>
          </w:pPr>
          <w:hyperlink w:anchor="__RefHeading___Toc2124_516823210">
            <w:r>
              <w:rPr>
                <w:webHidden/>
                <w:rStyle w:val="IndexLink"/>
              </w:rPr>
              <w:t>4.2.1 ČEZ: standardizovaná struktura propojená s investicemi</w:t>
              <w:tab/>
              <w:t>40</w:t>
            </w:r>
          </w:hyperlink>
        </w:p>
        <w:p>
          <w:pPr>
            <w:pStyle w:val="TOC3"/>
            <w:tabs>
              <w:tab w:val="clear" w:pos="8505"/>
              <w:tab w:val="right" w:pos="9071" w:leader="dot"/>
            </w:tabs>
            <w:rPr/>
          </w:pPr>
          <w:hyperlink w:anchor="__RefHeading___Toc2126_516823210">
            <w:r>
              <w:rPr>
                <w:webHidden/>
                <w:rStyle w:val="IndexLink"/>
              </w:rPr>
              <w:t>4.2.2 MONETA: regulované zveřejnění a jeho čtenářský překlad</w:t>
              <w:tab/>
              <w:t>40</w:t>
            </w:r>
          </w:hyperlink>
        </w:p>
        <w:p>
          <w:pPr>
            <w:pStyle w:val="TOC3"/>
            <w:tabs>
              <w:tab w:val="clear" w:pos="8505"/>
              <w:tab w:val="right" w:pos="9071" w:leader="dot"/>
            </w:tabs>
            <w:rPr/>
          </w:pPr>
          <w:hyperlink w:anchor="__RefHeading___Toc2128_516823210">
            <w:r>
              <w:rPr>
                <w:webHidden/>
                <w:rStyle w:val="IndexLink"/>
              </w:rPr>
              <w:t>4.2.3 O2: systém uprostřed přechodu</w:t>
              <w:tab/>
              <w:t>41</w:t>
            </w:r>
          </w:hyperlink>
        </w:p>
        <w:p>
          <w:pPr>
            <w:pStyle w:val="TOC3"/>
            <w:tabs>
              <w:tab w:val="clear" w:pos="8505"/>
              <w:tab w:val="right" w:pos="9071" w:leader="dot"/>
            </w:tabs>
            <w:rPr/>
          </w:pPr>
          <w:hyperlink w:anchor="__RefHeading___Toc2130_516823210">
            <w:r>
              <w:rPr>
                <w:webHidden/>
                <w:rStyle w:val="IndexLink"/>
              </w:rPr>
              <w:t>4.2.4 Škoda Auto: standardizace uvnitř nadnárodní skupiny</w:t>
              <w:tab/>
              <w:t>41</w:t>
            </w:r>
          </w:hyperlink>
        </w:p>
        <w:p>
          <w:pPr>
            <w:pStyle w:val="TOC3"/>
            <w:tabs>
              <w:tab w:val="clear" w:pos="8505"/>
              <w:tab w:val="right" w:pos="9071" w:leader="dot"/>
            </w:tabs>
            <w:rPr/>
          </w:pPr>
          <w:hyperlink w:anchor="__RefHeading___Toc2132_516823210">
            <w:r>
              <w:rPr>
                <w:webHidden/>
                <w:rStyle w:val="IndexLink"/>
              </w:rPr>
              <w:t>4.2.5 Co společná architektura umožňuje — a co ne</w:t>
              <w:tab/>
              <w:t>42</w:t>
            </w:r>
          </w:hyperlink>
        </w:p>
        <w:p>
          <w:pPr>
            <w:pStyle w:val="TOC2"/>
            <w:tabs>
              <w:tab w:val="clear" w:pos="8789"/>
              <w:tab w:val="right" w:pos="9071" w:leader="dot"/>
            </w:tabs>
            <w:rPr/>
          </w:pPr>
          <w:hyperlink w:anchor="__RefHeading___Toc2134_516823210">
            <w:r>
              <w:rPr>
                <w:webHidden/>
                <w:rStyle w:val="IndexLink"/>
              </w:rPr>
              <w:t>4.3 Téma 2: ESG se stává řídicí agendou tam, kde získá provozní nebo finanční kotvu</w:t>
              <w:tab/>
              <w:t>42</w:t>
            </w:r>
          </w:hyperlink>
        </w:p>
        <w:p>
          <w:pPr>
            <w:pStyle w:val="TOC3"/>
            <w:tabs>
              <w:tab w:val="clear" w:pos="8505"/>
              <w:tab w:val="right" w:pos="9071" w:leader="dot"/>
            </w:tabs>
            <w:rPr/>
          </w:pPr>
          <w:hyperlink w:anchor="__RefHeading___Toc2136_516823210">
            <w:r>
              <w:rPr>
                <w:webHidden/>
                <w:rStyle w:val="IndexLink"/>
              </w:rPr>
              <w:t>4.3.1 ČEZ: transformace ukotvená v kapitálovém plánu</w:t>
              <w:tab/>
              <w:t>42</w:t>
            </w:r>
          </w:hyperlink>
        </w:p>
        <w:p>
          <w:pPr>
            <w:pStyle w:val="TOC3"/>
            <w:tabs>
              <w:tab w:val="clear" w:pos="8505"/>
              <w:tab w:val="right" w:pos="9071" w:leader="dot"/>
            </w:tabs>
            <w:rPr/>
          </w:pPr>
          <w:hyperlink w:anchor="__RefHeading___Toc2138_516823210">
            <w:r>
              <w:rPr>
                <w:webHidden/>
                <w:rStyle w:val="IndexLink"/>
              </w:rPr>
              <w:t>4.3.2 MONETA: pobídky, riziko a financované portfolio</w:t>
              <w:tab/>
              <w:t>42</w:t>
            </w:r>
          </w:hyperlink>
        </w:p>
        <w:p>
          <w:pPr>
            <w:pStyle w:val="TOC3"/>
            <w:tabs>
              <w:tab w:val="clear" w:pos="8505"/>
              <w:tab w:val="right" w:pos="9071" w:leader="dot"/>
            </w:tabs>
            <w:rPr/>
          </w:pPr>
          <w:hyperlink w:anchor="__RefHeading___Toc2140_516823210">
            <w:r>
              <w:rPr>
                <w:webHidden/>
                <w:rStyle w:val="IndexLink"/>
              </w:rPr>
              <w:t>4.3.3 O2: energetická účinnost jako provozní kritérium</w:t>
              <w:tab/>
              <w:t>43</w:t>
            </w:r>
          </w:hyperlink>
        </w:p>
        <w:p>
          <w:pPr>
            <w:pStyle w:val="TOC3"/>
            <w:tabs>
              <w:tab w:val="clear" w:pos="8505"/>
              <w:tab w:val="right" w:pos="9071" w:leader="dot"/>
            </w:tabs>
            <w:rPr/>
          </w:pPr>
          <w:hyperlink w:anchor="__RefHeading___Toc2142_516823210">
            <w:r>
              <w:rPr>
                <w:webHidden/>
                <w:rStyle w:val="IndexLink"/>
              </w:rPr>
              <w:t>4.3.4 Škoda Auto: několik kotev v jednom průmyslovém systému</w:t>
              <w:tab/>
              <w:t>43</w:t>
            </w:r>
          </w:hyperlink>
        </w:p>
        <w:p>
          <w:pPr>
            <w:pStyle w:val="TOC3"/>
            <w:tabs>
              <w:tab w:val="clear" w:pos="8505"/>
              <w:tab w:val="right" w:pos="9071" w:leader="dot"/>
            </w:tabs>
            <w:rPr/>
          </w:pPr>
          <w:hyperlink w:anchor="__RefHeading___Toc2144_516823210">
            <w:r>
              <w:rPr>
                <w:webHidden/>
                <w:rStyle w:val="IndexLink"/>
              </w:rPr>
              <w:t>4.3.5 Společná logika odlišných sektorů</w:t>
              <w:tab/>
              <w:t>44</w:t>
            </w:r>
          </w:hyperlink>
        </w:p>
        <w:p>
          <w:pPr>
            <w:pStyle w:val="TOC2"/>
            <w:tabs>
              <w:tab w:val="clear" w:pos="8789"/>
              <w:tab w:val="right" w:pos="9071" w:leader="dot"/>
            </w:tabs>
            <w:rPr/>
          </w:pPr>
          <w:hyperlink w:anchor="__RefHeading___Toc2146_516823210">
            <w:r>
              <w:rPr>
                <w:webHidden/>
                <w:rStyle w:val="IndexLink"/>
              </w:rPr>
              <w:t>4.4 Téma 3: Governance je přesvědčivá tehdy, když ukazuje odpovědnost, rytmus a korekci</w:t>
              <w:tab/>
              <w:t>44</w:t>
            </w:r>
          </w:hyperlink>
        </w:p>
        <w:p>
          <w:pPr>
            <w:pStyle w:val="TOC3"/>
            <w:tabs>
              <w:tab w:val="clear" w:pos="8505"/>
              <w:tab w:val="right" w:pos="9071" w:leader="dot"/>
            </w:tabs>
            <w:rPr/>
          </w:pPr>
          <w:hyperlink w:anchor="__RefHeading___Toc2148_516823210">
            <w:r>
              <w:rPr>
                <w:webHidden/>
                <w:rStyle w:val="IndexLink"/>
              </w:rPr>
              <w:t>4.4.1 ČEZ: odpovědnost na úrovni představenstva</w:t>
              <w:tab/>
              <w:t>44</w:t>
            </w:r>
          </w:hyperlink>
        </w:p>
        <w:p>
          <w:pPr>
            <w:pStyle w:val="TOC3"/>
            <w:tabs>
              <w:tab w:val="clear" w:pos="8505"/>
              <w:tab w:val="right" w:pos="9071" w:leader="dot"/>
            </w:tabs>
            <w:rPr/>
          </w:pPr>
          <w:hyperlink w:anchor="__RefHeading___Toc2150_516823210">
            <w:r>
              <w:rPr>
                <w:webHidden/>
                <w:rStyle w:val="IndexLink"/>
              </w:rPr>
              <w:t>4.4.2 MONETA: nejpodrobnější veřejný popis kontrolního mechanismu</w:t>
              <w:tab/>
              <w:t>44</w:t>
            </w:r>
          </w:hyperlink>
        </w:p>
        <w:p>
          <w:pPr>
            <w:pStyle w:val="TOC3"/>
            <w:tabs>
              <w:tab w:val="clear" w:pos="8505"/>
              <w:tab w:val="right" w:pos="9071" w:leader="dot"/>
            </w:tabs>
            <w:rPr/>
          </w:pPr>
          <w:hyperlink w:anchor="__RefHeading___Toc2152_516823210">
            <w:r>
              <w:rPr>
                <w:webHidden/>
                <w:rStyle w:val="IndexLink"/>
              </w:rPr>
              <w:t>4.4.3 O2: pravidelný dohled a přiznaná mezera</w:t>
              <w:tab/>
              <w:t>45</w:t>
            </w:r>
          </w:hyperlink>
        </w:p>
        <w:p>
          <w:pPr>
            <w:pStyle w:val="TOC3"/>
            <w:tabs>
              <w:tab w:val="clear" w:pos="8505"/>
              <w:tab w:val="right" w:pos="9071" w:leader="dot"/>
            </w:tabs>
            <w:rPr/>
          </w:pPr>
          <w:hyperlink w:anchor="__RefHeading___Toc2154_516823210">
            <w:r>
              <w:rPr>
                <w:webHidden/>
                <w:rStyle w:val="IndexLink"/>
              </w:rPr>
              <w:t>4.4.4 Škoda Auto: interní role, externí rada a odborový dialog</w:t>
              <w:tab/>
              <w:t>45</w:t>
            </w:r>
          </w:hyperlink>
        </w:p>
        <w:p>
          <w:pPr>
            <w:pStyle w:val="TOC3"/>
            <w:tabs>
              <w:tab w:val="clear" w:pos="8505"/>
              <w:tab w:val="right" w:pos="9071" w:leader="dot"/>
            </w:tabs>
            <w:rPr/>
          </w:pPr>
          <w:hyperlink w:anchor="__RefHeading___Toc2156_516823210">
            <w:r>
              <w:rPr>
                <w:webHidden/>
                <w:rStyle w:val="IndexLink"/>
              </w:rPr>
              <w:t>4.4.5 Od názvu výboru ke skutečné otázce</w:t>
              <w:tab/>
              <w:t>45</w:t>
            </w:r>
          </w:hyperlink>
        </w:p>
        <w:p>
          <w:pPr>
            <w:pStyle w:val="TOC2"/>
            <w:tabs>
              <w:tab w:val="clear" w:pos="8789"/>
              <w:tab w:val="right" w:pos="9071" w:leader="dot"/>
            </w:tabs>
            <w:rPr/>
          </w:pPr>
          <w:hyperlink w:anchor="__RefHeading___Toc2158_516823210">
            <w:r>
              <w:rPr>
                <w:webHidden/>
                <w:rStyle w:val="IndexLink"/>
              </w:rPr>
              <w:t>4.5 Téma 4: Přesná metrika nemusí dokazovat to, co jí čtenář připisuje</w:t>
              <w:tab/>
              <w:t>46</w:t>
            </w:r>
          </w:hyperlink>
        </w:p>
        <w:p>
          <w:pPr>
            <w:pStyle w:val="TOC3"/>
            <w:tabs>
              <w:tab w:val="clear" w:pos="8505"/>
              <w:tab w:val="right" w:pos="9071" w:leader="dot"/>
            </w:tabs>
            <w:rPr/>
          </w:pPr>
          <w:hyperlink w:anchor="__RefHeading___Toc2160_516823210">
            <w:r>
              <w:rPr>
                <w:webHidden/>
                <w:rStyle w:val="IndexLink"/>
              </w:rPr>
              <w:t>4.5.1 Dosah aktivity není změna stavu</w:t>
              <w:tab/>
              <w:t>46</w:t>
            </w:r>
          </w:hyperlink>
        </w:p>
        <w:p>
          <w:pPr>
            <w:pStyle w:val="TOC3"/>
            <w:tabs>
              <w:tab w:val="clear" w:pos="8505"/>
              <w:tab w:val="right" w:pos="9071" w:leader="dot"/>
            </w:tabs>
            <w:rPr/>
          </w:pPr>
          <w:hyperlink w:anchor="__RefHeading___Toc2162_516823210">
            <w:r>
              <w:rPr>
                <w:webHidden/>
                <w:rStyle w:val="IndexLink"/>
              </w:rPr>
              <w:t>4.5.2 Provozní outcome a problém intenzitních ukazatelů</w:t>
              <w:tab/>
              <w:t>46</w:t>
            </w:r>
          </w:hyperlink>
        </w:p>
        <w:p>
          <w:pPr>
            <w:pStyle w:val="TOC3"/>
            <w:tabs>
              <w:tab w:val="clear" w:pos="8505"/>
              <w:tab w:val="right" w:pos="9071" w:leader="dot"/>
            </w:tabs>
            <w:rPr/>
          </w:pPr>
          <w:hyperlink w:anchor="__RefHeading___Toc2164_516823210">
            <w:r>
              <w:rPr>
                <w:webHidden/>
                <w:rStyle w:val="IndexLink"/>
              </w:rPr>
              <w:t>4.5.3 Časová řada se mění spolu s hranicí</w:t>
              <w:tab/>
              <w:t>47</w:t>
            </w:r>
          </w:hyperlink>
        </w:p>
        <w:p>
          <w:pPr>
            <w:pStyle w:val="TOC3"/>
            <w:tabs>
              <w:tab w:val="clear" w:pos="8505"/>
              <w:tab w:val="right" w:pos="9071" w:leader="dot"/>
            </w:tabs>
            <w:rPr/>
          </w:pPr>
          <w:hyperlink w:anchor="__RefHeading___Toc2166_516823210">
            <w:r>
              <w:rPr>
                <w:webHidden/>
                <w:rStyle w:val="IndexLink"/>
              </w:rPr>
              <w:t>4.5.4 Assurance podporuje vymezené tvrzení, ne celý příběh</w:t>
              <w:tab/>
              <w:t>47</w:t>
            </w:r>
          </w:hyperlink>
        </w:p>
        <w:p>
          <w:pPr>
            <w:pStyle w:val="TOC3"/>
            <w:tabs>
              <w:tab w:val="clear" w:pos="8505"/>
              <w:tab w:val="right" w:pos="9071" w:leader="dot"/>
            </w:tabs>
            <w:rPr/>
          </w:pPr>
          <w:hyperlink w:anchor="__RefHeading___Toc2168_516823210">
            <w:r>
              <w:rPr>
                <w:webHidden/>
                <w:rStyle w:val="IndexLink"/>
              </w:rPr>
              <w:t>4.5.5 Kdy má metrika nejvyšší informační hodnotu</w:t>
              <w:tab/>
              <w:t>47</w:t>
            </w:r>
          </w:hyperlink>
        </w:p>
        <w:p>
          <w:pPr>
            <w:pStyle w:val="TOC2"/>
            <w:tabs>
              <w:tab w:val="clear" w:pos="8789"/>
              <w:tab w:val="right" w:pos="9071" w:leader="dot"/>
            </w:tabs>
            <w:rPr/>
          </w:pPr>
          <w:hyperlink w:anchor="__RefHeading___Toc2170_516823210">
            <w:r>
              <w:rPr>
                <w:webHidden/>
                <w:rStyle w:val="IndexLink"/>
              </w:rPr>
              <w:t>4.6 Téma 5: Přiznané napětí, revize a negativní informace zvyšují informační hodnotu reportu</w:t>
              <w:tab/>
              <w:t>48</w:t>
            </w:r>
          </w:hyperlink>
        </w:p>
        <w:p>
          <w:pPr>
            <w:pStyle w:val="TOC3"/>
            <w:tabs>
              <w:tab w:val="clear" w:pos="8505"/>
              <w:tab w:val="right" w:pos="9071" w:leader="dot"/>
            </w:tabs>
            <w:rPr/>
          </w:pPr>
          <w:hyperlink w:anchor="__RefHeading___Toc2172_516823210">
            <w:r>
              <w:rPr>
                <w:webHidden/>
                <w:rStyle w:val="IndexLink"/>
              </w:rPr>
              <w:t>4.6.1 ČEZ: přechodový plán vedle pokračujícího fosilního dopadu</w:t>
              <w:tab/>
              <w:t>48</w:t>
            </w:r>
          </w:hyperlink>
        </w:p>
        <w:p>
          <w:pPr>
            <w:pStyle w:val="TOC3"/>
            <w:tabs>
              <w:tab w:val="clear" w:pos="8505"/>
              <w:tab w:val="right" w:pos="9071" w:leader="dot"/>
            </w:tabs>
            <w:rPr/>
          </w:pPr>
          <w:hyperlink w:anchor="__RefHeading___Toc2174_516823210">
            <w:r>
              <w:rPr>
                <w:webHidden/>
                <w:rStyle w:val="IndexLink"/>
              </w:rPr>
              <w:t>4.6.2 MONETA: kritika regulace, zhoršený ukazatel a chybějící cíl</w:t>
              <w:tab/>
              <w:t>48</w:t>
            </w:r>
          </w:hyperlink>
        </w:p>
        <w:p>
          <w:pPr>
            <w:pStyle w:val="TOC3"/>
            <w:tabs>
              <w:tab w:val="clear" w:pos="8505"/>
              <w:tab w:val="right" w:pos="9071" w:leader="dot"/>
            </w:tabs>
            <w:rPr/>
          </w:pPr>
          <w:hyperlink w:anchor="__RefHeading___Toc2176_516823210">
            <w:r>
              <w:rPr>
                <w:webHidden/>
                <w:rStyle w:val="IndexLink"/>
              </w:rPr>
              <w:t>4.6.3 O2: přechod zachycený i s jeho nedokončenými částmi</w:t>
              <w:tab/>
              <w:t>49</w:t>
            </w:r>
          </w:hyperlink>
        </w:p>
        <w:p>
          <w:pPr>
            <w:pStyle w:val="TOC3"/>
            <w:tabs>
              <w:tab w:val="clear" w:pos="8505"/>
              <w:tab w:val="right" w:pos="9071" w:leader="dot"/>
            </w:tabs>
            <w:rPr/>
          </w:pPr>
          <w:hyperlink w:anchor="__RefHeading___Toc2178_516823210">
            <w:r>
              <w:rPr>
                <w:webHidden/>
                <w:rStyle w:val="IndexLink"/>
              </w:rPr>
              <w:t>4.6.4 Škoda Auto: hranice ukryté v klasifikaci a skupinové atribuci</w:t>
              <w:tab/>
              <w:t>49</w:t>
            </w:r>
          </w:hyperlink>
        </w:p>
        <w:p>
          <w:pPr>
            <w:pStyle w:val="TOC3"/>
            <w:tabs>
              <w:tab w:val="clear" w:pos="8505"/>
              <w:tab w:val="right" w:pos="9071" w:leader="dot"/>
            </w:tabs>
            <w:rPr/>
          </w:pPr>
          <w:hyperlink w:anchor="__RefHeading___Toc2180_516823210">
            <w:r>
              <w:rPr>
                <w:webHidden/>
                <w:rStyle w:val="IndexLink"/>
              </w:rPr>
              <w:t>4.6.5 Negativní údaj není automaticky negativním hodnocením</w:t>
              <w:tab/>
              <w:t>49</w:t>
            </w:r>
          </w:hyperlink>
        </w:p>
        <w:p>
          <w:pPr>
            <w:pStyle w:val="TOC2"/>
            <w:tabs>
              <w:tab w:val="clear" w:pos="8789"/>
              <w:tab w:val="right" w:pos="9071" w:leader="dot"/>
            </w:tabs>
            <w:rPr/>
          </w:pPr>
          <w:hyperlink w:anchor="__RefHeading___Toc2182_516823210">
            <w:r>
              <w:rPr>
                <w:webHidden/>
                <w:rStyle w:val="IndexLink"/>
              </w:rPr>
              <w:t>4.7 Mezipřípadová typologie zveřejněné implementace</w:t>
              <w:tab/>
              <w:t>50</w:t>
            </w:r>
          </w:hyperlink>
        </w:p>
        <w:p>
          <w:pPr>
            <w:pStyle w:val="TOC2"/>
            <w:tabs>
              <w:tab w:val="clear" w:pos="8789"/>
              <w:tab w:val="right" w:pos="9071" w:leader="dot"/>
            </w:tabs>
            <w:rPr/>
          </w:pPr>
          <w:hyperlink w:anchor="__RefHeading___Toc2184_516823210">
            <w:r>
              <w:rPr>
                <w:webHidden/>
                <w:rStyle w:val="IndexLink"/>
              </w:rPr>
              <w:t>4.8 Odpovědi na dílčí výzkumné otázky</w:t>
              <w:tab/>
              <w:t>50</w:t>
            </w:r>
          </w:hyperlink>
        </w:p>
        <w:p>
          <w:pPr>
            <w:pStyle w:val="TOC3"/>
            <w:tabs>
              <w:tab w:val="clear" w:pos="8505"/>
              <w:tab w:val="right" w:pos="9071" w:leader="dot"/>
            </w:tabs>
            <w:rPr/>
          </w:pPr>
          <w:hyperlink w:anchor="__RefHeading___Toc2186_516823210">
            <w:r>
              <w:rPr>
                <w:webHidden/>
                <w:rStyle w:val="IndexLink"/>
              </w:rPr>
              <w:t>4.8.1 Materialita a podnikatelský model</w:t>
              <w:tab/>
              <w:t>50</w:t>
            </w:r>
          </w:hyperlink>
        </w:p>
        <w:p>
          <w:pPr>
            <w:pStyle w:val="TOC3"/>
            <w:tabs>
              <w:tab w:val="clear" w:pos="8505"/>
              <w:tab w:val="right" w:pos="9071" w:leader="dot"/>
            </w:tabs>
            <w:rPr/>
          </w:pPr>
          <w:hyperlink w:anchor="__RefHeading___Toc2188_516823210">
            <w:r>
              <w:rPr>
                <w:webHidden/>
                <w:rStyle w:val="IndexLink"/>
              </w:rPr>
              <w:t>4.8.2 Odpovědnost a koordinace</w:t>
              <w:tab/>
              <w:t>50</w:t>
            </w:r>
          </w:hyperlink>
        </w:p>
        <w:p>
          <w:pPr>
            <w:pStyle w:val="TOC3"/>
            <w:tabs>
              <w:tab w:val="clear" w:pos="8505"/>
              <w:tab w:val="right" w:pos="9071" w:leader="dot"/>
            </w:tabs>
            <w:rPr/>
          </w:pPr>
          <w:hyperlink w:anchor="__RefHeading___Toc2190_516823210">
            <w:r>
              <w:rPr>
                <w:webHidden/>
                <w:rStyle w:val="IndexLink"/>
              </w:rPr>
              <w:t>4.8.3 Rozhodovací vazba</w:t>
              <w:tab/>
              <w:t>51</w:t>
            </w:r>
          </w:hyperlink>
        </w:p>
        <w:p>
          <w:pPr>
            <w:pStyle w:val="TOC3"/>
            <w:tabs>
              <w:tab w:val="clear" w:pos="8505"/>
              <w:tab w:val="right" w:pos="9071" w:leader="dot"/>
            </w:tabs>
            <w:rPr/>
          </w:pPr>
          <w:hyperlink w:anchor="__RefHeading___Toc2192_516823210">
            <w:r>
              <w:rPr>
                <w:webHidden/>
                <w:rStyle w:val="IndexLink"/>
              </w:rPr>
              <w:t>4.8.4 Evidenční síla cílů a metrik</w:t>
              <w:tab/>
              <w:t>51</w:t>
            </w:r>
          </w:hyperlink>
        </w:p>
        <w:p>
          <w:pPr>
            <w:pStyle w:val="TOC3"/>
            <w:tabs>
              <w:tab w:val="clear" w:pos="8505"/>
              <w:tab w:val="right" w:pos="9071" w:leader="dot"/>
            </w:tabs>
            <w:rPr/>
          </w:pPr>
          <w:hyperlink w:anchor="__RefHeading___Toc2194_516823210">
            <w:r>
              <w:rPr>
                <w:webHidden/>
                <w:rStyle w:val="IndexLink"/>
              </w:rPr>
              <w:t>4.8.5 Negativní informace a trade-offy</w:t>
              <w:tab/>
              <w:t>51</w:t>
            </w:r>
          </w:hyperlink>
        </w:p>
        <w:p>
          <w:pPr>
            <w:pStyle w:val="TOC3"/>
            <w:tabs>
              <w:tab w:val="clear" w:pos="8505"/>
              <w:tab w:val="right" w:pos="9071" w:leader="dot"/>
            </w:tabs>
            <w:rPr/>
          </w:pPr>
          <w:hyperlink w:anchor="__RefHeading___Toc2196_516823210">
            <w:r>
              <w:rPr>
                <w:webHidden/>
                <w:rStyle w:val="IndexLink"/>
              </w:rPr>
              <w:t>4.8.6 Sektorové rozdíly</w:t>
              <w:tab/>
              <w:t>51</w:t>
            </w:r>
          </w:hyperlink>
        </w:p>
        <w:p>
          <w:pPr>
            <w:pStyle w:val="TOC2"/>
            <w:tabs>
              <w:tab w:val="clear" w:pos="8789"/>
              <w:tab w:val="right" w:pos="9071" w:leader="dot"/>
            </w:tabs>
            <w:rPr/>
          </w:pPr>
          <w:hyperlink w:anchor="__RefHeading___Toc2198_516823210">
            <w:r>
              <w:rPr>
                <w:webHidden/>
                <w:rStyle w:val="IndexLink"/>
              </w:rPr>
              <w:t>4.9 Shrnutí výsledků</w:t>
              <w:tab/>
              <w:t>51</w:t>
            </w:r>
          </w:hyperlink>
        </w:p>
        <w:p>
          <w:pPr>
            <w:pStyle w:val="TOC1"/>
            <w:tabs>
              <w:tab w:val="clear" w:pos="9072"/>
              <w:tab w:val="right" w:pos="9071" w:leader="dot"/>
            </w:tabs>
            <w:rPr/>
          </w:pPr>
          <w:hyperlink w:anchor="__RefHeading___Toc2200_516823210">
            <w:r>
              <w:rPr>
                <w:webHidden/>
                <w:rStyle w:val="IndexLink"/>
              </w:rPr>
              <w:t>5 Diskuse</w:t>
              <w:tab/>
              <w:t>53</w:t>
            </w:r>
          </w:hyperlink>
        </w:p>
        <w:p>
          <w:pPr>
            <w:pStyle w:val="TOC2"/>
            <w:tabs>
              <w:tab w:val="clear" w:pos="8789"/>
              <w:tab w:val="right" w:pos="9071" w:leader="dot"/>
            </w:tabs>
            <w:rPr/>
          </w:pPr>
          <w:hyperlink w:anchor="__RefHeading___Toc2202_516823210">
            <w:r>
              <w:rPr>
                <w:webHidden/>
                <w:rStyle w:val="IndexLink"/>
              </w:rPr>
              <w:t>5.1 Odpověď na hlavní výzkumnou otázku</w:t>
              <w:tab/>
              <w:t>53</w:t>
            </w:r>
          </w:hyperlink>
        </w:p>
        <w:p>
          <w:pPr>
            <w:pStyle w:val="TOC2"/>
            <w:tabs>
              <w:tab w:val="clear" w:pos="8789"/>
              <w:tab w:val="right" w:pos="9071" w:leader="dot"/>
            </w:tabs>
            <w:rPr/>
          </w:pPr>
          <w:hyperlink w:anchor="__RefHeading___Toc2204_516823210">
            <w:r>
              <w:rPr>
                <w:webHidden/>
                <w:rStyle w:val="IndexLink"/>
              </w:rPr>
              <w:t>5.2 Institucionální izomorfismus: stejná forma, různé napojení na řízení</w:t>
              <w:tab/>
              <w:t>54</w:t>
            </w:r>
          </w:hyperlink>
        </w:p>
        <w:p>
          <w:pPr>
            <w:pStyle w:val="TOC2"/>
            <w:tabs>
              <w:tab w:val="clear" w:pos="8789"/>
              <w:tab w:val="right" w:pos="9071" w:leader="dot"/>
            </w:tabs>
            <w:rPr/>
          </w:pPr>
          <w:hyperlink w:anchor="__RefHeading___Toc2206_516823210">
            <w:r>
              <w:rPr>
                <w:webHidden/>
                <w:rStyle w:val="IndexLink"/>
              </w:rPr>
              <w:t>5.3 Materialita: od diagnostiky k alokaci</w:t>
              <w:tab/>
              <w:t>54</w:t>
            </w:r>
          </w:hyperlink>
        </w:p>
        <w:p>
          <w:pPr>
            <w:pStyle w:val="TOC2"/>
            <w:tabs>
              <w:tab w:val="clear" w:pos="8789"/>
              <w:tab w:val="right" w:pos="9071" w:leader="dot"/>
            </w:tabs>
            <w:rPr/>
          </w:pPr>
          <w:hyperlink w:anchor="__RefHeading___Toc2208_516823210">
            <w:r>
              <w:rPr>
                <w:webHidden/>
                <w:rStyle w:val="IndexLink"/>
              </w:rPr>
              <w:t>5.4 Governance: organigram ještě není schopnost zasáhnout</w:t>
              <w:tab/>
              <w:t>55</w:t>
            </w:r>
          </w:hyperlink>
        </w:p>
        <w:p>
          <w:pPr>
            <w:pStyle w:val="TOC2"/>
            <w:tabs>
              <w:tab w:val="clear" w:pos="8789"/>
              <w:tab w:val="right" w:pos="9071" w:leader="dot"/>
            </w:tabs>
            <w:rPr/>
          </w:pPr>
          <w:hyperlink w:anchor="__RefHeading___Toc2210_516823210">
            <w:r>
              <w:rPr>
                <w:webHidden/>
                <w:rStyle w:val="IndexLink"/>
              </w:rPr>
              <w:t>5.5 Legitimita a informační hodnota nepříznivých údajů</w:t>
              <w:tab/>
              <w:t>56</w:t>
            </w:r>
          </w:hyperlink>
        </w:p>
        <w:p>
          <w:pPr>
            <w:pStyle w:val="TOC2"/>
            <w:tabs>
              <w:tab w:val="clear" w:pos="8789"/>
              <w:tab w:val="right" w:pos="9071" w:leader="dot"/>
            </w:tabs>
            <w:rPr/>
          </w:pPr>
          <w:hyperlink w:anchor="__RefHeading___Toc2212_516823210">
            <w:r>
              <w:rPr>
                <w:webHidden/>
                <w:rStyle w:val="IndexLink"/>
              </w:rPr>
              <w:t>5.6 Aktivita, outcome a dopad</w:t>
              <w:tab/>
              <w:t>57</w:t>
            </w:r>
          </w:hyperlink>
        </w:p>
        <w:p>
          <w:pPr>
            <w:pStyle w:val="TOC2"/>
            <w:tabs>
              <w:tab w:val="clear" w:pos="8789"/>
              <w:tab w:val="right" w:pos="9071" w:leader="dot"/>
            </w:tabs>
            <w:rPr/>
          </w:pPr>
          <w:hyperlink w:anchor="__RefHeading___Toc2214_516823210">
            <w:r>
              <w:rPr>
                <w:webHidden/>
                <w:rStyle w:val="IndexLink"/>
              </w:rPr>
              <w:t>5.7 Externí ujištění bez halo efektu</w:t>
              <w:tab/>
              <w:t>57</w:t>
            </w:r>
          </w:hyperlink>
        </w:p>
        <w:p>
          <w:pPr>
            <w:pStyle w:val="TOC2"/>
            <w:tabs>
              <w:tab w:val="clear" w:pos="8789"/>
              <w:tab w:val="right" w:pos="9071" w:leader="dot"/>
            </w:tabs>
            <w:rPr/>
          </w:pPr>
          <w:hyperlink w:anchor="__RefHeading___Toc2216_516823210">
            <w:r>
              <w:rPr>
                <w:webHidden/>
                <w:rStyle w:val="IndexLink"/>
              </w:rPr>
              <w:t>5.8 Přínos a limity škály E0–E4</w:t>
              <w:tab/>
              <w:t>58</w:t>
            </w:r>
          </w:hyperlink>
        </w:p>
        <w:p>
          <w:pPr>
            <w:pStyle w:val="TOC2"/>
            <w:tabs>
              <w:tab w:val="clear" w:pos="8789"/>
              <w:tab w:val="right" w:pos="9071" w:leader="dot"/>
            </w:tabs>
            <w:rPr/>
          </w:pPr>
          <w:hyperlink w:anchor="__RefHeading___Toc2218_516823210">
            <w:r>
              <w:rPr>
                <w:webHidden/>
                <w:rStyle w:val="IndexLink"/>
              </w:rPr>
              <w:t>5.9 Sektorová materialita a nemožnost neutrálního jednotného skóre</w:t>
              <w:tab/>
              <w:t>58</w:t>
            </w:r>
          </w:hyperlink>
        </w:p>
        <w:p>
          <w:pPr>
            <w:pStyle w:val="TOC2"/>
            <w:tabs>
              <w:tab w:val="clear" w:pos="8789"/>
              <w:tab w:val="right" w:pos="9071" w:leader="dot"/>
            </w:tabs>
            <w:rPr/>
          </w:pPr>
          <w:hyperlink w:anchor="__RefHeading___Toc2220_516823210">
            <w:r>
              <w:rPr>
                <w:webHidden/>
                <w:rStyle w:val="IndexLink"/>
              </w:rPr>
              <w:t>5.10 Praktická doporučení pro podniky</w:t>
              <w:tab/>
              <w:t>59</w:t>
            </w:r>
          </w:hyperlink>
        </w:p>
        <w:p>
          <w:pPr>
            <w:pStyle w:val="TOC3"/>
            <w:tabs>
              <w:tab w:val="clear" w:pos="8505"/>
              <w:tab w:val="right" w:pos="9071" w:leader="dot"/>
            </w:tabs>
            <w:rPr/>
          </w:pPr>
          <w:hyperlink w:anchor="__RefHeading___Toc2222_516823210">
            <w:r>
              <w:rPr>
                <w:webHidden/>
                <w:rStyle w:val="IndexLink"/>
              </w:rPr>
              <w:t>5.10.1 Ukázat rozhodovací mechanismus</w:t>
              <w:tab/>
              <w:t>59</w:t>
            </w:r>
          </w:hyperlink>
        </w:p>
        <w:p>
          <w:pPr>
            <w:pStyle w:val="TOC3"/>
            <w:tabs>
              <w:tab w:val="clear" w:pos="8505"/>
              <w:tab w:val="right" w:pos="9071" w:leader="dot"/>
            </w:tabs>
            <w:rPr/>
          </w:pPr>
          <w:hyperlink w:anchor="__RefHeading___Toc2224_516823210">
            <w:r>
              <w:rPr>
                <w:webHidden/>
                <w:rStyle w:val="IndexLink"/>
              </w:rPr>
              <w:t>5.10.2 Oddělit aktivitu, outcome a dopad</w:t>
              <w:tab/>
              <w:t>59</w:t>
            </w:r>
          </w:hyperlink>
        </w:p>
        <w:p>
          <w:pPr>
            <w:pStyle w:val="TOC3"/>
            <w:tabs>
              <w:tab w:val="clear" w:pos="8505"/>
              <w:tab w:val="right" w:pos="9071" w:leader="dot"/>
            </w:tabs>
            <w:rPr/>
          </w:pPr>
          <w:hyperlink w:anchor="__RefHeading___Toc2226_516823210">
            <w:r>
              <w:rPr>
                <w:webHidden/>
                <w:rStyle w:val="IndexLink"/>
              </w:rPr>
              <w:t>5.10.3 Vysvětlit hranice a změny metodiky</w:t>
              <w:tab/>
              <w:t>59</w:t>
            </w:r>
          </w:hyperlink>
        </w:p>
        <w:p>
          <w:pPr>
            <w:pStyle w:val="TOC3"/>
            <w:tabs>
              <w:tab w:val="clear" w:pos="8505"/>
              <w:tab w:val="right" w:pos="9071" w:leader="dot"/>
            </w:tabs>
            <w:rPr/>
          </w:pPr>
          <w:hyperlink w:anchor="__RefHeading___Toc2228_516823210">
            <w:r>
              <w:rPr>
                <w:webHidden/>
                <w:rStyle w:val="IndexLink"/>
              </w:rPr>
              <w:t>5.10.4 Popsat postup při neplnění</w:t>
              <w:tab/>
              <w:t>59</w:t>
            </w:r>
          </w:hyperlink>
        </w:p>
        <w:p>
          <w:pPr>
            <w:pStyle w:val="TOC3"/>
            <w:tabs>
              <w:tab w:val="clear" w:pos="8505"/>
              <w:tab w:val="right" w:pos="9071" w:leader="dot"/>
            </w:tabs>
            <w:rPr/>
          </w:pPr>
          <w:hyperlink w:anchor="__RefHeading___Toc2230_516823210">
            <w:r>
              <w:rPr>
                <w:webHidden/>
                <w:rStyle w:val="IndexLink"/>
              </w:rPr>
              <w:t>5.10.5 Nezakrývat neúspěch</w:t>
              <w:tab/>
              <w:t>59</w:t>
            </w:r>
          </w:hyperlink>
        </w:p>
        <w:p>
          <w:pPr>
            <w:pStyle w:val="TOC3"/>
            <w:tabs>
              <w:tab w:val="clear" w:pos="8505"/>
              <w:tab w:val="right" w:pos="9071" w:leader="dot"/>
            </w:tabs>
            <w:rPr/>
          </w:pPr>
          <w:hyperlink w:anchor="__RefHeading___Toc2232_516823210">
            <w:r>
              <w:rPr>
                <w:webHidden/>
                <w:rStyle w:val="IndexLink"/>
              </w:rPr>
              <w:t>5.10.6 Vymezit rozsah assurance</w:t>
              <w:tab/>
              <w:t>60</w:t>
            </w:r>
          </w:hyperlink>
        </w:p>
        <w:p>
          <w:pPr>
            <w:pStyle w:val="TOC2"/>
            <w:tabs>
              <w:tab w:val="clear" w:pos="8789"/>
              <w:tab w:val="right" w:pos="9071" w:leader="dot"/>
            </w:tabs>
            <w:rPr/>
          </w:pPr>
          <w:hyperlink w:anchor="__RefHeading___Toc2234_516823210">
            <w:r>
              <w:rPr>
                <w:webHidden/>
                <w:rStyle w:val="IndexLink"/>
              </w:rPr>
              <w:t>5.11 Doporučení pro čtenáře, investory a hodnotitele</w:t>
              <w:tab/>
              <w:t>60</w:t>
            </w:r>
          </w:hyperlink>
        </w:p>
        <w:p>
          <w:pPr>
            <w:pStyle w:val="TOC2"/>
            <w:tabs>
              <w:tab w:val="clear" w:pos="8789"/>
              <w:tab w:val="right" w:pos="9071" w:leader="dot"/>
            </w:tabs>
            <w:rPr/>
          </w:pPr>
          <w:hyperlink w:anchor="__RefHeading___Toc2236_516823210">
            <w:r>
              <w:rPr>
                <w:webHidden/>
                <w:rStyle w:val="IndexLink"/>
              </w:rPr>
              <w:t>5.12 Doporučení pro další výzkum</w:t>
              <w:tab/>
              <w:t>60</w:t>
            </w:r>
          </w:hyperlink>
        </w:p>
        <w:p>
          <w:pPr>
            <w:pStyle w:val="TOC2"/>
            <w:tabs>
              <w:tab w:val="clear" w:pos="8789"/>
              <w:tab w:val="right" w:pos="9071" w:leader="dot"/>
            </w:tabs>
            <w:rPr/>
          </w:pPr>
          <w:hyperlink w:anchor="__RefHeading___Toc2238_516823210">
            <w:r>
              <w:rPr>
                <w:webHidden/>
                <w:rStyle w:val="IndexLink"/>
              </w:rPr>
              <w:t>5.13 Limity interpretace výsledků</w:t>
              <w:tab/>
              <w:t>61</w:t>
            </w:r>
          </w:hyperlink>
        </w:p>
        <w:p>
          <w:pPr>
            <w:pStyle w:val="TOC2"/>
            <w:tabs>
              <w:tab w:val="clear" w:pos="8789"/>
              <w:tab w:val="right" w:pos="9071" w:leader="dot"/>
            </w:tabs>
            <w:rPr/>
          </w:pPr>
          <w:hyperlink w:anchor="__RefHeading___Toc2240_516823210">
            <w:r>
              <w:rPr>
                <w:webHidden/>
                <w:rStyle w:val="IndexLink"/>
              </w:rPr>
              <w:t>5.14 Shrnutí diskuse</w:t>
              <w:tab/>
              <w:t>61</w:t>
            </w:r>
          </w:hyperlink>
        </w:p>
        <w:p>
          <w:pPr>
            <w:pStyle w:val="TOC1"/>
            <w:tabs>
              <w:tab w:val="clear" w:pos="9072"/>
              <w:tab w:val="right" w:pos="9071" w:leader="dot"/>
            </w:tabs>
            <w:rPr/>
          </w:pPr>
          <w:hyperlink w:anchor="__RefHeading___Toc2242_516823210">
            <w:r>
              <w:rPr>
                <w:webHidden/>
                <w:rStyle w:val="IndexLink"/>
              </w:rPr>
              <w:t>Závěr</w:t>
              <w:tab/>
              <w:t>62</w:t>
            </w:r>
          </w:hyperlink>
        </w:p>
        <w:p>
          <w:pPr>
            <w:pStyle w:val="TOC1"/>
            <w:tabs>
              <w:tab w:val="clear" w:pos="9072"/>
              <w:tab w:val="right" w:pos="9071" w:leader="dot"/>
            </w:tabs>
            <w:rPr/>
          </w:pPr>
          <w:hyperlink w:anchor="__RefHeading___Toc2244_516823210">
            <w:r>
              <w:rPr>
                <w:webHidden/>
                <w:rStyle w:val="IndexLink"/>
              </w:rPr>
              <w:t>Seznam použitých zdrojů</w:t>
              <w:tab/>
              <w:t>65</w:t>
            </w:r>
          </w:hyperlink>
        </w:p>
        <w:p>
          <w:pPr>
            <w:pStyle w:val="TOC2"/>
            <w:tabs>
              <w:tab w:val="clear" w:pos="8789"/>
              <w:tab w:val="right" w:pos="9071" w:leader="dot"/>
            </w:tabs>
            <w:rPr/>
          </w:pPr>
          <w:hyperlink w:anchor="__RefHeading___Toc2246_516823210">
            <w:r>
              <w:rPr>
                <w:webHidden/>
                <w:rStyle w:val="IndexLink"/>
              </w:rPr>
              <w:t>Akademická literatura</w:t>
              <w:tab/>
              <w:t>65</w:t>
            </w:r>
          </w:hyperlink>
        </w:p>
        <w:p>
          <w:pPr>
            <w:pStyle w:val="TOC2"/>
            <w:tabs>
              <w:tab w:val="clear" w:pos="8789"/>
              <w:tab w:val="right" w:pos="9071" w:leader="dot"/>
            </w:tabs>
            <w:rPr/>
          </w:pPr>
          <w:hyperlink w:anchor="__RefHeading___Toc2248_516823210">
            <w:r>
              <w:rPr>
                <w:webHidden/>
                <w:rStyle w:val="IndexLink"/>
              </w:rPr>
              <w:t>Právní a regulatorní prameny</w:t>
              <w:tab/>
              <w:t>66</w:t>
            </w:r>
          </w:hyperlink>
        </w:p>
        <w:p>
          <w:pPr>
            <w:pStyle w:val="TOC2"/>
            <w:tabs>
              <w:tab w:val="clear" w:pos="8789"/>
              <w:tab w:val="right" w:pos="9071" w:leader="dot"/>
            </w:tabs>
            <w:rPr/>
          </w:pPr>
          <w:hyperlink w:anchor="__RefHeading___Toc2250_516823210">
            <w:r>
              <w:rPr>
                <w:webHidden/>
                <w:rStyle w:val="IndexLink"/>
              </w:rPr>
              <w:t>Analyzované firemní dokumenty</w:t>
              <w:tab/>
              <w:t>66</w:t>
            </w:r>
          </w:hyperlink>
          <w:r>
            <w:rPr>
              <w:rStyle w:val="IndexLink"/>
            </w:rPr>
            <w:fldChar w:fldCharType="end"/>
          </w:r>
        </w:p>
      </w:sdtContent>
    </w:sdt>
    <w:p>
      <w:pPr>
        <w:pStyle w:val="Normal"/>
        <w:widowControl/>
        <w:bidi w:val="0"/>
        <w:spacing w:lineRule="auto" w:line="360" w:before="0" w:after="0"/>
        <w:ind w:firstLine="709"/>
        <w:jc w:val="both"/>
        <w:rPr>
          <w:rFonts w:ascii="Times New Roman" w:hAnsi="Times New Roman" w:eastAsia="Times New Roman"/>
          <w:sz w:val="24"/>
        </w:rPr>
      </w:pPr>
      <w:r>
        <w:rPr>
          <w:rFonts w:eastAsia="Times New Roman"/>
          <w:sz w:val="24"/>
        </w:rPr>
      </w:r>
      <w:r>
        <w:br w:type="page"/>
      </w:r>
    </w:p>
    <w:p>
      <w:pPr>
        <w:pStyle w:val="Heading1"/>
        <w:keepNext w:val="true"/>
        <w:widowControl/>
        <w:spacing w:before="0" w:after="180"/>
        <w:ind w:hanging="0"/>
        <w:rPr/>
      </w:pPr>
      <w:bookmarkStart w:id="0" w:name="__RefHeading___Toc2004_516823210"/>
      <w:bookmarkEnd w:id="0"/>
      <w:r>
        <w:rPr/>
        <w:t>Úvod</w:t>
      </w:r>
    </w:p>
    <w:p>
      <w:pPr>
        <w:pStyle w:val="Normal"/>
        <w:widowControl/>
        <w:spacing w:lineRule="auto" w:line="360"/>
        <w:ind w:firstLine="709"/>
        <w:jc w:val="both"/>
        <w:rPr/>
      </w:pPr>
      <w:r>
        <w:rPr/>
        <w:t>Environmentální, sociální a správní témata dnes patří do výročních zpráv, strategií i prezentací velkých podniků téměř stejně samozřejmě jako finanční výsledky nebo investiční plán. Pod společnou zkratkou ESG se však skrývají velmi různé situace. Někde jde o nové pojmenování dlouhodobých provozních opatření, jinde hlavně o systém sběru dat pro povinné zveřejnění. V dalších případech už environmentální nebo sociální informace vstupují do řízení rizik, výběru dodavatelů, odměňování nebo kapitálových rozhodnutí. Samotná přítomnost strategie, výboru a několika desítek ukazatelů proto ještě neodpovídá na otázku, jak hluboko je téma v organizaci skutečně zakotveno.</w:t>
      </w:r>
    </w:p>
    <w:p>
      <w:pPr>
        <w:pStyle w:val="Normal"/>
        <w:widowControl/>
        <w:spacing w:lineRule="auto" w:line="360"/>
        <w:ind w:firstLine="709"/>
        <w:jc w:val="both"/>
        <w:rPr/>
      </w:pPr>
      <w:r>
        <w:rPr/>
        <w:t>Tento rozdíl je zvlášť důležitý v období nástupu směrnice o podávání zpráv podniků o udržitelnosti (Corporate Sustainability Reporting Directive, CSRD) a evropských standardů pro podávání zpráv o udržitelnosti (European Sustainability Reporting Standards, ESRS). Nový rámec požaduje podstatně podrobnější informace o správě, strategii, dopadech, rizicích a příležitostech, politikách, opatřeních, cílech a metrikách. Pro čtenáře je to nesporná výhoda: dokumenty mají srovnatelnější strukturu a některé dříve skryté procesy jsou najednou viditelné. Zároveň však vzniká riziko, že podobně uspořádané reporty začnou působit jako důkaz podobně fungujících podniků.</w:t>
      </w:r>
    </w:p>
    <w:p>
      <w:pPr>
        <w:pStyle w:val="Normal"/>
        <w:widowControl/>
        <w:spacing w:lineRule="auto" w:line="360"/>
        <w:ind w:firstLine="709"/>
        <w:jc w:val="both"/>
        <w:rPr/>
      </w:pPr>
      <w:r>
        <w:rPr/>
        <w:t xml:space="preserve">Právě tady se otevírá výzkumný problém práce. </w:t>
      </w:r>
      <w:r>
        <w:rPr>
          <w:b/>
        </w:rPr>
        <w:t>Co veřejný ESG report skutečně dokazuje?</w:t>
      </w:r>
      <w:r>
        <w:rPr/>
        <w:t xml:space="preserve"> Rozsáhlý dokument může obsahovat stovky datových bodů, aniž ukáže, zda některý z nich změnil investiční rozhodnutí. Cíl může mít atraktivní formulaci, ale chybí mu výchozí hodnota, vlastník nebo postup při neplnění. Naopak jediná stručná informace může mít vysokou evidenční hodnotu, pokud propojí materiální téma, odpovědnost, zdroje a konkrétní rozhodovací pravidlo. Objem zveřejnění a síla důkazu nejsou totéž.</w:t>
      </w:r>
    </w:p>
    <w:p>
      <w:pPr>
        <w:pStyle w:val="Normal"/>
        <w:widowControl/>
        <w:spacing w:lineRule="auto" w:line="360"/>
        <w:ind w:firstLine="709"/>
        <w:jc w:val="both"/>
        <w:rPr/>
      </w:pPr>
      <w:r>
        <w:rPr/>
        <w:t>Firemní report má navíc dvojí povahu. Je zdrojem informací o oficiálně přijatých procesech, cílech a výsledcích, současně však vzniká jako promyšlená veřejná komunikace. Podnik vybírá, co zveřejní, jak vymezí hranice a jak jednotlivé údaje zasadí do příběhu o své strategii. To neznamená, že je každé pozitivní tvrzení marketing nebo že dokument nelze použít jako empirický zdroj. Znamená to pouze, že musí být čten s vědomím svého účelu. Dokumentová analýza nemůže nahradit audit provozu, rozhovor se zaměstnanci ani měření skutečných dopadů. Může ale poměrně přesně ukázat, jaký mechanismus podnik zveřejňuje, jak jej dokládá a kde už možnosti externího čtenáře končí.</w:t>
      </w:r>
    </w:p>
    <w:p>
      <w:pPr>
        <w:pStyle w:val="Heading2"/>
        <w:keepNext w:val="true"/>
        <w:widowControl/>
        <w:ind w:hanging="0"/>
        <w:rPr/>
      </w:pPr>
      <w:bookmarkStart w:id="1" w:name="__RefHeading___Toc2006_516823210"/>
      <w:bookmarkEnd w:id="1"/>
      <w:r>
        <w:rPr/>
        <w:t>Cíl práce</w:t>
      </w:r>
    </w:p>
    <w:p>
      <w:pPr>
        <w:pStyle w:val="Normal"/>
        <w:widowControl/>
        <w:spacing w:lineRule="auto" w:line="360"/>
        <w:ind w:firstLine="709"/>
        <w:jc w:val="both"/>
        <w:rPr/>
      </w:pPr>
      <w:r>
        <w:rPr/>
        <w:t xml:space="preserve">Cílem práce je pomocí kvalitativní obsahové analýzy veřejných firemních dokumentů zjistit, </w:t>
      </w:r>
      <w:r>
        <w:rPr>
          <w:b/>
        </w:rPr>
        <w:t>jak vybrané velké podniky působící v České republice ve zprávách za rok 2024 dokládají implementaci ESG, jak propojují cíle s odpovědností, metrikami a rozhodováním a jaké rozdíly se objevují mezi sektory a institucionálními kontexty</w:t>
      </w:r>
      <w:r>
        <w:rPr/>
        <w:t>.</w:t>
      </w:r>
    </w:p>
    <w:p>
      <w:pPr>
        <w:pStyle w:val="Normal"/>
        <w:widowControl/>
        <w:spacing w:lineRule="auto" w:line="360"/>
        <w:ind w:firstLine="709"/>
        <w:jc w:val="both"/>
        <w:rPr/>
      </w:pPr>
      <w:r>
        <w:rPr/>
        <w:t>Práce tedy nevytváří žebříček „nejvíce udržitelných“ firem. Takové srovnání by bylo zavádějící už kvůli rozdílným podnikatelským modelům. Přímé emise energetické skupiny, financované emise banky, spotřeba digitální infrastruktury a životní cyklus automobilu nejsou čtyři podoby jedné snadno zaměnitelné veličiny. Smyslem srovnání je něco jiného: zachytit, jak veřejné dokumenty ukazují přechod od obecné deklarace k formalizovanému řízení a odtud k vazbě na rozhodování.</w:t>
      </w:r>
    </w:p>
    <w:p>
      <w:pPr>
        <w:pStyle w:val="Heading2"/>
        <w:keepNext w:val="true"/>
        <w:widowControl/>
        <w:ind w:hanging="0"/>
        <w:rPr/>
      </w:pPr>
      <w:bookmarkStart w:id="2" w:name="__RefHeading___Toc2008_516823210"/>
      <w:bookmarkEnd w:id="2"/>
      <w:r>
        <w:rPr/>
        <w:t>Výzkumné otázky</w:t>
      </w:r>
    </w:p>
    <w:p>
      <w:pPr>
        <w:pStyle w:val="Normal"/>
        <w:widowControl/>
        <w:spacing w:lineRule="auto" w:line="360"/>
        <w:ind w:firstLine="709"/>
        <w:jc w:val="both"/>
        <w:rPr/>
      </w:pPr>
      <w:r>
        <w:rPr/>
        <w:t>Hlavní výzkumná otázka zní:</w:t>
      </w:r>
    </w:p>
    <w:p>
      <w:pPr>
        <w:pStyle w:val="BlockQuote"/>
        <w:rPr/>
      </w:pPr>
      <w:r>
        <w:rPr>
          <w:b/>
        </w:rPr>
        <w:t>Jak vybrané velké podniky působící v České republice ve veřejných zprávách za rok 2024 konstruují a dokládají implementaci ESG a které znaky odlišují deklaraci, formalizaci a manažerskou integraci?</w:t>
      </w:r>
    </w:p>
    <w:p>
      <w:pPr>
        <w:pStyle w:val="Normal"/>
        <w:widowControl/>
        <w:spacing w:lineRule="auto" w:line="360"/>
        <w:ind w:firstLine="709"/>
        <w:jc w:val="both"/>
        <w:rPr/>
      </w:pPr>
      <w:r>
        <w:rPr/>
        <w:t>Hlavní otázku rozvíjí šest dílčích výzkumných otázek:</w:t>
      </w:r>
    </w:p>
    <w:p>
      <w:pPr>
        <w:pStyle w:val="Normal"/>
        <w:widowControl/>
        <w:spacing w:lineRule="auto" w:line="360" w:before="0" w:after="0"/>
        <w:ind w:hanging="255" w:start="425"/>
        <w:jc w:val="both"/>
        <w:rPr/>
      </w:pPr>
      <w:r>
        <w:rPr/>
        <w:t>1. Jak podniky vymezují materiální ESG témata a jak vysvětlují jejich vazbu na strategii a podnikatelský model?</w:t>
      </w:r>
    </w:p>
    <w:p>
      <w:pPr>
        <w:pStyle w:val="Normal"/>
        <w:widowControl/>
        <w:spacing w:lineRule="auto" w:line="360" w:before="0" w:after="0"/>
        <w:ind w:hanging="255" w:start="425"/>
        <w:jc w:val="both"/>
        <w:rPr/>
      </w:pPr>
      <w:r>
        <w:rPr/>
        <w:t>2. Jaké struktury odpovědnosti, dohledu a interní koordinace v reportech uvádějí?</w:t>
      </w:r>
    </w:p>
    <w:p>
      <w:pPr>
        <w:pStyle w:val="Normal"/>
        <w:widowControl/>
        <w:spacing w:lineRule="auto" w:line="360" w:before="0" w:after="0"/>
        <w:ind w:hanging="255" w:start="425"/>
        <w:jc w:val="both"/>
        <w:rPr/>
      </w:pPr>
      <w:r>
        <w:rPr/>
        <w:t>3. Kde je doložena vazba ESG na investice, řízení rizik, odměňování, produkty, nákup nebo provozní rozhodování?</w:t>
      </w:r>
    </w:p>
    <w:p>
      <w:pPr>
        <w:pStyle w:val="Normal"/>
        <w:widowControl/>
        <w:spacing w:lineRule="auto" w:line="360" w:before="0" w:after="0"/>
        <w:ind w:hanging="255" w:start="425"/>
        <w:jc w:val="both"/>
        <w:rPr/>
      </w:pPr>
      <w:r>
        <w:rPr/>
        <w:t>4. Jakou evidenční sílu mají zveřejněné cíle a ukazatele: rozlišují vstupy, aktivity, výstupy, výsledky a dopady?</w:t>
      </w:r>
    </w:p>
    <w:p>
      <w:pPr>
        <w:pStyle w:val="Normal"/>
        <w:widowControl/>
        <w:spacing w:lineRule="auto" w:line="360" w:before="0" w:after="0"/>
        <w:ind w:hanging="255" w:start="425"/>
        <w:jc w:val="both"/>
        <w:rPr/>
      </w:pPr>
      <w:r>
        <w:rPr/>
        <w:t>5. Jak podniky komunikují nesplněné cíle, trade-offy, nejistoty a negativní dopady?</w:t>
      </w:r>
    </w:p>
    <w:p>
      <w:pPr>
        <w:pStyle w:val="Normal"/>
        <w:widowControl/>
        <w:spacing w:lineRule="auto" w:line="360" w:before="0" w:after="0"/>
        <w:ind w:hanging="255" w:start="425"/>
        <w:jc w:val="both"/>
        <w:rPr/>
      </w:pPr>
      <w:r>
        <w:rPr/>
        <w:t>6. Jak se způsoby dokládání implementace liší mezi energetikou, bankovnictvím, telekomunikacemi a automobilovým průmyslem?</w:t>
      </w:r>
    </w:p>
    <w:p>
      <w:pPr>
        <w:pStyle w:val="Normal"/>
        <w:widowControl/>
        <w:spacing w:lineRule="auto" w:line="360"/>
        <w:ind w:firstLine="709"/>
        <w:jc w:val="both"/>
        <w:rPr/>
      </w:pPr>
      <w:r>
        <w:rPr/>
        <w:t>Otázky jsou formulovány tak, aby zůstaly uvnitř možností dokumentového designu. Netýkají se skutečného stavu každého provozu ani morálního hodnocení organizací. Sledují to, co lze doložit z veřejných zdrojů, a stejně důsledně i to, co z nich doložit nelze.</w:t>
      </w:r>
    </w:p>
    <w:p>
      <w:pPr>
        <w:pStyle w:val="Heading2"/>
        <w:keepNext w:val="true"/>
        <w:widowControl/>
        <w:ind w:hanging="0"/>
        <w:rPr/>
      </w:pPr>
      <w:bookmarkStart w:id="3" w:name="__RefHeading___Toc2010_516823210"/>
      <w:bookmarkEnd w:id="3"/>
      <w:r>
        <w:rPr/>
        <w:t>Výběr případů a období</w:t>
      </w:r>
    </w:p>
    <w:p>
      <w:pPr>
        <w:pStyle w:val="Normal"/>
        <w:widowControl/>
        <w:spacing w:lineRule="auto" w:line="360"/>
        <w:ind w:firstLine="709"/>
        <w:jc w:val="both"/>
        <w:rPr/>
      </w:pPr>
      <w:r>
        <w:rPr/>
        <w:t>Empirický korpus tvoří oficiální zprávy za rok 2024 čtyř velkých podniků nebo skupin s významnou činností v České republice: ČEZ Group, MONETA Money Bank, O2 Czech Republic a Škoda Auto. Případy byly vybrány účelově. Nejde o reprezentativní vzorek české ekonomiky, ale o soubor kontrastů, na němž lze sledovat různé cesty propojení ESG s řízením.</w:t>
      </w:r>
    </w:p>
    <w:p>
      <w:pPr>
        <w:pStyle w:val="Normal"/>
        <w:widowControl/>
        <w:spacing w:lineRule="auto" w:line="360"/>
        <w:ind w:firstLine="709"/>
        <w:jc w:val="both"/>
        <w:rPr/>
      </w:pPr>
      <w:r>
        <w:rPr/>
        <w:t>ČEZ představuje kapitálově náročnou energetiku. Udržitelnost se zde neoddělitelně spojuje s výrobním portfoliem, dlouhodobými investicemi, bezpečností dodávek a sociálními důsledky útlumu uhlí. U MONETA je potřeba rozlišit relativně omezené provozní emise banky od dopadů financovaného portfolia; nejzajímavější vazby proto vedou přes risk management, úvěrování a pobídky. O2 umožňuje sledovat energetickou náročnost digitální infrastruktury, kyberbezpečnost, dostupnost služeb, digitální kompetence i vztah k dodavatelům elektroniky. Škoda Auto přináší průmyslovou perspektivu, v níž se environmentální a sociální témata promítají do produktu, výroby, kapitálových výdajů a globálního dodavatelského řetězce.</w:t>
      </w:r>
    </w:p>
    <w:p>
      <w:pPr>
        <w:pStyle w:val="Normal"/>
        <w:widowControl/>
        <w:spacing w:lineRule="auto" w:line="360"/>
        <w:ind w:firstLine="709"/>
        <w:jc w:val="both"/>
        <w:rPr/>
      </w:pPr>
      <w:r>
        <w:rPr/>
        <w:t>Společným časovým řezem je rok 2024. U části podniků šlo o první rozsáhlejší zveřejnění podle CSRD a ESRS, zatímco jiné dokumenty ještě kombinovaly GRI, vlastní skupinové standardy a přípravu na nový režim. Právě tento přechod je analyticky zajímavý. Umožňuje sledovat nejen obsah jednotlivých témat, ale i proměnu samotné reportovací infrastruktury. Pozdější změny evropské legislativy jsou v práci uvedeny jako kontext, nikoli jako důvod zpětně přepisovat význam dokumentů vytvořených za rok 2024.</w:t>
      </w:r>
    </w:p>
    <w:p>
      <w:pPr>
        <w:pStyle w:val="Heading2"/>
        <w:keepNext w:val="true"/>
        <w:widowControl/>
        <w:ind w:hanging="0"/>
        <w:rPr/>
      </w:pPr>
      <w:bookmarkStart w:id="4" w:name="__RefHeading___Toc2012_516823210"/>
      <w:bookmarkEnd w:id="4"/>
      <w:r>
        <w:rPr/>
        <w:t>Teoretické a metodické vymezení</w:t>
      </w:r>
    </w:p>
    <w:p>
      <w:pPr>
        <w:pStyle w:val="Normal"/>
        <w:widowControl/>
        <w:spacing w:lineRule="auto" w:line="360"/>
        <w:ind w:firstLine="709"/>
        <w:jc w:val="both"/>
        <w:rPr/>
      </w:pPr>
      <w:r>
        <w:rPr/>
        <w:t>Teoretická část propojuje několik perspektiv, z nichž každá vysvětluje jiný kus problému. Stakeholderový pohled pomáhá sledovat, kdo na podnik působí a jakou má možnost dostat svůj požadavek do rozhodování. Institucionální teorie objasňuje, proč se organizace pod společným tlakem regulace, profesních norem a napodobování začínají podobat (DiMaggio &amp; Powell, 1983). Teorie legitimity připomíná, že zveřejnění není jen přenos dat, ale také způsob, jak organizace vysvětluje a obhajuje své jednání (Suchman, 1995). Literatura o materialitě, reportingu a organizačních procesech pak pomáhá odlišit dobře popsané téma od tématu, které skutečně získalo odpovědnost a rozhodovací důsledek (Eccles et al., 2014; Christensen et al., 2021).</w:t>
      </w:r>
    </w:p>
    <w:p>
      <w:pPr>
        <w:pStyle w:val="Normal"/>
        <w:widowControl/>
        <w:spacing w:lineRule="auto" w:line="360"/>
        <w:ind w:firstLine="709"/>
        <w:jc w:val="both"/>
        <w:rPr/>
      </w:pPr>
      <w:r>
        <w:rPr/>
        <w:t>Empirická část používá dokumentovou analýzu (Bowen, 2009) a řízenou kvalitativní obsahovou analýzu (Hsieh &amp; Shannon, 2005). Počáteční kódovací rámec vychází z teorie, ale během pilotu byl upraven podle toho, co se v dokumentech skutečně objevovalo. Jednotkou kódování je významově ucelený segment: tvrzení o cíli, odpovědnosti, procesu, rozhodnutí, metrice, výsledku, negativním dopadu nebo ověření. Každý klíčový segment má přesný lokátor a je u něj odlišeno, zda jde o firemní tvrzení, metriku, externí ujištění, analytickou interpretaci nebo výslovně uvedenou hranici.</w:t>
      </w:r>
    </w:p>
    <w:p>
      <w:pPr>
        <w:pStyle w:val="Normal"/>
        <w:widowControl/>
        <w:spacing w:lineRule="auto" w:line="360"/>
        <w:ind w:firstLine="709"/>
        <w:jc w:val="both"/>
        <w:rPr/>
      </w:pPr>
      <w:r>
        <w:rPr/>
        <w:t>Pro srovnání různých typů důkazů byla vytvořena škála E0–E4:</w:t>
      </w:r>
    </w:p>
    <w:p>
      <w:pPr>
        <w:pStyle w:val="ListBullet"/>
        <w:widowControl/>
        <w:numPr>
          <w:ilvl w:val="0"/>
          <w:numId w:val="1"/>
        </w:numPr>
        <w:spacing w:lineRule="auto" w:line="360" w:before="0" w:after="0"/>
        <w:ind w:hanging="142" w:start="425"/>
        <w:contextualSpacing/>
        <w:rPr/>
      </w:pPr>
      <w:r>
        <w:rPr>
          <w:b/>
        </w:rPr>
        <w:t>E0 – deklarace:</w:t>
      </w:r>
      <w:r>
        <w:rPr/>
        <w:t xml:space="preserve"> hodnotový nebo strategický závazek bez konkrétního mechanismu;</w:t>
      </w:r>
    </w:p>
    <w:p>
      <w:pPr>
        <w:pStyle w:val="ListBullet"/>
        <w:widowControl/>
        <w:numPr>
          <w:ilvl w:val="0"/>
          <w:numId w:val="1"/>
        </w:numPr>
        <w:spacing w:lineRule="auto" w:line="360" w:before="0" w:after="0"/>
        <w:ind w:hanging="142" w:start="425"/>
        <w:contextualSpacing/>
        <w:rPr/>
      </w:pPr>
      <w:r>
        <w:rPr>
          <w:b/>
        </w:rPr>
        <w:t>E1 – aktivita:</w:t>
      </w:r>
      <w:r>
        <w:rPr/>
        <w:t xml:space="preserve"> konkrétní opatření nebo výstup bez přesvědčivého dokladu změny stavu;</w:t>
      </w:r>
    </w:p>
    <w:p>
      <w:pPr>
        <w:pStyle w:val="ListBullet"/>
        <w:widowControl/>
        <w:numPr>
          <w:ilvl w:val="0"/>
          <w:numId w:val="1"/>
        </w:numPr>
        <w:spacing w:lineRule="auto" w:line="360" w:before="0" w:after="0"/>
        <w:ind w:hanging="142" w:start="425"/>
        <w:contextualSpacing/>
        <w:rPr/>
      </w:pPr>
      <w:r>
        <w:rPr>
          <w:b/>
        </w:rPr>
        <w:t>E2 – řízený výsledek:</w:t>
      </w:r>
      <w:r>
        <w:rPr/>
        <w:t xml:space="preserve"> cíl, vlastník, proces, metodika, kontrola nebo sledovaný vývoj;</w:t>
      </w:r>
    </w:p>
    <w:p>
      <w:pPr>
        <w:pStyle w:val="ListBullet"/>
        <w:widowControl/>
        <w:numPr>
          <w:ilvl w:val="0"/>
          <w:numId w:val="1"/>
        </w:numPr>
        <w:spacing w:lineRule="auto" w:line="360" w:before="0" w:after="0"/>
        <w:ind w:hanging="142" w:start="425"/>
        <w:contextualSpacing/>
        <w:rPr/>
      </w:pPr>
      <w:r>
        <w:rPr>
          <w:b/>
        </w:rPr>
        <w:t>E3 – rozhodovací vazba:</w:t>
      </w:r>
      <w:r>
        <w:rPr/>
        <w:t xml:space="preserve"> informace vstupuje do kapitálové alokace, řízení rizik, produktu, nákupu, odměny nebo provozního pravidla;</w:t>
      </w:r>
    </w:p>
    <w:p>
      <w:pPr>
        <w:pStyle w:val="ListBullet"/>
        <w:widowControl/>
        <w:numPr>
          <w:ilvl w:val="0"/>
          <w:numId w:val="1"/>
        </w:numPr>
        <w:spacing w:lineRule="auto" w:line="360" w:before="0" w:after="0"/>
        <w:ind w:hanging="142" w:start="425"/>
        <w:contextualSpacing/>
        <w:rPr/>
      </w:pPr>
      <w:r>
        <w:rPr>
          <w:b/>
        </w:rPr>
        <w:t>E4 – externě podpořený výsledek:</w:t>
      </w:r>
      <w:r>
        <w:rPr/>
        <w:t xml:space="preserve"> konkrétní výsledek s jasnou hranicí a metodikou, který má silnou nezávislou podporu nebo triangulaci.</w:t>
      </w:r>
    </w:p>
    <w:p>
      <w:pPr>
        <w:pStyle w:val="Normal"/>
        <w:widowControl/>
        <w:spacing w:lineRule="auto" w:line="360"/>
        <w:ind w:firstLine="709"/>
        <w:jc w:val="both"/>
        <w:rPr/>
      </w:pPr>
      <w:r>
        <w:rPr/>
        <w:t>Škála se nepřiřazuje firmě jako celku. V jednom reportu mohou vedle sebe existovat obecné deklarace, dobře změřené aktivity i silně integrované rozhodovací mechanismy. Toto rozhodnutí je důležité: zabraňuje tomu, aby vysoký rating, přítomnost assurance nebo velké množství dat vytvořily automatický pozitivní soud nad celou organizací.</w:t>
      </w:r>
    </w:p>
    <w:p>
      <w:pPr>
        <w:pStyle w:val="Heading2"/>
        <w:keepNext w:val="true"/>
        <w:widowControl/>
        <w:ind w:hanging="0"/>
        <w:rPr/>
      </w:pPr>
      <w:bookmarkStart w:id="5" w:name="__RefHeading___Toc2014_516823210"/>
      <w:bookmarkEnd w:id="5"/>
      <w:r>
        <w:rPr/>
        <w:t>Přínos práce</w:t>
      </w:r>
    </w:p>
    <w:p>
      <w:pPr>
        <w:pStyle w:val="Normal"/>
        <w:widowControl/>
        <w:spacing w:lineRule="auto" w:line="360"/>
        <w:ind w:firstLine="709"/>
        <w:jc w:val="both"/>
        <w:rPr/>
      </w:pPr>
      <w:r>
        <w:rPr/>
        <w:t>Prvním přínosem je přesnější rozlišení čtyř jevů, které se v běžné debatě často směšují: jazyk ESG, konkrétní praxe, formalizace a manažerská integrace. Report může být kvalitně připravený, a přesto popisovat systém s omezeným vlivem na rozhodování. Stejně tak může podnik dlouhodobě řídit důležité provozní téma bez toho, aby je označoval současným ESG slovníkem. Toto rozlišení proto není jen terminologické; určuje, jak opatrně lze z dokumentu vyvozovat závěry.</w:t>
      </w:r>
    </w:p>
    <w:p>
      <w:pPr>
        <w:pStyle w:val="Normal"/>
        <w:widowControl/>
        <w:spacing w:lineRule="auto" w:line="360"/>
        <w:ind w:firstLine="709"/>
        <w:jc w:val="both"/>
        <w:rPr/>
      </w:pPr>
      <w:r>
        <w:rPr/>
        <w:t>Druhým přínosem je operacionalizace síly konkrétního tvrzení. Škála E0–E4 nenahrazuje standardizovaný rating a nemá vytvářet další univerzální skóre. Slouží jako disciplína při čtení: nutí oddělit aktivitu od výsledku, výsledek od dopadu a externí ověření od manažerské integrace. Počet proškolených osob může být přesně změřený, ale stále nemusí ukazovat změnu chování. Naopak rozhodovací pravidlo může být silným dokladem integrace, i když výsledná metrika zatím není externě ověřena.</w:t>
      </w:r>
    </w:p>
    <w:p>
      <w:pPr>
        <w:pStyle w:val="Normal"/>
        <w:widowControl/>
        <w:spacing w:lineRule="auto" w:line="360"/>
        <w:ind w:firstLine="709"/>
        <w:jc w:val="both"/>
        <w:rPr/>
      </w:pPr>
      <w:r>
        <w:rPr/>
        <w:t>Třetím přínosem je mezipřípadové srovnání bez předstírání, že všechny sektory mají stejný materiální problém. U energetiky se rozhodovací vazba objevuje především v přechodovém a investičním plánu. V bance vede přes riziko, portfolio a pobídky. Telekomunikace ji ukazují v provozu infrastruktury, bezpečnosti a dodavatelích, automobilový průmysl v produktu, výrobě, CapEx a nákupním řetězci. Společným jmenovatelem tedy není jedna metrika, ale otázka, zda a jak může zveřejněná informace změnit rozhodnutí.</w:t>
      </w:r>
    </w:p>
    <w:p>
      <w:pPr>
        <w:pStyle w:val="Heading2"/>
        <w:keepNext w:val="true"/>
        <w:widowControl/>
        <w:ind w:hanging="0"/>
        <w:rPr/>
      </w:pPr>
      <w:bookmarkStart w:id="6" w:name="__RefHeading___Toc2016_516823210"/>
      <w:bookmarkEnd w:id="6"/>
      <w:r>
        <w:rPr/>
        <w:t>Struktura práce</w:t>
      </w:r>
    </w:p>
    <w:p>
      <w:pPr>
        <w:pStyle w:val="Normal"/>
        <w:widowControl/>
        <w:spacing w:lineRule="auto" w:line="360"/>
        <w:ind w:firstLine="709"/>
        <w:jc w:val="both"/>
        <w:rPr/>
      </w:pPr>
      <w:r>
        <w:rPr/>
        <w:t>První kapitola vymezuje vztah CSR a ESG a postupně rozvíjí stakeholderovou, institucionální a legitimizační perspektivu. Dále se věnuje materialitě, organizační implementaci, vztahu k podnikové výkonnosti, ratingům, povinnému reportingu, kvalitě zveřejnění a hranicím assurance. Kapitolu uzavírá pracovní model zveřejněné implementace.</w:t>
      </w:r>
    </w:p>
    <w:p>
      <w:pPr>
        <w:pStyle w:val="Normal"/>
        <w:widowControl/>
        <w:spacing w:lineRule="auto" w:line="360"/>
        <w:ind w:firstLine="709"/>
        <w:jc w:val="both"/>
        <w:rPr/>
      </w:pPr>
      <w:r>
        <w:rPr/>
        <w:t>Druhá kapitola zasazuje výzkum do regulatorního rámce CSRD, ESRS a EU Taxonomie. Zvláštní pozornost věnuje dvojí materialitě, rozlišení dopadů, rizik a příležitostí a tomu, co omezené ujištění potvrzuje a co už ne. Třetí kapitola popisuje výběr případů, konstrukci korpusu, jednotky analýzy, kódovací rámec, kontrolní postupy a limity designu.</w:t>
      </w:r>
    </w:p>
    <w:p>
      <w:pPr>
        <w:pStyle w:val="Normal"/>
        <w:widowControl/>
        <w:spacing w:lineRule="auto" w:line="360"/>
        <w:ind w:firstLine="709"/>
        <w:jc w:val="both"/>
        <w:rPr/>
      </w:pPr>
      <w:r>
        <w:rPr/>
        <w:t>Čtvrtá kapitola představuje výsledky v pěti mezipřípadových tématech. Sleduje napětí mezi standardizovanou strukturou a rozdílnou manažerskou hloubkou, sektorově specifické provozní a finanční kotvy, skutečnou výpovědní hodnotu governance, rozdíl mezi aktivitou, výsledkem a dopadem a také význam přiznaných neúspěchů, revizí a negativních informací. Pátá kapitola tato zjištění interpretuje ve vztahu k teorii a formuluje doporučení pro podniky, čtenáře reportů i další výzkum. Závěr se vrací ke všem výzkumným otázkám a shrnuje hranici mezi tím, co veřejný report důvodně dokládá, a tím, co zůstává otevřené.</w:t>
      </w:r>
    </w:p>
    <w:p>
      <w:pPr>
        <w:pStyle w:val="Normal"/>
        <w:rPr/>
      </w:pPr>
      <w:r>
        <w:rPr/>
      </w:r>
      <w:r>
        <w:br w:type="page"/>
      </w:r>
    </w:p>
    <w:p>
      <w:pPr>
        <w:pStyle w:val="Heading1"/>
        <w:keepNext w:val="true"/>
        <w:widowControl/>
        <w:spacing w:before="0" w:after="180"/>
        <w:ind w:hanging="0"/>
        <w:rPr/>
      </w:pPr>
      <w:bookmarkStart w:id="7" w:name="__RefHeading___Toc2018_516823210"/>
      <w:bookmarkEnd w:id="7"/>
      <w:r>
        <w:rPr/>
        <w:t>1 Teoretická východiska</w:t>
      </w:r>
    </w:p>
    <w:p>
      <w:pPr>
        <w:pStyle w:val="Heading2"/>
        <w:keepNext w:val="true"/>
        <w:widowControl/>
        <w:ind w:hanging="0"/>
        <w:rPr/>
      </w:pPr>
      <w:bookmarkStart w:id="8" w:name="__RefHeading___Toc2020_516823210"/>
      <w:bookmarkEnd w:id="8"/>
      <w:r>
        <w:rPr/>
        <w:t>1.1 Od společenské odpovědnosti k ESG</w:t>
      </w:r>
    </w:p>
    <w:p>
      <w:pPr>
        <w:pStyle w:val="Normal"/>
        <w:widowControl/>
        <w:spacing w:lineRule="auto" w:line="360"/>
        <w:ind w:firstLine="709"/>
        <w:jc w:val="both"/>
        <w:rPr/>
      </w:pPr>
      <w:r>
        <w:rPr/>
        <w:t>Zkratka ESG dnes ve firemních zprávách působí skoro samozřejmě. Je v názvech výborů, v přehledech rizik, mezi ukazateli odměňování i v investičních plánech. Právě tato samozřejmost je ale trochu zrádná: dvě firmy mohou pod stejným označením popisovat velmi odlišnou věc. U jedné jde hlavně o nový název pro dlouhodobou agendu společenské odpovědnosti, u druhé o technický systém sběru dat pro report a u třetí o pravidla, která skutečně vstupují do výběru projektů nebo dodavatelů. Hledat jednu definitivní definici ESG by proto pro tuto práci nebylo příliš užitečné. Potřebuji spíše rozlišit, co se za tímto označením v konkrétním dokumentu děje.</w:t>
      </w:r>
    </w:p>
    <w:p>
      <w:pPr>
        <w:pStyle w:val="Normal"/>
        <w:widowControl/>
        <w:spacing w:lineRule="auto" w:line="360"/>
        <w:ind w:firstLine="709"/>
        <w:jc w:val="both"/>
        <w:rPr/>
      </w:pPr>
      <w:r>
        <w:rPr/>
        <w:t>Debata o odpovědnosti podniku je samozřejmě starší. Carroll (1991) ji zachytil pomocí ekonomické, právní, etické a filantropické odpovědnosti. Jeho model bývá kreslen jako pyramida, což může vyvolávat dojem, že podnik nejprve splní ekonomické povinnosti a teprve potom přidává dobrovolné společenské aktivity. Tak jednoduché to není. Jednotlivá očekávání existují souběžně, přicházejí od různých skupin a v praxi se často dostávají do konfliktu. Rozhodnutí, které je ekonomicky výhodné, může být současně právně sporné nebo společensky obtížně přijatelné.</w:t>
      </w:r>
    </w:p>
    <w:p>
      <w:pPr>
        <w:pStyle w:val="Normal"/>
        <w:widowControl/>
        <w:spacing w:lineRule="auto" w:line="360"/>
        <w:ind w:firstLine="709"/>
        <w:jc w:val="both"/>
        <w:rPr/>
      </w:pPr>
      <w:r>
        <w:rPr/>
        <w:t>ESG tuto starší debatu neruší, ale převádí ji do jiného členění. Environmentální, sociální a správní témata lze spojit s dopady, riziky, cíli a ukazateli, které jsou srozumitelné investorům i managementu. Gillan, Koch a Starks (2021) právě v tomto smyslu ukazují návaznost ESG na výzkum CSR a zároveň posun k měřitelnosti, finanční materialitě, ratingům a podnikovým financím. Nejde tedy jen o novější nálepku pro filantropii. ESG se pokouší udělat z obecné odpovědnosti něco, co lze sledovat, porovnávat a někdy i zahrnout do rozhodnutí.</w:t>
      </w:r>
    </w:p>
    <w:p>
      <w:pPr>
        <w:pStyle w:val="Normal"/>
        <w:widowControl/>
        <w:spacing w:lineRule="auto" w:line="360"/>
        <w:ind w:firstLine="709"/>
        <w:jc w:val="both"/>
        <w:rPr/>
      </w:pPr>
      <w:r>
        <w:rPr/>
        <w:t>Tady je však potřeba být opatrný. Metrika není prostým otiskem reality. Už samotné rozhodnutí, co se bude měřit, za jakou část skupiny a v jakém období, zvýrazní některé jevy a jiné nechá stranou. V analýze proto nepoužívám otázku, zda firma „má ESG“. Taková otázka by do jedné odpovědi smíchala pojmenování, konkrétní činnost, způsob řízení i kvalitu zveřejnění.</w:t>
      </w:r>
    </w:p>
    <w:p>
      <w:pPr>
        <w:pStyle w:val="Normal"/>
        <w:widowControl/>
        <w:spacing w:lineRule="auto" w:line="360"/>
        <w:ind w:firstLine="709"/>
        <w:jc w:val="both"/>
        <w:rPr/>
      </w:pPr>
      <w:r>
        <w:rPr/>
        <w:t>Rozlišuji čtyři vrstvy. První je jazyk, tedy zda podnik používá označení ESG nebo udržitelnost. Druhou tvoří samotná praxe, například energetická úspora, pravidla bezpečnosti práce nebo protikorupční kontrola. Ve třetí vrstvě už má aktivita vlastníka, postup, cíl a metriku; zde mluvím o formalizaci. Manažerská integrace začíná až ve čtvrté vrstvě, kdy informace ovlivní investici, rizikové pravidlo, produkt, dodavatele nebo odměnu. Externí report a jeho ověření stojí částečně vedle této posloupnosti. Podnik může výborně popsat systém, který má jen omezený vliv na rozhodování, a stejně tak může dlouhodobě řídit významné provozní téma, aniž je pojmenuje současným ESG slovníkem.</w:t>
      </w:r>
    </w:p>
    <w:p>
      <w:pPr>
        <w:pStyle w:val="Normal"/>
        <w:widowControl/>
        <w:spacing w:lineRule="auto" w:line="360"/>
        <w:ind w:firstLine="709"/>
        <w:jc w:val="both"/>
        <w:rPr/>
      </w:pPr>
      <w:r>
        <w:rPr/>
        <w:t>To není drobný terminologický rozdíl. Určuje hranici toho, co lze z veřejného reportu tvrdit. Výbor na organizačním schématu dokládá, že určitá struktura existuje; bez informace o pravomoci a konkrétních rozhodnutích ještě neříká, zda něco změnila. Podobně cíl bez vlastníka, zdrojů a postupu při neplnění potvrzuje spíše záměr než řízení. V dalších kapitolách se proto vracím hlavně k okamžiku, kdy se zveřejněná informace propojí s rozhodnutím.</w:t>
      </w:r>
    </w:p>
    <w:p>
      <w:pPr>
        <w:pStyle w:val="Heading2"/>
        <w:keepNext w:val="true"/>
        <w:widowControl/>
        <w:ind w:hanging="0"/>
        <w:rPr/>
      </w:pPr>
      <w:bookmarkStart w:id="9" w:name="__RefHeading___Toc2022_516823210"/>
      <w:bookmarkEnd w:id="9"/>
      <w:r>
        <w:rPr/>
        <w:t>1.2 Stakeholderová perspektiva</w:t>
      </w:r>
    </w:p>
    <w:p>
      <w:pPr>
        <w:pStyle w:val="Normal"/>
        <w:widowControl/>
        <w:spacing w:lineRule="auto" w:line="360"/>
        <w:ind w:firstLine="709"/>
        <w:jc w:val="both"/>
        <w:rPr/>
      </w:pPr>
      <w:r>
        <w:rPr/>
        <w:t>Jakmile oddělíme pojmenování od skutečného mechanismu, je možné se ptát, odkud tlak na ESG přichází. Podnik neodpovídá jen vlastníkům. Zaměstnanci, zákazníci, dodavatelé, věřitelé, regulátoři, místní komunity i občanská společnost mají odlišná očekávání a především odlišnou schopnost je prosadit. Carroll (1991) s těmito skupinami pracuje jako s adresáty několika vrstev odpovědnosti. Gillan et al. (2021) ukazují finanční cestu, kterou se jejich požadavky mohou projevit: přes cenu kapitálu, reputační riziko, vztah k pracovní síle nebo zákaznickou poptávku.</w:t>
      </w:r>
    </w:p>
    <w:p>
      <w:pPr>
        <w:pStyle w:val="Normal"/>
        <w:widowControl/>
        <w:spacing w:lineRule="auto" w:line="360"/>
        <w:ind w:firstLine="709"/>
        <w:jc w:val="both"/>
        <w:rPr/>
      </w:pPr>
      <w:r>
        <w:rPr/>
        <w:t>V reportech se stakeholderové často objeví jako dlouhý seznam. Ten sám o sobě mnoho nevysvětluje. Investor může požadovat podrobnější data, ale provoz firmy se nezmění; velký odběratel naopak prosadí nové smluvní podmínky a zasáhne do fungování dodavatele, přestože na něj přímo nedopadá stejná regulace. Odbory mohou změnit sociální část transformačního plánu. Regulátor zase může vynutit vznik dat, která původně slouží pro zveřejnění, později se však stanou součástí interního porovnávání projektů. Stejný pojem „tlak stakeholderů“ tak pokrývá několik velmi různých cest.</w:t>
      </w:r>
    </w:p>
    <w:p>
      <w:pPr>
        <w:pStyle w:val="Normal"/>
        <w:widowControl/>
        <w:spacing w:lineRule="auto" w:line="360"/>
        <w:ind w:firstLine="709"/>
        <w:jc w:val="both"/>
        <w:rPr/>
      </w:pPr>
      <w:r>
        <w:rPr/>
        <w:t>Proto sleduji nejen to, kdo byl konzultován, ale co se s jeho požadavkem stalo. Kdo jej uvnitř organizace převzal? Do jakého procesu vstoupil? Změnil prioritu, rozpočet, metriku nebo rozhodovací pravidlo? Teprve taková informace dovoluje odlišit skutečný mechanismus od obecné formulace o dialogu.</w:t>
      </w:r>
    </w:p>
    <w:p>
      <w:pPr>
        <w:pStyle w:val="Normal"/>
        <w:widowControl/>
        <w:spacing w:lineRule="auto" w:line="360"/>
        <w:ind w:firstLine="709"/>
        <w:jc w:val="both"/>
        <w:rPr/>
      </w:pPr>
      <w:r>
        <w:rPr/>
        <w:t>Zvolená stakeholderová perspektiva má jednu vědomou hranici. Akademický korpus práce neobsahuje kanonický primární text Freemanovy teorie, a nebylo by poctivé vytvářet zdání její úplné aplikace jen doplněním známého jména. Používám ji proto v užším smyslu: jako způsob, jak v dokumentech sledovat aktéry, jejich moc a cestu požadavku do rozhodování. Podrobnou Freemanovu typologii práce neuplatňuje.</w:t>
      </w:r>
    </w:p>
    <w:p>
      <w:pPr>
        <w:pStyle w:val="Heading2"/>
        <w:keepNext w:val="true"/>
        <w:widowControl/>
        <w:ind w:hanging="0"/>
        <w:rPr/>
      </w:pPr>
      <w:bookmarkStart w:id="10" w:name="__RefHeading___Toc2024_516823210"/>
      <w:bookmarkEnd w:id="10"/>
      <w:r>
        <w:rPr/>
        <w:t>1.3 Institucionální tlaky a organizační podobnost</w:t>
      </w:r>
    </w:p>
    <w:p>
      <w:pPr>
        <w:pStyle w:val="Normal"/>
        <w:widowControl/>
        <w:spacing w:lineRule="auto" w:line="360"/>
        <w:ind w:firstLine="709"/>
        <w:jc w:val="both"/>
        <w:rPr/>
      </w:pPr>
      <w:r>
        <w:rPr/>
        <w:t>Stakeholdeři vysvětlují, proč na podnik někdo tlačí. Nevysvětlují však úplně, proč si výsledné reporty bývají tak podobné. K tomu je užitečnější institucionální teorie DiMaggia a Powella (1983), která rozlišuje donucovací, normativní a mimetický izomorfismus. První vychází z práva a závislosti na mocných aktérech, druhý z profesních standardů a expertních komunit. Třetí nastupuje při nejistotě: organizace napodobí řešení, které už někde viděly a které působí legitimně.</w:t>
      </w:r>
    </w:p>
    <w:p>
      <w:pPr>
        <w:pStyle w:val="Normal"/>
        <w:widowControl/>
        <w:spacing w:lineRule="auto" w:line="360"/>
        <w:ind w:firstLine="709"/>
        <w:jc w:val="both"/>
        <w:rPr/>
      </w:pPr>
      <w:r>
        <w:rPr/>
        <w:t>V ESG reportingu se tyto mechanismy překrývají. CSRD a ESRS určují společnou architekturu zveřejnění, auditoři a poradci přenášejí představu o „správném“ materialitním procesu a podniky současně sledují zprávy konkurentů. V prvních letech nového režimu je to pochopitelné. Nikdo nemá dlouhou provozní zkušenost, takže převzetí viditelného řešení nemusí být známkou prázdné formality; často jde o nejméně riskantní způsob, jak se s nejistým požadavkem vyrovnat.</w:t>
      </w:r>
    </w:p>
    <w:p>
      <w:pPr>
        <w:pStyle w:val="Normal"/>
        <w:widowControl/>
        <w:spacing w:lineRule="auto" w:line="360"/>
        <w:ind w:firstLine="709"/>
        <w:jc w:val="both"/>
        <w:rPr/>
      </w:pPr>
      <w:r>
        <w:rPr/>
        <w:t>Výsledkem jsou podobné tabulky, diagramy governance i kategorie dopadů, rizik a příležitostí. Pro čtenáře je to výhoda. Srovnání je snazší. Zároveň však vzniká zvláštní interpretační past: stejná forma začíná působit jako důkaz stejné praxe.</w:t>
      </w:r>
    </w:p>
    <w:p>
      <w:pPr>
        <w:pStyle w:val="Normal"/>
        <w:widowControl/>
        <w:spacing w:lineRule="auto" w:line="360"/>
        <w:ind w:firstLine="709"/>
        <w:jc w:val="both"/>
        <w:rPr/>
      </w:pPr>
      <w:r>
        <w:rPr/>
        <w:t>Přitom výbor uvedený ve dvou reportech může mít zcela jinou roli. V jednom případě schvaluje změny investičního plánu, ve druhém jednou ročně přijme informaci o hotovém výkazu. Materialitní proces může otevřít dosud přehlížené riziko v dodavatelském řetězci, nebo pouze seřadit témata do povinné kapitoly. Institucionální teorie zde neposkytuje jednoduchý verdikt, ale důvod, proč začínat otázkou po mechanismu. Standardizovaná položka je vstup do analýzy, nikoli její výsledek.</w:t>
      </w:r>
    </w:p>
    <w:p>
      <w:pPr>
        <w:pStyle w:val="Heading2"/>
        <w:keepNext w:val="true"/>
        <w:widowControl/>
        <w:ind w:hanging="0"/>
        <w:rPr/>
      </w:pPr>
      <w:bookmarkStart w:id="11" w:name="__RefHeading___Toc2026_516823210"/>
      <w:bookmarkEnd w:id="11"/>
      <w:r>
        <w:rPr/>
        <w:t>1.4 Legitimita a firemní zveřejnění</w:t>
      </w:r>
    </w:p>
    <w:p>
      <w:pPr>
        <w:pStyle w:val="Normal"/>
        <w:widowControl/>
        <w:spacing w:lineRule="auto" w:line="360"/>
        <w:ind w:firstLine="709"/>
        <w:jc w:val="both"/>
        <w:rPr/>
      </w:pPr>
      <w:r>
        <w:rPr/>
        <w:t>Firemní report je současně informační dokument a způsob, jak organizace vysvětluje sama sebe. Suchman (1995) chápe legitimitu jako obecné přesvědčení, že jednání organizace odpovídá společensky vytvořeným normám a hodnotám. Z tohoto pohledu dává smysl, že podnik ve zprávě nejen zveřejňuje data, ale také ukazuje soulad s pravidly, reaguje na kritiku a skládá příběh o tom, kam směřuje.</w:t>
      </w:r>
    </w:p>
    <w:p>
      <w:pPr>
        <w:pStyle w:val="Normal"/>
        <w:widowControl/>
        <w:spacing w:lineRule="auto" w:line="360"/>
        <w:ind w:firstLine="709"/>
        <w:jc w:val="both"/>
        <w:rPr/>
      </w:pPr>
      <w:r>
        <w:rPr/>
        <w:t>To ještě neznamená manipulaci. Organizace musí být schopna své jednání obhájit a snaha získat důvěru není sama o sobě podezřelá. Problém nastává ve chvíli, kdy čtenář zamění přesvědčivou komunikaci za důkaz změny podkladové praxe. Dobře napsaná kapitola o klimatu může přesně popsat ambici podniku, aniž současně ukáže, že se podle ní skutečně rozhoduje o kapitálu.</w:t>
      </w:r>
    </w:p>
    <w:p>
      <w:pPr>
        <w:pStyle w:val="Normal"/>
        <w:widowControl/>
        <w:spacing w:lineRule="auto" w:line="360"/>
        <w:ind w:firstLine="709"/>
        <w:jc w:val="both"/>
        <w:rPr/>
      </w:pPr>
      <w:r>
        <w:rPr/>
        <w:t>Delmas a Burbano (2011) rozlišují vnější, organizační a individuální faktory greenwashingu. Vnější prostředí vytváří poptávku po pozitivních environmentálních tvrzeních; uvnitř firmy mohou nesoulad posilovat roztříštěná data, nejasná odpovědnost nebo pobídky, které zvýhodní obraz před výsledkem. Na individuální úrovni může autor přecenit význam dílčí aktivity. Tato typologie nabízí několik realistických vysvětlení, z veřejného reportu však zpravidla nelze zjistit úmysl konkrétního člověka.</w:t>
      </w:r>
    </w:p>
    <w:p>
      <w:pPr>
        <w:pStyle w:val="Normal"/>
        <w:widowControl/>
        <w:spacing w:lineRule="auto" w:line="360"/>
        <w:ind w:firstLine="709"/>
        <w:jc w:val="both"/>
        <w:rPr/>
      </w:pPr>
      <w:r>
        <w:rPr/>
        <w:t>V práci proto nepoužívám greenwashing jako rychlou nálepku pro pozitivní text. Dokumentová analýza k tomu nemá dostatečný přístup k interní praxi. Může ovšem popsat něco užšího a kontrolovatelného: tvrzení bez metriky, cíl bez vlastníka, aktivitu bez výsledku, výsledek bez hranice nebo rating vydávaný za důkaz dopadu. Důležitá je i absence nepříznivých trendů tam, kde by je vzhledem k povaze podnikání bylo možné očekávat.</w:t>
      </w:r>
    </w:p>
    <w:p>
      <w:pPr>
        <w:pStyle w:val="Normal"/>
        <w:widowControl/>
        <w:spacing w:lineRule="auto" w:line="360"/>
        <w:ind w:firstLine="709"/>
        <w:jc w:val="both"/>
        <w:rPr/>
      </w:pPr>
      <w:r>
        <w:rPr/>
        <w:t>Takové znaky stále nemají jediný výklad. Mohou souviset se symbolickou implementací, ranou fází systému, nedostupností dat nebo prostě s jiným účelem dokumentu. Přesně v tom spočívá hranice analýzy. Neříká, co si podnik „ve skutečnosti myslí“. Říká, co jeho veřejný text dokládá — a kde už důkaz končí.</w:t>
      </w:r>
    </w:p>
    <w:p>
      <w:pPr>
        <w:pStyle w:val="Heading2"/>
        <w:keepNext w:val="true"/>
        <w:widowControl/>
        <w:ind w:hanging="0"/>
        <w:rPr/>
      </w:pPr>
      <w:bookmarkStart w:id="12" w:name="__RefHeading___Toc2028_516823210"/>
      <w:bookmarkEnd w:id="12"/>
      <w:r>
        <w:rPr/>
        <w:t>1.5 Materialita jako rozhodnutí o prioritách</w:t>
      </w:r>
    </w:p>
    <w:p>
      <w:pPr>
        <w:pStyle w:val="Normal"/>
        <w:widowControl/>
        <w:spacing w:lineRule="auto" w:line="360"/>
        <w:ind w:firstLine="709"/>
        <w:jc w:val="both"/>
        <w:rPr/>
      </w:pPr>
      <w:r>
        <w:rPr/>
        <w:t>Žádný podnik nemůže věnovat stejnou pozornost všem environmentálním a sociálním otázkám, které se jeho činnosti nějak dotýkají. Materialita je způsob, jak z širokého pole možných témat vybrat ta, která mají vstoupit do řízení a zveřejnění. Nejde tedy jen o techniku pro sestavení obsahu zprávy. V dobře fungujícím systému je to rozhodnutí o tom, kam organizace zaměří pozornost, odpovědnost a zdroje.</w:t>
      </w:r>
    </w:p>
    <w:p>
      <w:pPr>
        <w:pStyle w:val="Normal"/>
        <w:widowControl/>
        <w:spacing w:lineRule="auto" w:line="360"/>
        <w:ind w:firstLine="709"/>
        <w:jc w:val="both"/>
        <w:rPr/>
      </w:pPr>
      <w:r>
        <w:rPr/>
        <w:t>Khan, Serafeim a Yoon (2016) rozlišují materiální a nemateriální témata podle jejich relevance pro finanční výkonnost odvětví. Jejich práce připomíná, že stejné opatření nemusí mít stejný ekonomický význam pro banku, energetiku nebo výrobce automobilů. Současně však vychází převážně z finanční materiality. Evropská dvojí materialita přidává druhý pohled: vedle otázky, co může ovlivnit podnik, sleduje také to, jak podnik působí na lidi a životní prostředí.</w:t>
      </w:r>
    </w:p>
    <w:p>
      <w:pPr>
        <w:pStyle w:val="Normal"/>
        <w:widowControl/>
        <w:spacing w:lineRule="auto" w:line="360"/>
        <w:ind w:firstLine="709"/>
        <w:jc w:val="both"/>
        <w:rPr/>
      </w:pPr>
      <w:r>
        <w:rPr/>
        <w:t>Oba směry se mohou překrývat, ale není vhodné je slévat. Emise výrobku představují dopad bez ohledu na to, zda už se promítly do ceny kapitálu. Naopak nová nízkoemisní technologie může být pro podnik významnou finanční příležitostí, aniž je předem prokázán její čistý přínos po celém životním cyklu. Označení tématu za materiální proto samo neříká, zda jde o riziko, příležitost, negativní dopad nebo jejich kombinaci.</w:t>
      </w:r>
    </w:p>
    <w:p>
      <w:pPr>
        <w:pStyle w:val="Normal"/>
        <w:widowControl/>
        <w:spacing w:lineRule="auto" w:line="360"/>
        <w:ind w:firstLine="709"/>
        <w:jc w:val="both"/>
        <w:rPr/>
      </w:pPr>
      <w:r>
        <w:rPr/>
        <w:t>Při čtení reportu se vyplatí sledovat celý postup, ne pouze výslednou matici. Nejprve musí být dopady, rizika, příležitosti a dotčení stakeholdeři identifikováni. Následuje posouzení závažnosti, pravděpodobnosti a časového horizontu, stanovení hranice a schválení výsledku. Teprve poslední krok ukazuje, zda se z vybrané priority stalo něco řiditelného: politika, cíl, vlastník, rozpočet nebo pravidlo pro rozhodování.</w:t>
      </w:r>
    </w:p>
    <w:p>
      <w:pPr>
        <w:pStyle w:val="Normal"/>
        <w:widowControl/>
        <w:spacing w:lineRule="auto" w:line="360"/>
        <w:ind w:firstLine="709"/>
        <w:jc w:val="both"/>
        <w:rPr/>
      </w:pPr>
      <w:r>
        <w:rPr/>
        <w:t>Právě tento poslední krok je v práci rozhodující. Detailní scoring může dokazovat dobře formalizovaný proces, přesto zůstane převážně reportovacím cvičením, pokud není vidět jeho důsledek. Materialita získává silnější význam ve chvíli, kdy se kvůli ní změní investiční plán, způsob hodnocení úvěru, konstrukce produktu nebo nákupní podmínka. Pak už nejde jen o seznam témat, ale o mechanismus alokace omezených zdrojů.</w:t>
      </w:r>
    </w:p>
    <w:p>
      <w:pPr>
        <w:pStyle w:val="Heading2"/>
        <w:keepNext w:val="true"/>
        <w:widowControl/>
        <w:ind w:hanging="0"/>
        <w:rPr/>
      </w:pPr>
      <w:bookmarkStart w:id="13" w:name="__RefHeading___Toc2030_516823210"/>
      <w:bookmarkEnd w:id="13"/>
      <w:r>
        <w:rPr/>
        <w:t>1.6 Organizační procesy a hloubka implementace</w:t>
      </w:r>
    </w:p>
    <w:p>
      <w:pPr>
        <w:pStyle w:val="Normal"/>
        <w:widowControl/>
        <w:spacing w:lineRule="auto" w:line="360"/>
        <w:ind w:firstLine="709"/>
        <w:jc w:val="both"/>
        <w:rPr/>
      </w:pPr>
      <w:r>
        <w:rPr/>
        <w:t>Eccles, Ioannou a Serafeim (2014) porovnávají podniky s vysokou a nízkou mírou dlouhodobého zaměření na udržitelnost a nacházejí rozdíly v zapojení vedení, měření, časovém horizontu i vnitřních procesech. Studie bývá připomínána především kvůli výsledkům o dlouhodobé výkonnosti. Pro zdejší výzkum je ale zajímavější něco jiného: udržitelnost se nestává součástí organizace tím, že je uvedena ve strategii, nýbrž prostřednictvím opakovaných procesů, odpovědnosti a rozhodnutí.</w:t>
      </w:r>
    </w:p>
    <w:p>
      <w:pPr>
        <w:pStyle w:val="Normal"/>
        <w:widowControl/>
        <w:spacing w:lineRule="auto" w:line="360"/>
        <w:ind w:firstLine="709"/>
        <w:jc w:val="both"/>
        <w:rPr/>
      </w:pPr>
      <w:r>
        <w:rPr/>
        <w:t>Od pouhého označení k takové integraci vede několik odlišných kroků. Podnik může nejprve přijmout závazek a používat nový jazyk. Může současně provádět konkrétní praxi, například modernizovat technologii, školit zaměstnance nebo upravit sociální program. Formalizace nastává tehdy, když činnost získá vlastníka, politiku, metriku a pravidelnou kontrolu. Ani zde však cesta nekončí. V této práci mluvím o manažerské integraci až tehdy, když se informace může promítnout do rozhodnutí, které má pro fungování podniku skutečný důsledek.</w:t>
      </w:r>
    </w:p>
    <w:p>
      <w:pPr>
        <w:pStyle w:val="Normal"/>
        <w:widowControl/>
        <w:spacing w:lineRule="auto" w:line="360"/>
        <w:ind w:firstLine="709"/>
        <w:jc w:val="both"/>
        <w:rPr/>
      </w:pPr>
      <w:r>
        <w:rPr/>
        <w:t>Tím důsledkem nemusí být vždy nový investiční projekt. Rozhodovací vazba může být kapitálová, pokud přechodový plán ovlivňuje investiční portfolio. Může být riziková, když klimatický nebo sociální faktor vstoupí do kreditního, underwritingového či provozního limitu. Produktová vazba mění konstrukci výrobku nebo financovaného portfolia; nákupní vazba podmínky výběru a nápravného plánu dodavatele. Pobídkový mechanismus spojuje dosažení cíle s odměnou, provozní mechanismus například s obnovou zařízení nebo způsobem údržby.</w:t>
      </w:r>
    </w:p>
    <w:p>
      <w:pPr>
        <w:pStyle w:val="Normal"/>
        <w:widowControl/>
        <w:spacing w:lineRule="auto" w:line="360"/>
        <w:ind w:firstLine="709"/>
        <w:jc w:val="both"/>
        <w:rPr/>
      </w:pPr>
      <w:r>
        <w:rPr/>
        <w:t>Tyto podoby nejsou seřazeny do jednoduchého žebříčku, který by dovolil ohodnotit celou firmu jedním stupněm. Organizace může mít výborně ověřený report a současně slabé propojení s rozhodováním. Jiná může dlouhodobě snižovat spotřebu z ekonomických důvodů, i když její dokumenty používají jen minimum ESG terminologie. Klasifikace se proto vztahuje ke konkrétnímu tvrzení, nikoli k údajné „vyspělosti“ celého podniku.</w:t>
      </w:r>
    </w:p>
    <w:p>
      <w:pPr>
        <w:pStyle w:val="Normal"/>
        <w:widowControl/>
        <w:spacing w:lineRule="auto" w:line="360"/>
        <w:ind w:firstLine="709"/>
        <w:jc w:val="both"/>
        <w:rPr/>
      </w:pPr>
      <w:r>
        <w:rPr/>
        <w:t>Ani jasná rozhodovací vazba neříká, že zvolené rozhodnutí je dostatečně ambiciózní nebo že přinese očekávaný dopad. Dokládá však podstatnou věc: informace má v organizaci místo, kde může něco změnit. To je hranice, kterou samotný seznam aktivit, cílů nebo výborů překročit nemusí.</w:t>
      </w:r>
    </w:p>
    <w:p>
      <w:pPr>
        <w:pStyle w:val="Heading2"/>
        <w:keepNext w:val="true"/>
        <w:widowControl/>
        <w:ind w:hanging="0"/>
        <w:rPr/>
      </w:pPr>
      <w:bookmarkStart w:id="14" w:name="__RefHeading___Toc2032_516823210"/>
      <w:bookmarkEnd w:id="14"/>
      <w:r>
        <w:rPr/>
        <w:t>1.7 ESG a podniková výkonnost</w:t>
      </w:r>
    </w:p>
    <w:p>
      <w:pPr>
        <w:pStyle w:val="Normal"/>
        <w:widowControl/>
        <w:spacing w:lineRule="auto" w:line="360"/>
        <w:ind w:firstLine="709"/>
        <w:jc w:val="both"/>
        <w:rPr/>
      </w:pPr>
      <w:r>
        <w:rPr/>
        <w:t>Vztah mezi ESG a finanční výkonností bývá v manažerské komunikaci shrnován větou, že „udržitelnost se vyplácí“. Akademická literatura je opatrnější. Friede, Busch a Bassen (2015) spojili výsledky více než dvou tisíc empirických studií a zjistili převážně nezáporný vztah. Eccles et al. (2014) popsali rozdíly mezi skupinami podniků s odlišnými organizačními charakteristikami udržitelnosti. Khan et al. (2016) pak ukázali, že pro interpretaci výsledků je důležité, zda se podnik soustředí na materiální témata svého odvětví.</w:t>
      </w:r>
    </w:p>
    <w:p>
      <w:pPr>
        <w:pStyle w:val="Normal"/>
        <w:widowControl/>
        <w:spacing w:lineRule="auto" w:line="360"/>
        <w:ind w:firstLine="709"/>
        <w:jc w:val="both"/>
        <w:rPr/>
      </w:pPr>
      <w:r>
        <w:rPr/>
        <w:t>Z těchto prací ale nelze odvodit univerzální kauzální pravidlo. Gillan et al. (2021) upozorňují, že výzkumy používají různá vymezení ESG, ratingy, časové horizonty i vzorky a potýkají se s endogenitou. Výkonnější podnik může mít jednoduše více zdrojů na sběr dat, lepší governance i rozsáhlejší zveřejnění. Stejná organizační kvalita může současně podporovat finanční i nefinanční výsledky, takže není snadné oddělit směr působení.</w:t>
      </w:r>
    </w:p>
    <w:p>
      <w:pPr>
        <w:pStyle w:val="Normal"/>
        <w:widowControl/>
        <w:spacing w:lineRule="auto" w:line="360"/>
        <w:ind w:firstLine="709"/>
        <w:jc w:val="both"/>
        <w:rPr/>
      </w:pPr>
      <w:r>
        <w:rPr/>
        <w:t>Zvolený dokumentový design tuto kauzalitu netestuje. Když podnik uvádí úsporu energie, nižší náklady nebo obchodní příležitost, jde nejprve o firemní tvrzení. Jeho síla závisí na hranici, metodě, časové řadě a případném ověření. Proto rozlišuji pozorovaný provozní výsledek, manažerské vnímání přínosu, očekávaný budoucí efekt a širší dopad, jehož příčinu report zpravidla nedokáže izolovat.</w:t>
      </w:r>
    </w:p>
    <w:p>
      <w:pPr>
        <w:pStyle w:val="Normal"/>
        <w:widowControl/>
        <w:spacing w:lineRule="auto" w:line="360"/>
        <w:ind w:firstLine="709"/>
        <w:jc w:val="both"/>
        <w:rPr/>
      </w:pPr>
      <w:r>
        <w:rPr/>
        <w:t>Toto rozlišení chrání analýzu před dvěma zkratkami. Počet aktivit se nemění automaticky v důkaz zisku a dobrý rating není sám o sobě potvrzením společenského přínosu. Stejně tak absence finančního výsledku v reportu neznamená, že žádný neexistuje; pouze jej z dostupného dokumentu nelze doložit.</w:t>
      </w:r>
    </w:p>
    <w:p>
      <w:pPr>
        <w:pStyle w:val="Heading2"/>
        <w:keepNext w:val="true"/>
        <w:widowControl/>
        <w:ind w:hanging="0"/>
        <w:rPr/>
      </w:pPr>
      <w:bookmarkStart w:id="15" w:name="__RefHeading___Toc2034_516823210"/>
      <w:bookmarkEnd w:id="15"/>
      <w:r>
        <w:rPr/>
        <w:t>1.8 Ratingy a problém agregace</w:t>
      </w:r>
    </w:p>
    <w:p>
      <w:pPr>
        <w:pStyle w:val="Normal"/>
        <w:widowControl/>
        <w:spacing w:lineRule="auto" w:line="360"/>
        <w:ind w:firstLine="709"/>
        <w:jc w:val="both"/>
        <w:rPr/>
      </w:pPr>
      <w:r>
        <w:rPr/>
        <w:t>Rating má velkou praktickou výhodu: složitý soubor údajů převádí na číslo nebo kategorii, kterou lze rychle porovnat. Právě tato jednoduchost je zároveň jeho slabinou. Berg, Kölbel a Rigobon (2022) ukazují, že poskytovatelé ESG ratingů se rozcházejí v tom, jaká témata zahrnou, jak je měří a jakou jim dají váhu. Jedna firma tak může dostat výrazně odlišná hodnocení, i když se její reálná činnost mezitím nezměnila.</w:t>
      </w:r>
    </w:p>
    <w:p>
      <w:pPr>
        <w:pStyle w:val="Normal"/>
        <w:widowControl/>
        <w:spacing w:lineRule="auto" w:line="360"/>
        <w:ind w:firstLine="709"/>
        <w:jc w:val="both"/>
        <w:rPr/>
      </w:pPr>
      <w:r>
        <w:rPr/>
        <w:t>Rozdíl není jen technický šum. Každý rating v sobě obsahuje rozhodnutí o tom, co je důležité. Pokud jeden poskytovatel více váží zveřejnění a jiný skutečný výkon, nevytvářejí dvě nedokonalá měření téže vlastnosti, ale částečně měří něco jiného. Drempetic, Klein a Zwergel (2020) navíc upozorňují na vztah mezi velikostí podniku a dosaženým ESG skóre. Velké organizace mají více lidí, dat i kapacity odpovídat na dotazníky, což může zvýhodnit dokumentovanost před samotnou praxí.</w:t>
      </w:r>
    </w:p>
    <w:p>
      <w:pPr>
        <w:pStyle w:val="Normal"/>
        <w:widowControl/>
        <w:spacing w:lineRule="auto" w:line="360"/>
        <w:ind w:firstLine="709"/>
        <w:jc w:val="both"/>
        <w:rPr/>
      </w:pPr>
      <w:r>
        <w:rPr/>
        <w:t>Tento problém se týká i analyzovaného korpusu, který tvoří výhradně velké podniky. Jejich reportovací infrastruktura je nadstandardní už z povahy výběru. Vysoký rating může být důležitým signálem pro investory nebo interním KPI managementu, nelze jej však použít jako náhradu za čtení konkrétního mechanismu. V analýze mě zajímá, zda rating vyvolal doplnění dat, ovlivnil odměnu nebo sloužil jako benchmark. Samotná hodnota skóre neprokazuje změnu investice, produktu ani dopadu.</w:t>
      </w:r>
    </w:p>
    <w:p>
      <w:pPr>
        <w:pStyle w:val="Heading2"/>
        <w:keepNext w:val="true"/>
        <w:widowControl/>
        <w:ind w:hanging="0"/>
        <w:rPr/>
      </w:pPr>
      <w:bookmarkStart w:id="16" w:name="__RefHeading___Toc2036_516823210"/>
      <w:bookmarkEnd w:id="16"/>
      <w:r>
        <w:rPr/>
        <w:t>1.9 Povinný reporting jako možný impuls organizační změny</w:t>
      </w:r>
    </w:p>
    <w:p>
      <w:pPr>
        <w:pStyle w:val="Normal"/>
        <w:widowControl/>
        <w:spacing w:lineRule="auto" w:line="360"/>
        <w:ind w:firstLine="709"/>
        <w:jc w:val="both"/>
        <w:rPr/>
      </w:pPr>
      <w:r>
        <w:rPr/>
        <w:t>Povinnost zveřejňovat nefinanční informace může na první pohled působit jako čistě komunikační zásah. Christensen, Hail a Leuz (2021) však ukazují širší ekonomické mechanismy. Standardizované zveřejnění může snížit informační asymetrii, usnadnit srovnání a vytvořit reputační nebo regulační tlak. Zároveň přináší náklady, problémy s měřením a riziko šablonovitých formulací. Účinek závisí na kvalitě standardu, vymahatelnosti, ověření i na tom, zda informace někdo skutečně používá.</w:t>
      </w:r>
    </w:p>
    <w:p>
      <w:pPr>
        <w:pStyle w:val="Normal"/>
        <w:widowControl/>
        <w:spacing w:lineRule="auto" w:line="360"/>
        <w:ind w:firstLine="709"/>
        <w:jc w:val="both"/>
        <w:rPr/>
      </w:pPr>
      <w:r>
        <w:rPr/>
        <w:t>Hahn a Kühnen (2013) ve své rešerši připomínají, že rozsah a kvalitu reportingu ovlivňují velikost, sektor, viditelnost a institucionální prostředí. Proto by bylo zavádějící porovnávat energetickou skupinu, banku, telekomunikační společnost a výrobce automobilů jen podle počtu environmentálních ukazatelů. Každý z těchto podniků má jinou strukturu dopadů a jiný způsob, jak se informace mohou dostat do řízení.</w:t>
      </w:r>
    </w:p>
    <w:p>
      <w:pPr>
        <w:pStyle w:val="Normal"/>
        <w:widowControl/>
        <w:spacing w:lineRule="auto" w:line="360"/>
        <w:ind w:firstLine="709"/>
        <w:jc w:val="both"/>
        <w:rPr/>
      </w:pPr>
      <w:r>
        <w:rPr/>
        <w:t>Povinný report může změnit i vnitřní fungování. Když organizace musí doložit datový bod, někdo dostane odpovědnost za jeho definici, sběr a kontrolu. Posouzení dvojí materiality může přivést ke společnému jednání útvary, které předtím pracovaly odděleně. Externí ujištění zesílí požadavek na auditní stopu. Takové vedlejší účinky regulace mohou vytvořit užitečnou infrastrukturu.</w:t>
      </w:r>
    </w:p>
    <w:p>
      <w:pPr>
        <w:pStyle w:val="Normal"/>
        <w:widowControl/>
        <w:spacing w:lineRule="auto" w:line="360"/>
        <w:ind w:firstLine="709"/>
        <w:jc w:val="both"/>
        <w:rPr/>
      </w:pPr>
      <w:r>
        <w:rPr/>
        <w:t>Není to však automatické. Stejné požadavky lze obsloužit paralelní reportingovou vrstvou, která každoročně sesbírá informace, aniž významně zasáhne do rozpočtu, rizikových limitů nebo produktového řízení. Z veřejného dokumentu proto nelze předpokládat organizační změnu jen proto, že má správně uspořádané kapitoly. Je nutné hledat, zda nová informační infrastruktura překročila hranici zveřejnění.</w:t>
      </w:r>
    </w:p>
    <w:p>
      <w:pPr>
        <w:pStyle w:val="Heading2"/>
        <w:keepNext w:val="true"/>
        <w:widowControl/>
        <w:ind w:hanging="0"/>
        <w:rPr/>
      </w:pPr>
      <w:bookmarkStart w:id="17" w:name="__RefHeading___Toc2038_516823210"/>
      <w:bookmarkEnd w:id="17"/>
      <w:r>
        <w:rPr/>
        <w:t>1.10 Kvalita zveřejnění: více dat ještě neznamená více informace</w:t>
      </w:r>
    </w:p>
    <w:p>
      <w:pPr>
        <w:pStyle w:val="Normal"/>
        <w:widowControl/>
        <w:spacing w:lineRule="auto" w:line="360"/>
        <w:ind w:firstLine="709"/>
        <w:jc w:val="both"/>
        <w:rPr/>
      </w:pPr>
      <w:r>
        <w:rPr/>
        <w:t>Michelon, Pilonato a Ricceri (2015) rozlišují obsah, způsob prezentace a manažerskou orientaci zveřejnění. Jejich závěry zpochybňují jednoduchý předpoklad, že samostatná zpráva, použití GRI nebo externí assurance automaticky zvyšují kvalitu. Stejný nástroj může podpořit substantivní odpovědnost, ale také jen dodat pozitivnímu sdělení formálně důvěryhodnou podobu.</w:t>
      </w:r>
    </w:p>
    <w:p>
      <w:pPr>
        <w:pStyle w:val="Normal"/>
        <w:widowControl/>
        <w:spacing w:lineRule="auto" w:line="360"/>
        <w:ind w:firstLine="709"/>
        <w:jc w:val="both"/>
        <w:rPr/>
      </w:pPr>
      <w:r>
        <w:rPr/>
        <w:t>Boiral (2013) ukazuje podobný problém na vysoce hodnocených GRI reportech. Organizace v nich často vytvářejí idealizovaný obraz a upozadí konflikty, negativní události nebo zkušenost stakeholderů, která se do oficiálního příběhu nehodí. Pro posouzení kvality proto nestačí sečíst, kolik témat zpráva pokrývá. Důležitá je i možnost pochopit nepříznivý trend, změnu hranice nebo nevyřešený dopad.</w:t>
      </w:r>
    </w:p>
    <w:p>
      <w:pPr>
        <w:pStyle w:val="Normal"/>
        <w:widowControl/>
        <w:spacing w:lineRule="auto" w:line="360"/>
        <w:ind w:firstLine="709"/>
        <w:jc w:val="both"/>
        <w:rPr/>
      </w:pPr>
      <w:r>
        <w:rPr/>
        <w:t>Negativní údaj ovšem nemá jednoznačný význam. Zhoršení ukazatele může souviset s horším výkonem, ale také s akvizicí, rozšířením reportovací hranice nebo přesnější metodou. Restatement může poškodit zdánlivou časovou řadu a současně zvýšit její věrohodnost. Zrušený cíl může být oportunistický ústup, případně korekce špatně navrženého KPI. Proto se v analýze nepříznivá informace čte vždy spolu s vysvětlením a omezením.</w:t>
      </w:r>
    </w:p>
    <w:p>
      <w:pPr>
        <w:pStyle w:val="Normal"/>
        <w:widowControl/>
        <w:spacing w:lineRule="auto" w:line="360"/>
        <w:ind w:firstLine="709"/>
        <w:jc w:val="both"/>
        <w:rPr/>
      </w:pPr>
      <w:r>
        <w:rPr/>
        <w:t>Za informačně silnější považuji tvrzení, u kterého lze zjistit, kdo za něj odpovídá, jaká je hranice metriky a podle jaké metody vznikla. Cíl má větší výpovědní hodnotu, pokud uvádí výchozí stav, termín a vlastníka. Výsledek má být oddělen od aktivity i od širšího dopadu; metodická změna má být přiznána. A konečně, externí ujištění musí být čteno jen v rozsahu, který skutečně pokrývá. Teprve kombinace těchto znaků umožňuje posoudit, co zpráva opravdu nabízí, nikoli pouze kolik stran má.</w:t>
      </w:r>
    </w:p>
    <w:p>
      <w:pPr>
        <w:pStyle w:val="Heading2"/>
        <w:keepNext w:val="true"/>
        <w:widowControl/>
        <w:ind w:hanging="0"/>
        <w:rPr/>
      </w:pPr>
      <w:bookmarkStart w:id="18" w:name="__RefHeading___Toc2040_516823210"/>
      <w:bookmarkEnd w:id="18"/>
      <w:r>
        <w:rPr/>
        <w:t>1.11 Assurance a hranice ověření</w:t>
      </w:r>
    </w:p>
    <w:p>
      <w:pPr>
        <w:pStyle w:val="Normal"/>
        <w:widowControl/>
        <w:spacing w:lineRule="auto" w:line="360"/>
        <w:ind w:firstLine="709"/>
        <w:jc w:val="both"/>
        <w:rPr/>
      </w:pPr>
      <w:r>
        <w:rPr/>
        <w:t>Externí ujištění je důležitou součástí důvěryhodnosti, ale slovo „ověřeno“ bývá vykládáno příliš široce. Omezené ujištění používá menší rozsah postupů a poskytuje nižší míru jistoty než ujištění přiměřené. Ověřovatel může posoudit, zda vykázané informace neobsahují významnou nesprávnost a zda byl popsaný proces v souladu s příslušným rámcem, aniž hodnotí účinnost strategie nebo přiměřenost samotného cíle.</w:t>
      </w:r>
    </w:p>
    <w:p>
      <w:pPr>
        <w:pStyle w:val="Normal"/>
        <w:widowControl/>
        <w:spacing w:lineRule="auto" w:line="360"/>
        <w:ind w:firstLine="709"/>
        <w:jc w:val="both"/>
        <w:rPr/>
      </w:pPr>
      <w:r>
        <w:rPr/>
        <w:t>Proto se u každého odkazu na assurance ptám na čtyři věci. Je konkrétní metrika součástí rozsahu? Jaká úroveň ujištění byla použita? Ověřoval se výpočet, popis procesu, nebo skutečný výsledek? A nepřekračuje následná interpretace závěr, který praktik vydal?</w:t>
      </w:r>
    </w:p>
    <w:p>
      <w:pPr>
        <w:pStyle w:val="Normal"/>
        <w:widowControl/>
        <w:spacing w:lineRule="auto" w:line="360"/>
        <w:ind w:firstLine="709"/>
        <w:jc w:val="both"/>
        <w:rPr/>
      </w:pPr>
      <w:r>
        <w:rPr/>
        <w:t>Rozdíl je dobře vidět na financovaných emisích. Přesně vymezená metodika může projít silným nezávislým ověřením, což významně podporuje spolehlivost výpočtu. Stále však neprokazuje, že se úvěrové portfolio dekarbonizuje. Stejně tak ověření popisu přechodového plánu neříká, že budou budoucí investice provedeny včas a povedou k očekávanému výsledku.</w:t>
      </w:r>
    </w:p>
    <w:p>
      <w:pPr>
        <w:pStyle w:val="Normal"/>
        <w:widowControl/>
        <w:spacing w:lineRule="auto" w:line="360"/>
        <w:ind w:firstLine="709"/>
        <w:jc w:val="both"/>
        <w:rPr/>
      </w:pPr>
      <w:r>
        <w:rPr/>
        <w:t>Z toho plyne restriktivní pravidlo: assurance se váže ke konkrétnímu tvrzení, nikoli k celé firmě. Přítomnost zprávy o ujištění nepovyšuje automaticky všechny výroky na nejvyšší evidenční stupeň a neměla by nad dokumentem vytvářet halo efekt.</w:t>
      </w:r>
    </w:p>
    <w:p>
      <w:pPr>
        <w:pStyle w:val="Heading2"/>
        <w:keepNext w:val="true"/>
        <w:widowControl/>
        <w:ind w:hanging="0"/>
        <w:rPr/>
      </w:pPr>
      <w:bookmarkStart w:id="19" w:name="__RefHeading___Toc2042_516823210"/>
      <w:bookmarkEnd w:id="19"/>
      <w:r>
        <w:rPr/>
        <w:t>1.12 Dokument jako empirický zdroj</w:t>
      </w:r>
    </w:p>
    <w:p>
      <w:pPr>
        <w:pStyle w:val="Normal"/>
        <w:widowControl/>
        <w:spacing w:lineRule="auto" w:line="360"/>
        <w:ind w:firstLine="709"/>
        <w:jc w:val="both"/>
        <w:rPr/>
      </w:pPr>
      <w:r>
        <w:rPr/>
        <w:t>Bowen (2009) popisuje dokumentovou analýzu jako systematické posuzování tištěných i elektronických dokumentů. Pro tento výzkum má několik praktických výhod. Zdroje jsou stabilní, lze se k nim opakovaně vracet a jejich obsah se nemění podle přítomnosti výzkumníka. Současně zachycují oficiální procesy, role a metriky, které by v rozhovoru mohly být podány méně přesně.</w:t>
      </w:r>
    </w:p>
    <w:p>
      <w:pPr>
        <w:pStyle w:val="Normal"/>
        <w:widowControl/>
        <w:spacing w:lineRule="auto" w:line="360"/>
        <w:ind w:firstLine="709"/>
        <w:jc w:val="both"/>
        <w:rPr/>
      </w:pPr>
      <w:r>
        <w:rPr/>
        <w:t>Cena za tuto stabilitu je selektivita. Firemní zpráva nevznikla kvůli výzkumné otázce, ale pro regulátory, investory, zákazníky a další publika. Organizace rozhodla, co zahrne, jak stanoví hranici a jaký příběh z údajů vystaví. Dokument proto není neutrálním oknem do podniku; je jedním z jeho veřejných výstupů.</w:t>
      </w:r>
    </w:p>
    <w:p>
      <w:pPr>
        <w:pStyle w:val="Normal"/>
        <w:widowControl/>
        <w:spacing w:lineRule="auto" w:line="360"/>
        <w:ind w:firstLine="709"/>
        <w:jc w:val="both"/>
        <w:rPr/>
      </w:pPr>
      <w:r>
        <w:rPr/>
        <w:t>Hsieh a Shannon (2005) rozlišují konvenční, řízenou a sumativní obsahovou analýzu. Zde použitý řízený přístup začíná teoretickými kategoriemi, což usnadňuje srovnání, ale přináší riziko, že analytik uvidí jen očekávané jevy. Proto byly ukládány negativní případy, připouštěny nové kódy a u každého výsledkového tématu hledán alternativní výklad nebo hranice.</w:t>
      </w:r>
    </w:p>
    <w:p>
      <w:pPr>
        <w:pStyle w:val="Normal"/>
        <w:widowControl/>
        <w:spacing w:lineRule="auto" w:line="360"/>
        <w:ind w:firstLine="709"/>
        <w:jc w:val="both"/>
        <w:rPr/>
      </w:pPr>
      <w:r>
        <w:rPr/>
        <w:t>Schreier (2012) zdůrazňuje význam kódovacího rámce, segmentace a zkušebního kódování. U firemních reportů je obzvlášť důležité odlišit jednotku kódování od kontextové jednotky. Jediné číslo může v tabulce vypadat jednoznačně, jeho význam se však změní po přečtení poznámky o akvizici, přepočtu historických hodnot nebo omezeném rozsahu. Segment proto nebyl hodnocen bez okolního oddílu, metodické poznámky a případného assurance reportu.</w:t>
      </w:r>
    </w:p>
    <w:p>
      <w:pPr>
        <w:pStyle w:val="Heading2"/>
        <w:keepNext w:val="true"/>
        <w:widowControl/>
        <w:ind w:hanging="0"/>
        <w:rPr/>
      </w:pPr>
      <w:bookmarkStart w:id="20" w:name="__RefHeading___Toc2044_516823210"/>
      <w:bookmarkEnd w:id="20"/>
      <w:r>
        <w:rPr/>
        <w:t>1.13 Pracovní model zveřejněné implementace</w:t>
      </w:r>
    </w:p>
    <w:p>
      <w:pPr>
        <w:pStyle w:val="Normal"/>
        <w:widowControl/>
        <w:spacing w:lineRule="auto" w:line="360"/>
        <w:ind w:firstLine="709"/>
        <w:jc w:val="both"/>
        <w:rPr/>
      </w:pPr>
      <w:r>
        <w:rPr/>
        <w:t>Z uvedené literatury vychází pracovní model, který propojuje hlavní kroky analýzy:</w:t>
      </w:r>
    </w:p>
    <w:p>
      <w:pPr>
        <w:pStyle w:val="BlockQuote"/>
        <w:rPr/>
      </w:pPr>
      <w:r>
        <w:rPr>
          <w:b/>
        </w:rPr>
        <w:t>tlak stakeholderů a institucí → vymezení materiality → přiřazení odpovědnosti → proces a kontrola → rozhodovací vazba → metrika a výsledek → zveřejnění a ověření → zpětná vazba</w:t>
      </w:r>
    </w:p>
    <w:p>
      <w:pPr>
        <w:pStyle w:val="Normal"/>
        <w:widowControl/>
        <w:spacing w:lineRule="auto" w:line="360"/>
        <w:ind w:firstLine="709"/>
        <w:jc w:val="both"/>
        <w:rPr/>
      </w:pPr>
      <w:r>
        <w:rPr/>
        <w:t>Šipky nevyjadřují pevnou kauzální posloupnost. Provozní úspora může vzniknout dávno předtím, než dostane ESG označení. Externí tlak může působit přímo přes smlouvu nebo úvěrovou podmínku a obejít formální strategii. Zpětná vazba zase může změnit původní materialitu, cíl i způsob zveřejnění. Model slouží jako sada otázek, nikoli jako tvrzení, že všechny podniky procházejí stejnou cestou.</w:t>
      </w:r>
    </w:p>
    <w:p>
      <w:pPr>
        <w:pStyle w:val="Normal"/>
        <w:widowControl/>
        <w:spacing w:lineRule="auto" w:line="360"/>
        <w:ind w:firstLine="709"/>
        <w:jc w:val="both"/>
        <w:rPr/>
      </w:pPr>
      <w:r>
        <w:rPr/>
        <w:t>Pro hodnocení jednotlivých segmentů používám škálu E0–E4:</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Třída</w:t>
            </w:r>
          </w:p>
        </w:tc>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Charakter důkazu</w:t>
            </w:r>
          </w:p>
        </w:tc>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Rozhodující otázka</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E0</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deklarace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Je uveden pouze závazek nebo hodnota?</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E1</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aktivita</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Je popsáno konkrétní opatření nebo výstup?</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E2</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řízený výsledek</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Existuje cíl, vlastník, proces, metoda nebo sledovaný vývoj?</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E3</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rozhodovací vazba</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Může informace změnit zdroje, riziko, produkt, dodavatele nebo odměnu?</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E4</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externě podpořený výsledek</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Je konkrétní výsledek jasně vymezen a silně nezávisle ověřen?</w:t>
            </w:r>
          </w:p>
        </w:tc>
      </w:tr>
    </w:tbl>
    <w:p>
      <w:pPr>
        <w:pStyle w:val="Normal"/>
        <w:spacing w:before="0" w:after="40"/>
        <w:rPr/>
      </w:pPr>
      <w:r>
        <w:rPr/>
      </w:r>
    </w:p>
    <w:p>
      <w:pPr>
        <w:pStyle w:val="Normal"/>
        <w:widowControl/>
        <w:spacing w:lineRule="auto" w:line="360"/>
        <w:ind w:firstLine="709"/>
        <w:jc w:val="both"/>
        <w:rPr/>
      </w:pPr>
      <w:r>
        <w:rPr/>
        <w:t>Nejvyšší třída je záměrně výjimečná a vztahuje se jen k přesně vymezenému výsledku. Stejně důležité je, že E3 a E4 zachycují dvě různé vlastnosti. E3 ukazuje napojení na rozhodování, zatímco E4 sílu nezávislé podpory konkrétního výsledku. Jedno nemusí automaticky obsahovat druhé.</w:t>
      </w:r>
    </w:p>
    <w:p>
      <w:pPr>
        <w:pStyle w:val="Heading2"/>
        <w:keepNext w:val="true"/>
        <w:widowControl/>
        <w:ind w:hanging="0"/>
        <w:rPr/>
      </w:pPr>
      <w:bookmarkStart w:id="21" w:name="__RefHeading___Toc2046_516823210"/>
      <w:bookmarkEnd w:id="21"/>
      <w:r>
        <w:rPr/>
        <w:t>1.14 Shrnutí teoretické kapitoly</w:t>
      </w:r>
    </w:p>
    <w:p>
      <w:pPr>
        <w:pStyle w:val="Normal"/>
        <w:widowControl/>
        <w:spacing w:lineRule="auto" w:line="360"/>
        <w:ind w:firstLine="709"/>
        <w:jc w:val="both"/>
        <w:rPr/>
      </w:pPr>
      <w:r>
        <w:rPr/>
        <w:t>Teoretická část postupně posunula pozornost od obecného označení ESG k tomu, co lze z reportu skutečně vyčíst. Stakeholderová a institucionální perspektiva vysvětlují, proč podniky téma přijímají a proč jejich dokumenty začínají vypadat podobně. Teorie legitimity připomíná, že zveřejnění je zároveň informačním i strategickým jednáním. Materialita ukazuje, jak organizace vybírá priority; organizační literatura pak klade otázku, zda tyto priority získaly vlastníka, kontrolu a vazbu na rozhodnutí.</w:t>
      </w:r>
    </w:p>
    <w:p>
      <w:pPr>
        <w:pStyle w:val="Normal"/>
        <w:widowControl/>
        <w:spacing w:lineRule="auto" w:line="360"/>
        <w:ind w:firstLine="709"/>
        <w:jc w:val="both"/>
        <w:rPr/>
      </w:pPr>
      <w:r>
        <w:rPr/>
        <w:t>Zároveň se ukázalo, proč nelze kvalitu odvozovat z jednoduchých zástupných znaků. Rating agreguje rozdílné volby o rozsahu a vahách. Velký objem dat může odrážet reportovací kapacitu. Assurance podporuje pouze vymezené informace a samo neověřuje účinnost strategie. Ani negativní výsledek nemá bez znalosti hranice a metodiky jednoznačný význam.</w:t>
      </w:r>
    </w:p>
    <w:p>
      <w:pPr>
        <w:pStyle w:val="Normal"/>
        <w:widowControl/>
        <w:spacing w:lineRule="auto" w:line="360"/>
        <w:ind w:firstLine="709"/>
        <w:jc w:val="both"/>
        <w:rPr/>
      </w:pPr>
      <w:r>
        <w:rPr/>
        <w:t>Pro empirickou část je tedy klíčové sledovat konkrétní řetězec. Deklarace se mění ve formalizaci, když dostane vlastníka, proces, cíl a metriku. O manažerské integraci lze mluvit tehdy, když se informace propojí s kapitálem, rizikem, produktem, nákupem, odměnou nebo provozním pravidlem. Ani tento krok ještě nedokazuje konečný dopad, ale poskytuje podstatně silnější informaci než samotná existence strategie či výboru. Právě oddělení mechanismu, výsledku a dopadu umožňuje porovnat velmi rozdílné podniky bez předstírání, že je lze převést na jedno univerzální ESG skóre.</w:t>
      </w:r>
    </w:p>
    <w:p>
      <w:pPr>
        <w:pStyle w:val="Normal"/>
        <w:rPr/>
      </w:pPr>
      <w:r>
        <w:rPr/>
      </w:r>
      <w:r>
        <w:br w:type="page"/>
      </w:r>
    </w:p>
    <w:p>
      <w:pPr>
        <w:pStyle w:val="Heading1"/>
        <w:keepNext w:val="true"/>
        <w:widowControl/>
        <w:spacing w:before="0" w:after="180"/>
        <w:ind w:hanging="0"/>
        <w:rPr/>
      </w:pPr>
      <w:bookmarkStart w:id="22" w:name="__RefHeading___Toc2048_516823210"/>
      <w:bookmarkEnd w:id="22"/>
      <w:r>
        <w:rPr/>
        <w:t>2 Regulatorní a reportovací kontext</w:t>
      </w:r>
    </w:p>
    <w:p>
      <w:pPr>
        <w:pStyle w:val="Heading2"/>
        <w:keepNext w:val="true"/>
        <w:widowControl/>
        <w:ind w:hanging="0"/>
        <w:rPr/>
      </w:pPr>
      <w:bookmarkStart w:id="23" w:name="__RefHeading___Toc2050_516823210"/>
      <w:bookmarkEnd w:id="23"/>
      <w:r>
        <w:rPr/>
        <w:t>2.1 Proč je regulace součástí analýzy</w:t>
      </w:r>
    </w:p>
    <w:p>
      <w:pPr>
        <w:pStyle w:val="Normal"/>
        <w:widowControl/>
        <w:spacing w:lineRule="auto" w:line="360"/>
        <w:ind w:firstLine="709"/>
        <w:jc w:val="both"/>
        <w:rPr/>
      </w:pPr>
      <w:r>
        <w:rPr/>
        <w:t>Právní rámec zde nevystupuje jako samostatné téma právního rozboru. Je důležitý proto, že podstatně ovlivňuje podobu dokumentů, které tvoří empirický korpus. Když regulace stanoví, jaké informace má podnik zveřejnit, mění nejen výsledný report. Často vyvolá i potřebu určit vlastníky dat, sjednotit definice, zavést kontrolu a propojit dosud oddělené útvary. Stejný tlak však může vést i k opačnému výsledku: vznikne dobře organizovaná reportingová vrstva, která splní formální požadavky, ale do běžného rozhodování zasáhne jen omezeně.</w:t>
      </w:r>
    </w:p>
    <w:p>
      <w:pPr>
        <w:pStyle w:val="Normal"/>
        <w:widowControl/>
        <w:spacing w:lineRule="auto" w:line="360"/>
        <w:ind w:firstLine="709"/>
        <w:jc w:val="both"/>
        <w:rPr/>
      </w:pPr>
      <w:r>
        <w:rPr/>
        <w:t>Pro interpretaci dokumentů za rok 2024 je nutné udržet tři časové roviny oddělené. První představuje rámec, podle něhož podniky informace připravovaly. Druhá zachycuje konkrétní způsob, jakým jej jednotlivé organizace aplikovaly, případně jak se na něj teprve připravovaly. Třetí tvoří pozdější změny evropského a českého práva. Ty mohou ovlivnit další reportovací období, nemění však zpětně obsah zprávy, která už byla sestavena a zveřejněna.</w:t>
      </w:r>
    </w:p>
    <w:p>
      <w:pPr>
        <w:pStyle w:val="Normal"/>
        <w:widowControl/>
        <w:spacing w:lineRule="auto" w:line="360"/>
        <w:ind w:firstLine="709"/>
        <w:jc w:val="both"/>
        <w:rPr/>
      </w:pPr>
      <w:r>
        <w:rPr/>
        <w:t>Práce proto neprovádí test právního souladu. Neověřuje, zda konkrétní podnik správně určil svou působnost, zveřejnil každý povinný datový bod nebo přesně splnil všechny požadavky na ujištění. Regulatorní kapitola má jinou úlohu: vysvětlit, proč se v reportech opakují určité kategorie a co z jejich přítomnosti lze — a nelze — analyticky vyvodit.</w:t>
      </w:r>
    </w:p>
    <w:p>
      <w:pPr>
        <w:pStyle w:val="Heading2"/>
        <w:keepNext w:val="true"/>
        <w:widowControl/>
        <w:ind w:hanging="0"/>
        <w:rPr/>
      </w:pPr>
      <w:bookmarkStart w:id="24" w:name="__RefHeading___Toc2052_516823210"/>
      <w:bookmarkEnd w:id="24"/>
      <w:r>
        <w:rPr/>
        <w:t>2.2 CSRD a změna logiky podávání zpráv</w:t>
      </w:r>
    </w:p>
    <w:p>
      <w:pPr>
        <w:pStyle w:val="Normal"/>
        <w:widowControl/>
        <w:spacing w:lineRule="auto" w:line="360"/>
        <w:ind w:firstLine="709"/>
        <w:jc w:val="both"/>
        <w:rPr/>
      </w:pPr>
      <w:r>
        <w:rPr/>
        <w:t>Směrnice Evropského parlamentu a Rady (EU) 2022/2464 o podávání zpráv podniků o udržitelnosti, běžně označovaná jako CSRD, změnila zejména účetní směrnici 2013/34/EU. Jejím cílem bylo rozšířit a standardizovat zveřejňované informace o udržitelnosti a přiblížit jejich institucionální postavení finančnímu výkaznictví. Informace byly začleněny do zprávy vedení a směrnice s nimi spojila i povinné externí ujištění (Evropský parlament a Rada EU, 2022).</w:t>
      </w:r>
    </w:p>
    <w:p>
      <w:pPr>
        <w:pStyle w:val="Normal"/>
        <w:widowControl/>
        <w:spacing w:lineRule="auto" w:line="360"/>
        <w:ind w:firstLine="709"/>
        <w:jc w:val="both"/>
        <w:rPr/>
      </w:pPr>
      <w:r>
        <w:rPr/>
        <w:t>Pro tuto práci jsou podstatné čtyři důsledky.</w:t>
      </w:r>
    </w:p>
    <w:p>
      <w:pPr>
        <w:pStyle w:val="Normal"/>
        <w:widowControl/>
        <w:spacing w:lineRule="auto" w:line="360"/>
        <w:ind w:firstLine="709"/>
        <w:jc w:val="both"/>
        <w:rPr/>
      </w:pPr>
      <w:r>
        <w:rPr/>
        <w:t>První se týká samotného směru informace. Podnik má vysvětlit nejen to, jak udržitelnostní otázky ovlivňují jeho vývoj, výkonnost a postavení, ale také jak jeho činnost působí na lidi a životní prostředí. Tím vzniká právní základ dvojí materiality. Obě perspektivy se mohou potkat v jednom tématu, přesto nejsou zaměnitelné: finanční riziko podniku a negativní dopad podniku představují dvě různé otázky.</w:t>
      </w:r>
    </w:p>
    <w:p>
      <w:pPr>
        <w:pStyle w:val="Normal"/>
        <w:widowControl/>
        <w:spacing w:lineRule="auto" w:line="360"/>
        <w:ind w:firstLine="709"/>
        <w:jc w:val="both"/>
        <w:rPr/>
      </w:pPr>
      <w:r>
        <w:rPr/>
        <w:t>Druhým důsledkem je rozsah požadovaného vysvětlení. Zpráva nemá být jen souborem výsledkových ukazatelů. Má popsat podnikatelský model a strategii, jejich odolnost, významné dopady, rizika a příležitosti, roli správních, řídicích a dozorčích orgánů, politiky, due diligence, opatření, zdroje, cíle i způsob sledování pokroku. Pro analýzu je to důležité, protože standard vytváří předpoklad sledovat celý řetězec od identifikovaného tématu až po metriku a odpovědnost.</w:t>
      </w:r>
    </w:p>
    <w:p>
      <w:pPr>
        <w:pStyle w:val="Normal"/>
        <w:widowControl/>
        <w:spacing w:lineRule="auto" w:line="360"/>
        <w:ind w:firstLine="709"/>
        <w:jc w:val="both"/>
        <w:rPr/>
      </w:pPr>
      <w:r>
        <w:rPr/>
        <w:t>Třetí změna rozšiřuje pozornost za hranice vlastní činnosti. Informace mají podle potřeby zahrnovat hodnotový řetězec. U banky může být nejvýznamnější klimatická stopa ve financovaném portfoliu, u automobilky při výrobě komponent a užívání vozidla, u telekomunikační firmy v dodavatelském řetězci elektroniky nebo provozu infrastruktury. Report omezený pouze na kanceláře a služební vozidla by proto mohl přesně měřit okrajovou část problému a minout tu podstatnou.</w:t>
      </w:r>
    </w:p>
    <w:p>
      <w:pPr>
        <w:pStyle w:val="Normal"/>
        <w:widowControl/>
        <w:spacing w:lineRule="auto" w:line="360"/>
        <w:ind w:firstLine="709"/>
        <w:jc w:val="both"/>
        <w:rPr/>
      </w:pPr>
      <w:r>
        <w:rPr/>
        <w:t>Čtvrtým důsledkem je požadavek na auditní stopu. Externí ujištění zvyšuje tlak na stabilní definice, doložitelné hranice, kontrolu zdrojových dat a určení odpovědnosti. Nesmí se však zaměňovat s hodnocením, zda je strategie dostatečně ambiciózní nebo zda skutečně povede k žádoucímu environmentálnímu či sociálnímu výsledku. Ověřovatel pracuje v rozsahu konkrétní zakázky a nad vymezenými informacemi.</w:t>
      </w:r>
    </w:p>
    <w:p>
      <w:pPr>
        <w:pStyle w:val="Normal"/>
        <w:widowControl/>
        <w:spacing w:lineRule="auto" w:line="360"/>
        <w:ind w:firstLine="709"/>
        <w:jc w:val="both"/>
        <w:rPr/>
      </w:pPr>
      <w:r>
        <w:rPr/>
        <w:t>CSRD tak pomáhá vysvětlit, proč mají reporty podobnou konstrukci. Governance schéma, popis dvojí materiality nebo tabulka cílů však samy o sobě nevznikají jako nezávislé důkazy hluboké integrace. Část podobnosti je přímým výsledkem společného regulatorního tlaku.</w:t>
      </w:r>
    </w:p>
    <w:p>
      <w:pPr>
        <w:pStyle w:val="Heading2"/>
        <w:keepNext w:val="true"/>
        <w:widowControl/>
        <w:ind w:hanging="0"/>
        <w:rPr/>
      </w:pPr>
      <w:bookmarkStart w:id="25" w:name="__RefHeading___Toc2054_516823210"/>
      <w:bookmarkEnd w:id="25"/>
      <w:r>
        <w:rPr/>
        <w:t>2.3 ESRS jako společná informační architektura</w:t>
      </w:r>
    </w:p>
    <w:p>
      <w:pPr>
        <w:pStyle w:val="Normal"/>
        <w:widowControl/>
        <w:spacing w:lineRule="auto" w:line="360"/>
        <w:ind w:firstLine="709"/>
        <w:jc w:val="both"/>
        <w:rPr/>
      </w:pPr>
      <w:r>
        <w:rPr/>
        <w:t>První soubor evropských standardů pro podávání zpráv o udržitelnosti byl přijat nařízením Komise v přenesené pravomoci (EU) 2023/2772 (Evropská komise, 2023). Standardy tvoří průřezové požadavky a tematické části věnované environmentálním, sociálním a governance otázkám.</w:t>
      </w:r>
    </w:p>
    <w:p>
      <w:pPr>
        <w:pStyle w:val="Normal"/>
        <w:widowControl/>
        <w:spacing w:lineRule="auto" w:line="360"/>
        <w:ind w:firstLine="709"/>
        <w:jc w:val="both"/>
        <w:rPr/>
      </w:pPr>
      <w:r>
        <w:rPr/>
        <w:t>ESRS 1 stanoví obecné principy, mezi nimi dvojí materialitu, práci s hodnotovým řetězcem, časové horizonty a kvalitativní vlastnosti informací. ESRS 2 požaduje obecná zveřejnění o správě, strategii, řízení dopadů, rizik a příležitostí a také o metrikách a cílech. Tematické standardy pak rozpracovávají například změnu klimatu, znečištění, vodu, biodiverzitu, oběhové hospodářství, vlastní pracovní sílu, pracovníky v hodnotovém řetězci, dotčené komunity, spotřebitele a obchodní jednání.</w:t>
      </w:r>
    </w:p>
    <w:p>
      <w:pPr>
        <w:pStyle w:val="Normal"/>
        <w:widowControl/>
        <w:spacing w:lineRule="auto" w:line="360"/>
        <w:ind w:firstLine="709"/>
        <w:jc w:val="both"/>
        <w:rPr/>
      </w:pPr>
      <w:r>
        <w:rPr/>
        <w:t>Pro analytické účely lze tuto strukturu zjednodušit do řetězce:</w:t>
      </w:r>
    </w:p>
    <w:p>
      <w:pPr>
        <w:pStyle w:val="BlockQuote"/>
        <w:rPr/>
      </w:pPr>
      <w:r>
        <w:rPr>
          <w:b/>
        </w:rPr>
        <w:t>governance – strategie – významné dopady, rizika a příležitosti – politiky – opatření a zdroje – cíle – metriky</w:t>
      </w:r>
    </w:p>
    <w:p>
      <w:pPr>
        <w:pStyle w:val="Normal"/>
        <w:widowControl/>
        <w:spacing w:lineRule="auto" w:line="360"/>
        <w:ind w:firstLine="709"/>
        <w:jc w:val="both"/>
        <w:rPr/>
      </w:pPr>
      <w:r>
        <w:rPr/>
        <w:t>Výhodou takového řetězce je, že zpřístupňuje mezery. Podnik může identifikovat důležité téma, ale neuvést politiku. Může popsat politiku bez zdrojů nebo konkrétního opatření. Cíl může postrádat výchozí hodnotu a metriku; metrika zase rozhodovací vazbu. Povinná architektura proto není potvrzením funkčnosti systému. Je spíše mapou, podle níž lze hledat, které články jsou přítomné a jak jsou mezi sebou propojené.</w:t>
      </w:r>
    </w:p>
    <w:p>
      <w:pPr>
        <w:pStyle w:val="Heading3"/>
        <w:keepNext w:val="true"/>
        <w:widowControl/>
        <w:ind w:hanging="0"/>
        <w:rPr/>
      </w:pPr>
      <w:bookmarkStart w:id="26" w:name="__RefHeading___Toc2056_516823210"/>
      <w:bookmarkEnd w:id="26"/>
      <w:r>
        <w:rPr/>
        <w:t>2.3.1 Dvojí materialita</w:t>
      </w:r>
    </w:p>
    <w:p>
      <w:pPr>
        <w:pStyle w:val="Normal"/>
        <w:widowControl/>
        <w:spacing w:lineRule="auto" w:line="360"/>
        <w:ind w:firstLine="709"/>
        <w:jc w:val="both"/>
        <w:rPr/>
      </w:pPr>
      <w:r>
        <w:rPr/>
        <w:t>Dvojí materialita určuje, které tematické informace mají být zveřejněny. Dopadová materialita sleduje skutečné a potenciální pozitivní i negativní působení podniku na lidi a životní prostředí. Finanční materialita se soustředí na rizika a příležitosti, u nichž lze důvodně očekávat vliv na finanční vývoj, výkonnost, postavení, peněžní toky, přístup k financování nebo cenu kapitálu.</w:t>
      </w:r>
    </w:p>
    <w:p>
      <w:pPr>
        <w:pStyle w:val="Normal"/>
        <w:widowControl/>
        <w:spacing w:lineRule="auto" w:line="360"/>
        <w:ind w:firstLine="709"/>
        <w:jc w:val="both"/>
        <w:rPr/>
      </w:pPr>
      <w:r>
        <w:rPr/>
        <w:t>V praxi se oba směry často protínají. Negativní dopad se může později změnit v právní, reputační nebo tržní riziko. Finanční příležitost může vzniknout díky nízkoemisnímu produktu. Přesto je nutné udržet pojmy oddělené. Investiční atraktivita určitého řešení ještě neprokazuje jeho pozitivní společenský dopad a existence negativního dopadu nemusí být podmíněna tím, zda jej trh už ocenil.</w:t>
      </w:r>
    </w:p>
    <w:p>
      <w:pPr>
        <w:pStyle w:val="Normal"/>
        <w:widowControl/>
        <w:spacing w:lineRule="auto" w:line="360"/>
        <w:ind w:firstLine="709"/>
        <w:jc w:val="both"/>
        <w:rPr/>
      </w:pPr>
      <w:r>
        <w:rPr/>
        <w:t>Samotná materialitní matice říká poměrně málo. Vyšší výpovědní hodnotu má popis, který ukazuje, odkud organizace čerpala informace, které stakeholdery nebo jejich zástupce zapojila, jak vymezila vlastní operace a hodnotový řetězec, jak pracovala se závažností, pravděpodobností a časovým horizontem a kdo výsledek schválil. Ještě důležitější je poslední krok: zda se z materialitního výsledku stala priorita s vlastníkem, cílem a zdroji.</w:t>
      </w:r>
    </w:p>
    <w:p>
      <w:pPr>
        <w:pStyle w:val="Normal"/>
        <w:widowControl/>
        <w:spacing w:lineRule="auto" w:line="360"/>
        <w:ind w:firstLine="709"/>
        <w:jc w:val="both"/>
        <w:rPr/>
      </w:pPr>
      <w:r>
        <w:rPr/>
        <w:t>Detailní proces může dokazovat vysokou míru formalizace. O manažerské integraci však přesvědčivěji vypovídá až vazba na strategii, kapitál, rizikové pravidlo, produkt nebo nákup. V této práci proto materialitu neposuzuji jen jako správně sestavený seznam, ale jako možný mechanismus, který přesměruje pozornost a zdroje.</w:t>
      </w:r>
    </w:p>
    <w:p>
      <w:pPr>
        <w:pStyle w:val="Heading3"/>
        <w:keepNext w:val="true"/>
        <w:widowControl/>
        <w:ind w:hanging="0"/>
        <w:rPr/>
      </w:pPr>
      <w:bookmarkStart w:id="27" w:name="__RefHeading___Toc2058_516823210"/>
      <w:bookmarkEnd w:id="27"/>
      <w:r>
        <w:rPr/>
        <w:t>2.3.2 Dopady, rizika a příležitosti</w:t>
      </w:r>
    </w:p>
    <w:p>
      <w:pPr>
        <w:pStyle w:val="Normal"/>
        <w:widowControl/>
        <w:spacing w:lineRule="auto" w:line="360"/>
        <w:ind w:firstLine="709"/>
        <w:jc w:val="both"/>
        <w:rPr/>
      </w:pPr>
      <w:r>
        <w:rPr/>
        <w:t>ESRS používají souhrnné označení IRO pro dopady, rizika a příležitosti. Toto spojení je praktické pro strukturu reportu, ale při interpretaci může svádět ke směšování. Dopad popisuje působení organizace na lidi nebo životní prostředí. Riziko a příležitost se vztahují k možné finanční či strategické konsekvenci pro podnik.</w:t>
      </w:r>
    </w:p>
    <w:p>
      <w:pPr>
        <w:pStyle w:val="Normal"/>
        <w:widowControl/>
        <w:spacing w:lineRule="auto" w:line="360"/>
        <w:ind w:firstLine="709"/>
        <w:jc w:val="both"/>
        <w:rPr/>
      </w:pPr>
      <w:r>
        <w:rPr/>
        <w:t>Jeden jev může mít všechny tři podoby. Emise výrobku představují environmentální dopad, zároveň mohou vytvářet regulatorní a tržní riziko a otevřít příležitost pro nízkoemisní produkt. Z toho však nelze odvodit, že každá investice do takového produktu má automaticky pozitivní čistý dopad. Podobně klimatické řízení úvěrového portfolia může chránit banku před ztrátou, aniž samo o sobě sníží financované emise.</w:t>
      </w:r>
    </w:p>
    <w:p>
      <w:pPr>
        <w:pStyle w:val="Normal"/>
        <w:widowControl/>
        <w:spacing w:lineRule="auto" w:line="360"/>
        <w:ind w:firstLine="709"/>
        <w:jc w:val="both"/>
        <w:rPr/>
      </w:pPr>
      <w:r>
        <w:rPr/>
        <w:t>V empirické části je proto vždy důležité zjistit, o které rovině podnik mluví. Firemní argument může legitimně propojit dopad, riziko a příležitost, ale analytická parafráze nesmí jednu kategorii vydávat za jinou.</w:t>
      </w:r>
    </w:p>
    <w:p>
      <w:pPr>
        <w:pStyle w:val="Heading3"/>
        <w:keepNext w:val="true"/>
        <w:widowControl/>
        <w:ind w:hanging="0"/>
        <w:rPr/>
      </w:pPr>
      <w:bookmarkStart w:id="28" w:name="__RefHeading___Toc2060_516823210"/>
      <w:bookmarkEnd w:id="28"/>
      <w:r>
        <w:rPr/>
        <w:t>2.3.3 Politiky, opatření, zdroje, cíle a metriky</w:t>
      </w:r>
    </w:p>
    <w:p>
      <w:pPr>
        <w:pStyle w:val="Normal"/>
        <w:widowControl/>
        <w:spacing w:lineRule="auto" w:line="360"/>
        <w:ind w:firstLine="709"/>
        <w:jc w:val="both"/>
        <w:rPr/>
      </w:pPr>
      <w:r>
        <w:rPr/>
        <w:t>Posloupnost politik, opatření, zdrojů, cílů a metrik nabízí jednoduchý způsob, jak posoudit úplnost řídicího mechanismu. Politika vyjadřuje pravidlo a záměr. Opatření ukazuje, co organizace skutečně dělá. Zdroje napovídají, zda je záměr podpořen kapacitou. Cíl vymezuje budoucí stav a metrika umožňuje sledovat, zda se k němu podnik přibližuje.</w:t>
      </w:r>
    </w:p>
    <w:p>
      <w:pPr>
        <w:pStyle w:val="Normal"/>
        <w:widowControl/>
        <w:spacing w:lineRule="auto" w:line="360"/>
        <w:ind w:firstLine="709"/>
        <w:jc w:val="both"/>
        <w:rPr/>
      </w:pPr>
      <w:r>
        <w:rPr/>
        <w:t>V reportech však řetězec často zůstane nedokončený. Počet proškolených osob je přesně změřitelný výstup, ale bez následné outcome metriky neříká, zda se změnilo chování. Cíl emisní intenzity může mít výchozí rok a termín, přesto nemusí ukázat vývoj absolutních emisí. Dodavatelský kodex stanoví pravidlo, ovšem bez kontroly, nápravného plánu nebo důsledku pro nákup ještě nedokládá jeho použití.</w:t>
      </w:r>
    </w:p>
    <w:p>
      <w:pPr>
        <w:pStyle w:val="Normal"/>
        <w:widowControl/>
        <w:spacing w:lineRule="auto" w:line="360"/>
        <w:ind w:firstLine="709"/>
        <w:jc w:val="both"/>
        <w:rPr/>
      </w:pPr>
      <w:r>
        <w:rPr/>
        <w:t>Proto se v analýze nepočítají jen přítomné položky. Sleduje se, zda mezi nimi existuje funkční vazba a jaký závěr taková vazba unese.</w:t>
      </w:r>
    </w:p>
    <w:p>
      <w:pPr>
        <w:pStyle w:val="Heading2"/>
        <w:keepNext w:val="true"/>
        <w:widowControl/>
        <w:ind w:hanging="0"/>
        <w:rPr/>
      </w:pPr>
      <w:bookmarkStart w:id="29" w:name="__RefHeading___Toc2062_516823210"/>
      <w:bookmarkEnd w:id="29"/>
      <w:r>
        <w:rPr/>
        <w:t>2.4 Zpráva o udržitelnosti a omezené ujištění</w:t>
      </w:r>
    </w:p>
    <w:p>
      <w:pPr>
        <w:pStyle w:val="Normal"/>
        <w:widowControl/>
        <w:spacing w:lineRule="auto" w:line="360"/>
        <w:ind w:firstLine="709"/>
        <w:jc w:val="both"/>
        <w:rPr/>
      </w:pPr>
      <w:r>
        <w:rPr/>
        <w:t>CSRD spojila zveřejňované informace s povinným ověřováním. Pro první fázi jde o omezené ujištění. Závěr je formulován negativně: na základě provedených postupů ověřovatel nezjistil skutečnost, která by jej vedla k závěru, že informace obsahují významnou nesprávnost. Oproti přiměřenému ujištění používanému ve finančním auditu je rozsah postupů menší a míra jistoty nižší.</w:t>
      </w:r>
    </w:p>
    <w:p>
      <w:pPr>
        <w:pStyle w:val="Normal"/>
        <w:widowControl/>
        <w:spacing w:lineRule="auto" w:line="360"/>
        <w:ind w:firstLine="709"/>
        <w:jc w:val="both"/>
        <w:rPr/>
      </w:pPr>
      <w:r>
        <w:rPr/>
        <w:t>Při čtení assurance reportu je třeba odlišit alespoň čtyři možné objekty. Prvním je správnost nebo úplnost konkrétní metriky, druhým soulad zveřejnění se standardem, třetím popis materialitního či kontrolního procesu a čtvrtým účinnost strategie nebo skutečný dopad. První tři mohou být podle podmínek zakázky ověřovány. Čtvrtý z ujištění zpravidla automaticky neplyne.</w:t>
      </w:r>
    </w:p>
    <w:p>
      <w:pPr>
        <w:pStyle w:val="Normal"/>
        <w:widowControl/>
        <w:spacing w:lineRule="auto" w:line="360"/>
        <w:ind w:firstLine="709"/>
        <w:jc w:val="both"/>
        <w:rPr/>
      </w:pPr>
      <w:r>
        <w:rPr/>
        <w:t>Pokud praktik ověřil výpočet emisí, získáváme silnější důvod věřit vymezené metodice a hodnotě. Neznamená to však, že podnik stanovil dostatečný cíl nebo že budou emise klesat. Ověření popisu dvojí materiality zase nepotvrzuje, že všichni stakeholdeři souhlasí s výsledným pořadím témat. Rozsah ujištění musí zůstat spojen s přesně tím tvrzením, kterého se týká.</w:t>
      </w:r>
    </w:p>
    <w:p>
      <w:pPr>
        <w:pStyle w:val="Normal"/>
        <w:widowControl/>
        <w:spacing w:lineRule="auto" w:line="360"/>
        <w:ind w:firstLine="709"/>
        <w:jc w:val="both"/>
        <w:rPr/>
      </w:pPr>
      <w:r>
        <w:rPr/>
        <w:t>Toto omezení je zabudováno i do škály E0–E4. Assurance není vlastností celé firmy a nemění každý výrok v reportu na E4. Silná třída může být přidělena pouze konkrétnímu výsledku, který je v daném rozsahu skutečně podpořen.</w:t>
      </w:r>
    </w:p>
    <w:p>
      <w:pPr>
        <w:pStyle w:val="Heading2"/>
        <w:keepNext w:val="true"/>
        <w:widowControl/>
        <w:ind w:hanging="0"/>
        <w:rPr/>
      </w:pPr>
      <w:bookmarkStart w:id="30" w:name="__RefHeading___Toc2064_516823210"/>
      <w:bookmarkEnd w:id="30"/>
      <w:r>
        <w:rPr/>
        <w:t>2.5 EU Taxonomie</w:t>
      </w:r>
    </w:p>
    <w:p>
      <w:pPr>
        <w:pStyle w:val="Normal"/>
        <w:widowControl/>
        <w:spacing w:lineRule="auto" w:line="360"/>
        <w:ind w:firstLine="709"/>
        <w:jc w:val="both"/>
        <w:rPr/>
      </w:pPr>
      <w:r>
        <w:rPr/>
        <w:t>Nařízení Evropského parlamentu a Rady (EU) 2020/852 vytvořilo klasifikační rámec environmentálně udržitelných ekonomických činností (Evropský parlament a Rada EU, 2020). První důležitý rozdíl vede mezi způsobilostí a sladěností. Činnost je taxonomicky způsobilá, pokud ji popisuje příslušný delegovaný akt. Teprve pro sladěnost musí podstatně přispívat alespoň k jednomu environmentálnímu cíli, významně nepoškozovat ostatní cíle, splnit minimální záruky a příslušná technická screeningová kritéria.</w:t>
      </w:r>
    </w:p>
    <w:p>
      <w:pPr>
        <w:pStyle w:val="Normal"/>
        <w:widowControl/>
        <w:spacing w:lineRule="auto" w:line="360"/>
        <w:ind w:firstLine="709"/>
        <w:jc w:val="both"/>
        <w:rPr/>
      </w:pPr>
      <w:r>
        <w:rPr/>
        <w:t>Nařízení Komise v přenesené pravomoci (EU) 2021/2178 stanoví obsah, podobu a metodiku zveřejnění podle článku 8 Taxonomie (Evropská komise, 2021). Nefinanční podniky vykazují podíly způsobilých a sladěných činností na obratu, kapitálových a provozních výdajích. Finanční podniky používají ukazatele přizpůsobené svému podnikatelskému modelu.</w:t>
      </w:r>
    </w:p>
    <w:p>
      <w:pPr>
        <w:pStyle w:val="Normal"/>
        <w:widowControl/>
        <w:spacing w:lineRule="auto" w:line="360"/>
        <w:ind w:firstLine="709"/>
        <w:jc w:val="both"/>
        <w:rPr/>
      </w:pPr>
      <w:r>
        <w:rPr/>
        <w:t>Taxonomie má v této práci dvě role. První je informační: umožňuje zjistit, zda je činnost vůbec zahrnuta do klasifikačního systému a zda splňuje stanovená kritéria. Druhá může být rozhodovací. Pokud podnik výslovně propojí vysoký podíl sladěného CapEx s investičním plánem, klasifikace už neslouží jen ke zveřejnění, ale stává se součástí kapitálové logiky.</w:t>
      </w:r>
    </w:p>
    <w:p>
      <w:pPr>
        <w:pStyle w:val="Normal"/>
        <w:widowControl/>
        <w:spacing w:lineRule="auto" w:line="360"/>
        <w:ind w:firstLine="709"/>
        <w:jc w:val="both"/>
        <w:rPr/>
      </w:pPr>
      <w:r>
        <w:rPr/>
        <w:t>Ani takový údaj však nelze proměnit v celkové ESG hodnocení. Vysoká způsobilost může být daná strukturou odvětví. Sladěný CapEx se týká vymezených environmentálních podmínek, nikoli automaticky sociálních a governance otázek. A plánovaný budoucí podíl není realizovaným dopadem. V empirické analýze je proto taxonomický ukazatel zařazen jako E3 pouze tam, kde dokument doloží jeho vztah k rozhodování.</w:t>
      </w:r>
    </w:p>
    <w:p>
      <w:pPr>
        <w:pStyle w:val="Heading2"/>
        <w:keepNext w:val="true"/>
        <w:widowControl/>
        <w:ind w:hanging="0"/>
        <w:rPr/>
      </w:pPr>
      <w:bookmarkStart w:id="31" w:name="__RefHeading___Toc2066_516823210"/>
      <w:bookmarkEnd w:id="31"/>
      <w:r>
        <w:rPr/>
        <w:t>2.6 Česká transpozice pro první reportovací období</w:t>
      </w:r>
    </w:p>
    <w:p>
      <w:pPr>
        <w:pStyle w:val="Normal"/>
        <w:widowControl/>
        <w:spacing w:lineRule="auto" w:line="360"/>
        <w:ind w:firstLine="709"/>
        <w:jc w:val="both"/>
        <w:rPr/>
      </w:pPr>
      <w:r>
        <w:rPr/>
        <w:t>Česká republika provedla první část CSRD zejména zákonem č. 349/2023 Sb., který novelizoval zákon č. 563/1991 Sb., o účetnictví, zákon o auditorech a zákon o podnikání na kapitálovém trhu. Pro účetní období začínající 1. ledna 2024 byla povinnost zavedena pro první úzkou skupinu velkých subjektů veřejného zájmu s více než 500 zaměstnanci. Tyto organizace připravovaly zprávy za rok 2024 a zveřejňovaly je v roce 2025.</w:t>
      </w:r>
    </w:p>
    <w:p>
      <w:pPr>
        <w:pStyle w:val="Normal"/>
        <w:widowControl/>
        <w:spacing w:lineRule="auto" w:line="360"/>
        <w:ind w:firstLine="709"/>
        <w:jc w:val="both"/>
        <w:rPr/>
      </w:pPr>
      <w:r>
        <w:rPr/>
        <w:t>Zákon o účetnictví vymezil zprávu o udržitelnosti jako samostatný oddíl výroční zprávy a převzal dvojí informační účel: vysvětlit dopady účetní jednotky na udržitelnost i vliv udržitelnosti na její vývoj, výkonnost a postavení. Současně upravil konsolidované zprávy a související zveřejnění.</w:t>
      </w:r>
    </w:p>
    <w:p>
      <w:pPr>
        <w:pStyle w:val="Normal"/>
        <w:widowControl/>
        <w:spacing w:lineRule="auto" w:line="360"/>
        <w:ind w:firstLine="709"/>
        <w:jc w:val="both"/>
        <w:rPr/>
      </w:pPr>
      <w:r>
        <w:rPr/>
        <w:t>Z pohledu celého původně plánovaného náběhu šlo v této fázi o částečnou transpozici. Pro analyzovaný korpus je však rozhodující praktický rozdíl mezi podniky. Některé připravovaly report za rok 2024 pod přímou povinností, jiné se na širší režim chystaly, pracovaly s dobrovolnými standardy nebo se řídily požadavky své skupiny. Není tedy možné předpokládat, že všechny čtyři případy měly stejnou právní motivaci a stejnou míru připravenosti.</w:t>
      </w:r>
    </w:p>
    <w:p>
      <w:pPr>
        <w:pStyle w:val="Normal"/>
        <w:widowControl/>
        <w:spacing w:lineRule="auto" w:line="360"/>
        <w:ind w:firstLine="709"/>
        <w:jc w:val="both"/>
        <w:rPr/>
      </w:pPr>
      <w:r>
        <w:rPr/>
        <w:t>Práce tuto působnost sama právně nepřezkoumává. Ve výsledkové kapitole vychází z toho, jak jednotlivé organizace svůj reportovací rámec vymezily ve vlastních dokumentech.</w:t>
      </w:r>
    </w:p>
    <w:p>
      <w:pPr>
        <w:pStyle w:val="Heading2"/>
        <w:keepNext w:val="true"/>
        <w:widowControl/>
        <w:ind w:hanging="0"/>
        <w:rPr/>
      </w:pPr>
      <w:bookmarkStart w:id="32" w:name="__RefHeading___Toc2068_516823210"/>
      <w:bookmarkEnd w:id="32"/>
      <w:r>
        <w:rPr/>
        <w:t>2.7 GRI, skupinové standardy a přechodné reportování</w:t>
      </w:r>
    </w:p>
    <w:p>
      <w:pPr>
        <w:pStyle w:val="Normal"/>
        <w:widowControl/>
        <w:spacing w:lineRule="auto" w:line="360"/>
        <w:ind w:firstLine="709"/>
        <w:jc w:val="both"/>
        <w:rPr/>
      </w:pPr>
      <w:r>
        <w:rPr/>
        <w:t>Před ESRS využívala řada podniků standardy Global Reporting Initiative (GRI) nebo vlastní skupinové rámce. GRI se soustředí především na dopady organizace na ekonomiku, životní prostředí a lidi. S ESRS sdílí některé pojmy a datové oblasti, ale oba systémy nejsou zaměnitelné.</w:t>
      </w:r>
    </w:p>
    <w:p>
      <w:pPr>
        <w:pStyle w:val="Normal"/>
        <w:widowControl/>
        <w:spacing w:lineRule="auto" w:line="360"/>
        <w:ind w:firstLine="709"/>
        <w:jc w:val="both"/>
        <w:rPr/>
      </w:pPr>
      <w:r>
        <w:rPr/>
        <w:t>V roce 2024 se proto v dokumentech objevují různé přechodové situace. Někde jde o deklarovanou aplikaci ESRS v povinné zprávě. Jinde podnik vedle regulatorního zveřejnění připraví samostatný, čtenářsky orientovaný report, který kombinuje více rámců. Další případ může zůstat u GRI a současně už provést dvojí materialitu nebo připravovat governance pro CSRD.</w:t>
      </w:r>
    </w:p>
    <w:p>
      <w:pPr>
        <w:pStyle w:val="Normal"/>
        <w:widowControl/>
        <w:spacing w:lineRule="auto" w:line="360"/>
        <w:ind w:firstLine="709"/>
        <w:jc w:val="both"/>
        <w:rPr/>
      </w:pPr>
      <w:r>
        <w:rPr/>
        <w:t>Tato nesynchronnost je důležitá. Podnik může mít dlouho zavedenou provozní praxi, ale jeho první ESRS disclosure bude zatím neúplné. Opačně může první formálně velmi rozsáhlá zpráva vzniknout díky intenzivnímu reportingovému projektu, jehož vazba na strategii se teprve vytváří. Regulatorní zralost dokumentu proto není totožná s celkovou zralostí organizace.</w:t>
      </w:r>
    </w:p>
    <w:p>
      <w:pPr>
        <w:pStyle w:val="Normal"/>
        <w:widowControl/>
        <w:spacing w:lineRule="auto" w:line="360"/>
        <w:ind w:firstLine="709"/>
        <w:jc w:val="both"/>
        <w:rPr/>
      </w:pPr>
      <w:r>
        <w:rPr/>
        <w:t>Skupinové standardy přidávají další vrstvu. Politika nebo kodex mohou vzniknout na úrovni mateřské skupiny a být převzaty českou společností. Jejich existence dokládá formální rámec, ne však automaticky stejnou intenzitu aplikace v každé právnické osobě nebo závodě. Při kódování proto musí zůstat zachována organizační hranice, kterou dokument uvádí.</w:t>
      </w:r>
    </w:p>
    <w:p>
      <w:pPr>
        <w:pStyle w:val="Heading2"/>
        <w:keepNext w:val="true"/>
        <w:widowControl/>
        <w:ind w:hanging="0"/>
        <w:rPr/>
      </w:pPr>
      <w:bookmarkStart w:id="33" w:name="__RefHeading___Toc2070_516823210"/>
      <w:bookmarkEnd w:id="33"/>
      <w:r>
        <w:rPr/>
        <w:t>2.8 Pozdější změny a analytické zmrazení</w:t>
      </w:r>
    </w:p>
    <w:p>
      <w:pPr>
        <w:pStyle w:val="Normal"/>
        <w:widowControl/>
        <w:spacing w:lineRule="auto" w:line="360"/>
        <w:ind w:firstLine="709"/>
        <w:jc w:val="both"/>
        <w:rPr/>
      </w:pPr>
      <w:r>
        <w:rPr/>
        <w:t>Po roce 2024 se evropský rámec dále měnil. Směrnice (EU) 2025/794 odložila některé původně plánované reportovací vlny. Směrnice (EU) 2026/470 následně zúžila budoucí rozsah povinného reportingu a upravila některé požadavky CSRD a souvisejících předpisů. Změny reagovaly zejména na tlak snížit administrativní zátěž a zvýšit proporcionalitu systému (Evropský parlament a Rada EU, 2025; 2026).</w:t>
      </w:r>
    </w:p>
    <w:p>
      <w:pPr>
        <w:pStyle w:val="Normal"/>
        <w:widowControl/>
        <w:spacing w:lineRule="auto" w:line="360"/>
        <w:ind w:firstLine="709"/>
        <w:jc w:val="both"/>
        <w:rPr/>
      </w:pPr>
      <w:r>
        <w:rPr/>
        <w:t>Pro diskusi je tento vývoj relevantní. Ukazuje, že podniky zaváděly nové procesy v prostředí, kde nebyla dlouhodobá stabilita požadavků samozřejmá. Zároveň umožňuje položit důležitou otázku: které prvky vznikly pouze kvůli compliance a které získaly vlastní provozní nebo finanční funkci? Proces napojený na investice, riziko nebo produkt může přetrvat i tehdy, když se rozsah povinného zveřejnění později zmenší.</w:t>
      </w:r>
    </w:p>
    <w:p>
      <w:pPr>
        <w:pStyle w:val="Normal"/>
        <w:widowControl/>
        <w:spacing w:lineRule="auto" w:line="360"/>
        <w:ind w:firstLine="709"/>
        <w:jc w:val="both"/>
        <w:rPr/>
      </w:pPr>
      <w:r>
        <w:rPr/>
        <w:t>Empirické hodnocení za rok 2024 se však podle novějších pravidel nepřepisuje. Dokument je posuzován podle svého času vzniku, deklarovaného rámce a tehdy zveřejněných mechanismů. Práce proto netvrdí, že má každý podnik k 1. září 2026 stejnou právní povinnost nebo že bude v dalších letech používat totožnou strukturu reportu.</w:t>
      </w:r>
    </w:p>
    <w:p>
      <w:pPr>
        <w:pStyle w:val="Heading2"/>
        <w:keepNext w:val="true"/>
        <w:widowControl/>
        <w:ind w:hanging="0"/>
        <w:rPr/>
      </w:pPr>
      <w:bookmarkStart w:id="34" w:name="__RefHeading___Toc2072_516823210"/>
      <w:bookmarkEnd w:id="34"/>
      <w:r>
        <w:rPr/>
        <w:t>2.9 Co z regulatorního kontextu plyne pro analýzu</w:t>
      </w:r>
    </w:p>
    <w:p>
      <w:pPr>
        <w:pStyle w:val="Normal"/>
        <w:widowControl/>
        <w:spacing w:lineRule="auto" w:line="360"/>
        <w:ind w:firstLine="709"/>
        <w:jc w:val="both"/>
        <w:rPr/>
      </w:pPr>
      <w:r>
        <w:rPr/>
        <w:t>Předchozí části lze převést do šesti praktických pravidel.</w:t>
      </w:r>
    </w:p>
    <w:p>
      <w:pPr>
        <w:pStyle w:val="Normal"/>
        <w:widowControl/>
        <w:spacing w:lineRule="auto" w:line="360" w:before="0" w:after="0"/>
        <w:ind w:hanging="255" w:start="425"/>
        <w:jc w:val="both"/>
        <w:rPr/>
      </w:pPr>
      <w:r>
        <w:rPr/>
        <w:t xml:space="preserve">1. </w:t>
      </w:r>
      <w:r>
        <w:rPr>
          <w:b/>
        </w:rPr>
        <w:t>Podobná struktura neznamená podobný výsledek.</w:t>
      </w:r>
      <w:r>
        <w:rPr/>
        <w:t xml:space="preserve"> ESRS vysvětlují, proč reporty obsahují obdobné oddíly. Neříkají, zda jsou procesy stejně účinné.</w:t>
      </w:r>
    </w:p>
    <w:p>
      <w:pPr>
        <w:pStyle w:val="Normal"/>
        <w:widowControl/>
        <w:spacing w:lineRule="auto" w:line="360" w:before="0" w:after="0"/>
        <w:ind w:hanging="255" w:start="425"/>
        <w:jc w:val="both"/>
        <w:rPr/>
      </w:pPr>
      <w:r>
        <w:rPr/>
        <w:t xml:space="preserve">2. </w:t>
      </w:r>
      <w:r>
        <w:rPr>
          <w:b/>
        </w:rPr>
        <w:t>Materialita není jen seznam témat.</w:t>
      </w:r>
      <w:r>
        <w:rPr/>
        <w:t xml:space="preserve"> Silnější informaci nabízí až propojení vybrané priority s vlastníkem, zdroji a rozhodnutím.</w:t>
      </w:r>
    </w:p>
    <w:p>
      <w:pPr>
        <w:pStyle w:val="Normal"/>
        <w:widowControl/>
        <w:spacing w:lineRule="auto" w:line="360" w:before="0" w:after="0"/>
        <w:ind w:hanging="255" w:start="425"/>
        <w:jc w:val="both"/>
        <w:rPr/>
      </w:pPr>
      <w:r>
        <w:rPr/>
        <w:t xml:space="preserve">3. </w:t>
      </w:r>
      <w:r>
        <w:rPr>
          <w:b/>
        </w:rPr>
        <w:t>Metrika není automaticky dopad.</w:t>
      </w:r>
      <w:r>
        <w:rPr/>
        <w:t xml:space="preserve"> Aktivitu, provozní outcome a širší společenský nebo environmentální efekt je nutné oddělit.</w:t>
      </w:r>
    </w:p>
    <w:p>
      <w:pPr>
        <w:pStyle w:val="Normal"/>
        <w:widowControl/>
        <w:spacing w:lineRule="auto" w:line="360" w:before="0" w:after="0"/>
        <w:ind w:hanging="255" w:start="425"/>
        <w:jc w:val="both"/>
        <w:rPr/>
      </w:pPr>
      <w:r>
        <w:rPr/>
        <w:t xml:space="preserve">4. </w:t>
      </w:r>
      <w:r>
        <w:rPr>
          <w:b/>
        </w:rPr>
        <w:t>Taxonomická sladěnost není celkové ESG skóre.</w:t>
      </w:r>
      <w:r>
        <w:rPr/>
        <w:t xml:space="preserve"> Vždy je třeba číst konkrétní KPI, jeho hranici a případnou vazbu na kapitál.</w:t>
      </w:r>
    </w:p>
    <w:p>
      <w:pPr>
        <w:pStyle w:val="Normal"/>
        <w:widowControl/>
        <w:spacing w:lineRule="auto" w:line="360" w:before="0" w:after="0"/>
        <w:ind w:hanging="255" w:start="425"/>
        <w:jc w:val="both"/>
        <w:rPr/>
      </w:pPr>
      <w:r>
        <w:rPr/>
        <w:t xml:space="preserve">5. </w:t>
      </w:r>
      <w:r>
        <w:rPr>
          <w:b/>
        </w:rPr>
        <w:t>Assurance má přesně vymezený rozsah.</w:t>
      </w:r>
      <w:r>
        <w:rPr/>
        <w:t xml:space="preserve"> Třída E4 může být přiřazena jen tvrzení, které je v daném rozsahu skutečně externě podpořeno.</w:t>
      </w:r>
    </w:p>
    <w:p>
      <w:pPr>
        <w:pStyle w:val="Normal"/>
        <w:widowControl/>
        <w:spacing w:lineRule="auto" w:line="360" w:before="0" w:after="0"/>
        <w:ind w:hanging="255" w:start="425"/>
        <w:jc w:val="both"/>
        <w:rPr/>
      </w:pPr>
      <w:r>
        <w:rPr/>
        <w:t xml:space="preserve">6. </w:t>
      </w:r>
      <w:r>
        <w:rPr>
          <w:b/>
        </w:rPr>
        <w:t>Pozdější právní změna nemění historický dokument.</w:t>
      </w:r>
      <w:r>
        <w:rPr/>
        <w:t xml:space="preserve"> Rok 2024 zůstává uzavřeným časovým řezem; novější stav je kontext, nikoli zpětné hodnoticí měřítko.</w:t>
      </w:r>
    </w:p>
    <w:p>
      <w:pPr>
        <w:pStyle w:val="Normal"/>
        <w:widowControl/>
        <w:spacing w:lineRule="auto" w:line="360"/>
        <w:ind w:firstLine="709"/>
        <w:jc w:val="both"/>
        <w:rPr/>
      </w:pPr>
      <w:r>
        <w:rPr/>
        <w:t>Regulatorní kapitola tím dostává přímou metodickou funkci. Neslouží jako oddělený katalog legislativy, ale pomáhá rozlišit přítomnost povinné položky od zveřejněného dokladu, že se informace skutečně dostala do řízení.</w:t>
      </w:r>
    </w:p>
    <w:p>
      <w:pPr>
        <w:pStyle w:val="Normal"/>
        <w:rPr/>
      </w:pPr>
      <w:r>
        <w:rPr/>
      </w:r>
      <w:r>
        <w:br w:type="page"/>
      </w:r>
    </w:p>
    <w:p>
      <w:pPr>
        <w:pStyle w:val="Heading1"/>
        <w:keepNext w:val="true"/>
        <w:widowControl/>
        <w:spacing w:before="0" w:after="180"/>
        <w:ind w:hanging="0"/>
        <w:rPr/>
      </w:pPr>
      <w:bookmarkStart w:id="35" w:name="__RefHeading___Toc2074_516823210"/>
      <w:bookmarkEnd w:id="35"/>
      <w:r>
        <w:rPr/>
        <w:t>3 Metodologie</w:t>
      </w:r>
    </w:p>
    <w:p>
      <w:pPr>
        <w:pStyle w:val="Heading2"/>
        <w:keepNext w:val="true"/>
        <w:widowControl/>
        <w:ind w:hanging="0"/>
        <w:rPr/>
      </w:pPr>
      <w:bookmarkStart w:id="36" w:name="__RefHeading___Toc2076_516823210"/>
      <w:bookmarkEnd w:id="36"/>
      <w:r>
        <w:rPr/>
        <w:t>3.1 Výzkumný přístup</w:t>
      </w:r>
    </w:p>
    <w:p>
      <w:pPr>
        <w:pStyle w:val="Normal"/>
        <w:widowControl/>
        <w:spacing w:lineRule="auto" w:line="360"/>
        <w:ind w:firstLine="709"/>
        <w:jc w:val="both"/>
        <w:rPr/>
      </w:pPr>
      <w:r>
        <w:rPr/>
        <w:t>Výzkum má kvalitativní, průřezový a komparativní charakter. Vychází z veřejných firemních dokumentů a kombinuje dokumentovou analýzu s řízenou kvalitativní obsahovou analýzou. Dokumentová analýza umožňuje pracovat se zdrojem systematicky: hodnotit jeho původ a účel, hledat relevantní části, rozdělit je na významové segmenty a interpretovat je v institucionálním kontextu (Bowen, 2009). Řízená obsahová analýza naproti tomu poskytuje počáteční kategorie odvozené z teorie, aniž by výzkumníkovi zakazovala doplnit kódy, které se ukážou až při čtení korpusu (Hsieh &amp; Shannon, 2005).</w:t>
      </w:r>
    </w:p>
    <w:p>
      <w:pPr>
        <w:pStyle w:val="Normal"/>
        <w:widowControl/>
        <w:spacing w:lineRule="auto" w:line="360"/>
        <w:ind w:firstLine="709"/>
        <w:jc w:val="both"/>
        <w:rPr/>
      </w:pPr>
      <w:r>
        <w:rPr/>
        <w:t>Volba metody odpovídá tomu, na co se práce ptá. Cílem není sestavit souhrnné pořadí firem, změřit jejich celkovou ESG výkonnost ani testovat kauzální vztah mezi udržitelností a finančními výsledky. Předmětem analýzy jsou zveřejněné doklady implementace: jaký proces podnik popisuje, kdo za něj odpovídá, jaké používá cíle a metriky, zda se informace dostává do rozhodování a kde končí možnosti interpretace.</w:t>
      </w:r>
    </w:p>
    <w:p>
      <w:pPr>
        <w:pStyle w:val="Normal"/>
        <w:widowControl/>
        <w:spacing w:lineRule="auto" w:line="360"/>
        <w:ind w:firstLine="709"/>
        <w:jc w:val="both"/>
        <w:rPr/>
      </w:pPr>
      <w:r>
        <w:rPr/>
        <w:t>Firemní report přitom nelze chápat ani jako čistě neutrální databázi, ani jako pouhý marketing. Je to oficiální dokument, v němž organizace zveřejňuje určité cíle, role, metody a výsledky. Současně vzniká výběrem: podnik rozhoduje, co zahrne, jak stanoví hranici a jak údaje vysvětlí. Během analýzy proto byly oddělovány čtyři roviny:</w:t>
      </w:r>
    </w:p>
    <w:p>
      <w:pPr>
        <w:pStyle w:val="ListBullet"/>
        <w:widowControl/>
        <w:numPr>
          <w:ilvl w:val="0"/>
          <w:numId w:val="1"/>
        </w:numPr>
        <w:spacing w:lineRule="auto" w:line="360" w:before="0" w:after="0"/>
        <w:ind w:hanging="142" w:start="425"/>
        <w:contextualSpacing/>
        <w:rPr/>
      </w:pPr>
      <w:r>
        <w:rPr/>
        <w:t>přímé tvrzení organizace;</w:t>
      </w:r>
    </w:p>
    <w:p>
      <w:pPr>
        <w:pStyle w:val="ListBullet"/>
        <w:widowControl/>
        <w:numPr>
          <w:ilvl w:val="0"/>
          <w:numId w:val="1"/>
        </w:numPr>
        <w:spacing w:lineRule="auto" w:line="360" w:before="0" w:after="0"/>
        <w:ind w:hanging="142" w:start="425"/>
        <w:contextualSpacing/>
        <w:rPr/>
      </w:pPr>
      <w:r>
        <w:rPr/>
        <w:t>zveřejněný proces, pravidlo nebo metrika;</w:t>
      </w:r>
    </w:p>
    <w:p>
      <w:pPr>
        <w:pStyle w:val="ListBullet"/>
        <w:widowControl/>
        <w:numPr>
          <w:ilvl w:val="0"/>
          <w:numId w:val="1"/>
        </w:numPr>
        <w:spacing w:lineRule="auto" w:line="360" w:before="0" w:after="0"/>
        <w:ind w:hanging="142" w:start="425"/>
        <w:contextualSpacing/>
        <w:rPr/>
      </w:pPr>
      <w:r>
        <w:rPr/>
        <w:t>interpretace, kterou lze z dokumentu důvodně odvodit;</w:t>
      </w:r>
    </w:p>
    <w:p>
      <w:pPr>
        <w:pStyle w:val="ListBullet"/>
        <w:widowControl/>
        <w:numPr>
          <w:ilvl w:val="0"/>
          <w:numId w:val="1"/>
        </w:numPr>
        <w:spacing w:lineRule="auto" w:line="360" w:before="0" w:after="0"/>
        <w:ind w:hanging="142" w:start="425"/>
        <w:contextualSpacing/>
        <w:rPr/>
      </w:pPr>
      <w:r>
        <w:rPr/>
        <w:t>skutečnost, kterou dokument neumožňuje ověřit.</w:t>
      </w:r>
    </w:p>
    <w:p>
      <w:pPr>
        <w:pStyle w:val="Normal"/>
        <w:widowControl/>
        <w:spacing w:lineRule="auto" w:line="360"/>
        <w:ind w:firstLine="709"/>
        <w:jc w:val="both"/>
        <w:rPr/>
      </w:pPr>
      <w:r>
        <w:rPr/>
        <w:t>Toto rozlišení je podstatné. Bez něj by se firemní sdělení snadno změnilo v nezávisle potvrzený fakt, případně by bylo předem odmítnuto jen proto, že pochází od analyzované organizace. Ani jeden postup by nebyl pro zvolenou výzkumnou otázku užitečný.</w:t>
      </w:r>
    </w:p>
    <w:p>
      <w:pPr>
        <w:pStyle w:val="Heading2"/>
        <w:keepNext w:val="true"/>
        <w:widowControl/>
        <w:ind w:hanging="0"/>
        <w:rPr/>
      </w:pPr>
      <w:bookmarkStart w:id="37" w:name="__RefHeading___Toc2078_516823210"/>
      <w:bookmarkEnd w:id="37"/>
      <w:r>
        <w:rPr/>
        <w:t>3.2 Výzkumné otázky</w:t>
      </w:r>
    </w:p>
    <w:p>
      <w:pPr>
        <w:pStyle w:val="Normal"/>
        <w:widowControl/>
        <w:spacing w:lineRule="auto" w:line="360"/>
        <w:ind w:firstLine="709"/>
        <w:jc w:val="both"/>
        <w:rPr/>
      </w:pPr>
      <w:r>
        <w:rPr/>
        <w:t>Hlavní výzkumná otázka zní:</w:t>
      </w:r>
    </w:p>
    <w:p>
      <w:pPr>
        <w:pStyle w:val="BlockQuote"/>
        <w:rPr/>
      </w:pPr>
      <w:r>
        <w:rPr>
          <w:b/>
        </w:rPr>
        <w:t>Jak vybrané velké podniky působící v České republice ve veřejných zprávách za rok 2024 konstruují a dokládají implementaci ESG a které znaky odlišují deklaraci, formalizaci a manažerskou integraci?</w:t>
      </w:r>
    </w:p>
    <w:p>
      <w:pPr>
        <w:pStyle w:val="Normal"/>
        <w:widowControl/>
        <w:spacing w:lineRule="auto" w:line="360"/>
        <w:ind w:firstLine="709"/>
        <w:jc w:val="both"/>
        <w:rPr/>
      </w:pPr>
      <w:r>
        <w:rPr/>
        <w:t>Dílčí výzkumné otázky jsou následující:</w:t>
      </w:r>
    </w:p>
    <w:p>
      <w:pPr>
        <w:pStyle w:val="Normal"/>
        <w:widowControl/>
        <w:spacing w:lineRule="auto" w:line="360" w:before="0" w:after="0"/>
        <w:ind w:hanging="255" w:start="425"/>
        <w:jc w:val="both"/>
        <w:rPr/>
      </w:pPr>
      <w:r>
        <w:rPr/>
        <w:t>1. Jak podniky vymezují materiální ESG témata a jak vysvětlují jejich vazbu na strategii a podnikatelský model?</w:t>
      </w:r>
    </w:p>
    <w:p>
      <w:pPr>
        <w:pStyle w:val="Normal"/>
        <w:widowControl/>
        <w:spacing w:lineRule="auto" w:line="360" w:before="0" w:after="0"/>
        <w:ind w:hanging="255" w:start="425"/>
        <w:jc w:val="both"/>
        <w:rPr/>
      </w:pPr>
      <w:r>
        <w:rPr/>
        <w:t>2. Jaké struktury odpovědnosti, dohledu a interní koordinace v reportech uvádějí?</w:t>
      </w:r>
    </w:p>
    <w:p>
      <w:pPr>
        <w:pStyle w:val="Normal"/>
        <w:widowControl/>
        <w:spacing w:lineRule="auto" w:line="360" w:before="0" w:after="0"/>
        <w:ind w:hanging="255" w:start="425"/>
        <w:jc w:val="both"/>
        <w:rPr/>
      </w:pPr>
      <w:r>
        <w:rPr/>
        <w:t>3. Kde je doložena vazba ESG na investice, řízení rizik, odměňování, produkty, nákup nebo provozní rozhodování?</w:t>
      </w:r>
    </w:p>
    <w:p>
      <w:pPr>
        <w:pStyle w:val="Normal"/>
        <w:widowControl/>
        <w:spacing w:lineRule="auto" w:line="360" w:before="0" w:after="0"/>
        <w:ind w:hanging="255" w:start="425"/>
        <w:jc w:val="both"/>
        <w:rPr/>
      </w:pPr>
      <w:r>
        <w:rPr/>
        <w:t>4. Jakou evidenční sílu mají zveřejněné cíle a ukazatele: rozlišují vstupy, aktivity, výstupy, výsledky a dopady?</w:t>
      </w:r>
    </w:p>
    <w:p>
      <w:pPr>
        <w:pStyle w:val="Normal"/>
        <w:widowControl/>
        <w:spacing w:lineRule="auto" w:line="360" w:before="0" w:after="0"/>
        <w:ind w:hanging="255" w:start="425"/>
        <w:jc w:val="both"/>
        <w:rPr/>
      </w:pPr>
      <w:r>
        <w:rPr/>
        <w:t>5. Jak podniky komunikují nesplněné cíle, trade-offy, nejistoty a negativní dopady?</w:t>
      </w:r>
    </w:p>
    <w:p>
      <w:pPr>
        <w:pStyle w:val="Normal"/>
        <w:widowControl/>
        <w:spacing w:lineRule="auto" w:line="360" w:before="0" w:after="0"/>
        <w:ind w:hanging="255" w:start="425"/>
        <w:jc w:val="both"/>
        <w:rPr/>
      </w:pPr>
      <w:r>
        <w:rPr/>
        <w:t>6. Jak se způsoby dokládání implementace liší mezi energetikou, bankovnictvím, telekomunikacemi a automobilovým průmyslem?</w:t>
      </w:r>
    </w:p>
    <w:p>
      <w:pPr>
        <w:pStyle w:val="Normal"/>
        <w:widowControl/>
        <w:spacing w:lineRule="auto" w:line="360"/>
        <w:ind w:firstLine="709"/>
        <w:jc w:val="both"/>
        <w:rPr/>
      </w:pPr>
      <w:r>
        <w:rPr/>
        <w:t>Otázky byly během výzkumu zachovány beze změny. Způsob jejich operacionalizace se však zpřesňoval při pilotním kódování, zejména u hranice mezi formalizovaným procesem a skutečnou rozhodovací vazbou.</w:t>
      </w:r>
    </w:p>
    <w:p>
      <w:pPr>
        <w:pStyle w:val="Heading2"/>
        <w:keepNext w:val="true"/>
        <w:widowControl/>
        <w:ind w:hanging="0"/>
        <w:rPr/>
      </w:pPr>
      <w:bookmarkStart w:id="38" w:name="__RefHeading___Toc2080_516823210"/>
      <w:bookmarkEnd w:id="38"/>
      <w:r>
        <w:rPr/>
        <w:t>3.3 Výběr případů</w:t>
      </w:r>
    </w:p>
    <w:p>
      <w:pPr>
        <w:pStyle w:val="Normal"/>
        <w:widowControl/>
        <w:spacing w:lineRule="auto" w:line="360"/>
        <w:ind w:firstLine="709"/>
        <w:jc w:val="both"/>
        <w:rPr/>
      </w:pPr>
      <w:r>
        <w:rPr/>
        <w:t>Případy byly vybrány účelově, s důrazem na kontrast. Nešlo o statistickou reprezentativnost, ale o to, aby se v malém souboru objevily rozdílné mechanismy, jimiž mohou environmentální, sociální a governance informace vstupovat do řízení.</w:t>
      </w:r>
    </w:p>
    <w:p>
      <w:pPr>
        <w:pStyle w:val="Normal"/>
        <w:widowControl/>
        <w:spacing w:lineRule="auto" w:line="360"/>
        <w:ind w:firstLine="709"/>
        <w:jc w:val="both"/>
        <w:rPr/>
      </w:pPr>
      <w:r>
        <w:rPr/>
        <w:t>Pro zařazení musel podnik splnit pět podmínek:</w:t>
      </w:r>
    </w:p>
    <w:p>
      <w:pPr>
        <w:pStyle w:val="Normal"/>
        <w:widowControl/>
        <w:spacing w:lineRule="auto" w:line="360" w:before="0" w:after="0"/>
        <w:ind w:hanging="255" w:start="425"/>
        <w:jc w:val="both"/>
        <w:rPr/>
      </w:pPr>
      <w:r>
        <w:rPr/>
        <w:t>1. mít významnou podnikatelskou činnost a rozhodovací nebo výrobní základnu v České republice;</w:t>
      </w:r>
    </w:p>
    <w:p>
      <w:pPr>
        <w:pStyle w:val="Normal"/>
        <w:widowControl/>
        <w:spacing w:lineRule="auto" w:line="360" w:before="0" w:after="0"/>
        <w:ind w:hanging="255" w:start="425"/>
        <w:jc w:val="both"/>
        <w:rPr/>
      </w:pPr>
      <w:r>
        <w:rPr/>
        <w:t>2. zveřejnit oficiální report pokrývající rok 2024;</w:t>
      </w:r>
    </w:p>
    <w:p>
      <w:pPr>
        <w:pStyle w:val="Normal"/>
        <w:widowControl/>
        <w:spacing w:lineRule="auto" w:line="360" w:before="0" w:after="0"/>
        <w:ind w:hanging="255" w:start="425"/>
        <w:jc w:val="both"/>
        <w:rPr/>
      </w:pPr>
      <w:r>
        <w:rPr/>
        <w:t>3. poskytnout dostatečně rozsáhlé informace o strategii, správě, cílech a metrikách;</w:t>
      </w:r>
    </w:p>
    <w:p>
      <w:pPr>
        <w:pStyle w:val="Normal"/>
        <w:widowControl/>
        <w:spacing w:lineRule="auto" w:line="360" w:before="0" w:after="0"/>
        <w:ind w:hanging="255" w:start="425"/>
        <w:jc w:val="both"/>
        <w:rPr/>
      </w:pPr>
      <w:r>
        <w:rPr/>
        <w:t>4. reprezentovat odlišný sektor a typ materiálních dopadů;</w:t>
      </w:r>
    </w:p>
    <w:p>
      <w:pPr>
        <w:pStyle w:val="Normal"/>
        <w:widowControl/>
        <w:spacing w:lineRule="auto" w:line="360" w:before="0" w:after="0"/>
        <w:ind w:hanging="255" w:start="425"/>
        <w:jc w:val="both"/>
        <w:rPr/>
      </w:pPr>
      <w:r>
        <w:rPr/>
        <w:t>5. umožnit přesně identifikovat zdrojové místo jednotlivých tvrzení.</w:t>
      </w:r>
    </w:p>
    <w:p>
      <w:pPr>
        <w:pStyle w:val="Normal"/>
        <w:widowControl/>
        <w:spacing w:lineRule="auto" w:line="360"/>
        <w:ind w:firstLine="709"/>
        <w:jc w:val="both"/>
        <w:rPr/>
      </w:pPr>
      <w:r>
        <w:rPr/>
        <w:t>Konečný soubor tvoří čtyři případy.</w:t>
      </w:r>
    </w:p>
    <w:p>
      <w:pPr>
        <w:pStyle w:val="CaptionThesis"/>
        <w:widowControl/>
        <w:rPr/>
      </w:pPr>
      <w:r>
        <w:rPr>
          <w:b/>
        </w:rPr>
        <w:t>Tabulka 1: Charakteristika analyzovaných případů</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Případ</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Sektor</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Hlavní implementační oblast</w:t>
            </w:r>
          </w:p>
        </w:tc>
        <w:tc>
          <w:tcPr>
            <w:tcW w:w="226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Institucionální charakteristika</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ČEZ Group</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energetika</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přechodový plán, výrobní portfolio, CapEx, útlum uhlí</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kapitálová náročnost, energetická regulace, významný podíl státu</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MONETA Money Bank</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bankovnictví</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financované emise, riziko, pobídky, produktové portfolio</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burzovně obchodovaná banka a finanční dohled</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O2 Czech Republic</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telekomunikace</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digitální infrastruktura, energie, kyberbezpečnost, zákazníci a dodavatelé</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soukromá skupina a přechod mezi reportovacími rámci</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Škoda Auto</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automobilový průmysl</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produkt, výroba, CapEx, materiály a dodavatelský řetězec</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nadnárodní průmyslová skupina a skupinové standardy</w:t>
            </w:r>
          </w:p>
        </w:tc>
      </w:tr>
    </w:tbl>
    <w:p>
      <w:pPr>
        <w:pStyle w:val="Normal"/>
        <w:spacing w:before="0" w:after="40"/>
        <w:rPr/>
      </w:pPr>
      <w:r>
        <w:rPr/>
      </w:r>
    </w:p>
    <w:p>
      <w:pPr>
        <w:pStyle w:val="Normal"/>
        <w:widowControl/>
        <w:spacing w:lineRule="auto" w:line="360"/>
        <w:ind w:firstLine="709"/>
        <w:jc w:val="both"/>
        <w:rPr/>
      </w:pPr>
      <w:r>
        <w:rPr/>
        <w:t>Tento výběr má zřetelnou hranici. Všechny organizace jsou velké a mají vysokou kapacitu připravovat rozsáhlé reporty. Závěry proto nelze bez dalšího přenášet na malé a střední podniky, u nichž může být provozní praxe podstatně méně formalizovaná i méně veřejná.</w:t>
      </w:r>
    </w:p>
    <w:p>
      <w:pPr>
        <w:pStyle w:val="Normal"/>
        <w:widowControl/>
        <w:spacing w:lineRule="auto" w:line="360"/>
        <w:ind w:firstLine="709"/>
        <w:jc w:val="both"/>
        <w:rPr/>
      </w:pPr>
      <w:r>
        <w:rPr/>
        <w:t>Stejně důležité je, že práce nesrovnává absolutní ekologickou nebo sociální stopu. Přímé emise energetické skupiny, financované emise banky a emise z životního cyklu automobilu nevstupují do jedné společné výkonnostní škály. Srovnávány jsou mechanismy zveřejnění a řízení, nikoli velikost vzájemně nesouměřitelných dopadů.</w:t>
      </w:r>
    </w:p>
    <w:p>
      <w:pPr>
        <w:pStyle w:val="Heading2"/>
        <w:keepNext w:val="true"/>
        <w:widowControl/>
        <w:ind w:hanging="0"/>
        <w:rPr/>
      </w:pPr>
      <w:bookmarkStart w:id="39" w:name="__RefHeading___Toc2082_516823210"/>
      <w:bookmarkEnd w:id="39"/>
      <w:r>
        <w:rPr/>
        <w:t>3.4 Dokumentový korpus</w:t>
      </w:r>
    </w:p>
    <w:p>
      <w:pPr>
        <w:pStyle w:val="Normal"/>
        <w:widowControl/>
        <w:spacing w:lineRule="auto" w:line="360"/>
        <w:ind w:firstLine="709"/>
        <w:jc w:val="both"/>
        <w:rPr/>
      </w:pPr>
      <w:r>
        <w:rPr/>
        <w:t>Primární korpus tvoří oficiální výroční, udržitelnostní nebo ESG zprávy za období od 1. ledna do 31. prosince 2024. Dokument byl zařazen, pokud pocházel z oficiální domény analyzované organizace, pokrýval sledovaný rok, obsahoval relevantní informace o strategii, správě, materialitě, politikách, opatřeních, cílech nebo metrikách a byl dostupný v úplné podobě s dostatečně stabilním lokátorem.</w:t>
      </w:r>
    </w:p>
    <w:p>
      <w:pPr>
        <w:pStyle w:val="Normal"/>
        <w:widowControl/>
        <w:spacing w:lineRule="auto" w:line="360"/>
        <w:ind w:firstLine="709"/>
        <w:jc w:val="both"/>
        <w:rPr/>
      </w:pPr>
      <w:r>
        <w:rPr/>
        <w:t>Použity byly zejména tyto zdroje:</w:t>
      </w:r>
    </w:p>
    <w:p>
      <w:pPr>
        <w:pStyle w:val="ListBullet"/>
        <w:widowControl/>
        <w:numPr>
          <w:ilvl w:val="0"/>
          <w:numId w:val="1"/>
        </w:numPr>
        <w:spacing w:lineRule="auto" w:line="360" w:before="0" w:after="0"/>
        <w:ind w:hanging="142" w:start="425"/>
        <w:contextualSpacing/>
        <w:rPr/>
      </w:pPr>
      <w:r>
        <w:rPr>
          <w:i/>
        </w:rPr>
        <w:t>CEZ Group Annual Financial Report 2024</w:t>
      </w:r>
      <w:r>
        <w:rPr/>
        <w:t>, jehož součástí je konsolidovaná zpráva o udržitelnosti;</w:t>
      </w:r>
    </w:p>
    <w:p>
      <w:pPr>
        <w:pStyle w:val="ListBullet"/>
        <w:widowControl/>
        <w:numPr>
          <w:ilvl w:val="0"/>
          <w:numId w:val="1"/>
        </w:numPr>
        <w:spacing w:lineRule="auto" w:line="360" w:before="0" w:after="0"/>
        <w:ind w:hanging="142" w:start="425"/>
        <w:contextualSpacing/>
        <w:rPr/>
      </w:pPr>
      <w:r>
        <w:rPr>
          <w:i/>
        </w:rPr>
        <w:t>Sustainability at MONETA 2024</w:t>
      </w:r>
      <w:r>
        <w:rPr/>
        <w:t>, čtený společně s odkazy na povinné zveřejnění ve výroční zprávě;</w:t>
      </w:r>
    </w:p>
    <w:p>
      <w:pPr>
        <w:pStyle w:val="ListBullet"/>
        <w:widowControl/>
        <w:numPr>
          <w:ilvl w:val="0"/>
          <w:numId w:val="1"/>
        </w:numPr>
        <w:spacing w:lineRule="auto" w:line="360" w:before="0" w:after="0"/>
        <w:ind w:hanging="142" w:start="425"/>
        <w:contextualSpacing/>
        <w:rPr/>
      </w:pPr>
      <w:r>
        <w:rPr>
          <w:i/>
        </w:rPr>
        <w:t>O2 ESG Report 2024</w:t>
      </w:r>
      <w:r>
        <w:rPr/>
        <w:t>;</w:t>
      </w:r>
    </w:p>
    <w:p>
      <w:pPr>
        <w:pStyle w:val="ListBullet"/>
        <w:widowControl/>
        <w:numPr>
          <w:ilvl w:val="0"/>
          <w:numId w:val="1"/>
        </w:numPr>
        <w:spacing w:lineRule="auto" w:line="360" w:before="0" w:after="0"/>
        <w:ind w:hanging="142" w:start="425"/>
        <w:contextualSpacing/>
        <w:rPr/>
      </w:pPr>
      <w:r>
        <w:rPr/>
        <w:t xml:space="preserve">oficiální online </w:t>
      </w:r>
      <w:r>
        <w:rPr>
          <w:i/>
        </w:rPr>
        <w:t>Škoda Annual Report 2024</w:t>
      </w:r>
      <w:r>
        <w:rPr/>
        <w:t xml:space="preserve"> a související úplný sustainability report.</w:t>
      </w:r>
    </w:p>
    <w:p>
      <w:pPr>
        <w:pStyle w:val="Normal"/>
        <w:widowControl/>
        <w:spacing w:lineRule="auto" w:line="360"/>
        <w:ind w:firstLine="709"/>
        <w:jc w:val="both"/>
        <w:rPr/>
      </w:pPr>
      <w:r>
        <w:rPr/>
        <w:t>Mediální články, komerční žebříčky, poradenské komentáře ani tiskové zprávy nebyly použity jako primární empirická data. Odborná literatura sloužila pro teoretické a metodické ukotvení, právní akty pro vysvětlení reportovacího prostředí.</w:t>
      </w:r>
    </w:p>
    <w:p>
      <w:pPr>
        <w:pStyle w:val="Normal"/>
        <w:widowControl/>
        <w:spacing w:lineRule="auto" w:line="360"/>
        <w:ind w:firstLine="709"/>
        <w:jc w:val="both"/>
        <w:rPr/>
      </w:pPr>
      <w:r>
        <w:rPr/>
        <w:t>Registr dokumentů byl uzavřen před hlavní syntézou. Každý zdroj získal stabilní identifikátor, údaj o vydavateli a období, odkaz, datum přístupu a popis role v analýze. U Škoda Auto sloužilo online rozhraní jako hlavní citační rozcestník, protože dovolovalo odkazovat na konkrétní tematické sekce; úplný PDF report byl používán k doplnění metodického a skupinového kontextu.</w:t>
      </w:r>
    </w:p>
    <w:p>
      <w:pPr>
        <w:pStyle w:val="Normal"/>
        <w:widowControl/>
        <w:spacing w:lineRule="auto" w:line="360"/>
        <w:ind w:firstLine="709"/>
        <w:jc w:val="both"/>
        <w:rPr/>
      </w:pPr>
      <w:r>
        <w:rPr/>
        <w:t>Rozdílná podoba zdrojů byla přijata jako vlastnost korpusu, ne jako chyba, kterou by bylo možné beze zbytku odstranit. Integrovaná zpráva, samostatný čtenářský report a online výroční zpráva mají odlišnou informační architekturu. Tato odlišnost byla zaznamenána a později zahrnuta mezi limity srovnání.</w:t>
      </w:r>
    </w:p>
    <w:p>
      <w:pPr>
        <w:pStyle w:val="Heading2"/>
        <w:keepNext w:val="true"/>
        <w:widowControl/>
        <w:ind w:hanging="0"/>
        <w:rPr/>
      </w:pPr>
      <w:bookmarkStart w:id="40" w:name="__RefHeading___Toc2084_516823210"/>
      <w:bookmarkEnd w:id="40"/>
      <w:r>
        <w:rPr/>
        <w:t>3.5 Strategie čtení a extrakce</w:t>
      </w:r>
    </w:p>
    <w:p>
      <w:pPr>
        <w:pStyle w:val="Normal"/>
        <w:widowControl/>
        <w:spacing w:lineRule="auto" w:line="360"/>
        <w:ind w:firstLine="709"/>
        <w:jc w:val="both"/>
        <w:rPr/>
      </w:pPr>
      <w:r>
        <w:rPr/>
        <w:t>Analýza nezačínala vyhledáním několika klíčových slov a automatickým vytažením okolních vět. Nejprve byla přečtena struktura každého dokumentu: jeho rozsah, deklarovaný standard, reportovací hranice, materialitní témata, assurance a způsob navigace. Teprve potom následovalo detailní čtení relevantních oddílů. Rejstříky ESRS a GRI, obsah a textové vyhledávání sloužily jako navigace, nikoli jako samostatné kritérium pro zařazení segmentu.</w:t>
      </w:r>
    </w:p>
    <w:p>
      <w:pPr>
        <w:pStyle w:val="Normal"/>
        <w:widowControl/>
        <w:spacing w:lineRule="auto" w:line="360"/>
        <w:ind w:firstLine="709"/>
        <w:jc w:val="both"/>
        <w:rPr/>
      </w:pPr>
      <w:r>
        <w:rPr/>
        <w:t>Práce probíhala ve třech průchodech:</w:t>
      </w:r>
    </w:p>
    <w:p>
      <w:pPr>
        <w:pStyle w:val="Normal"/>
        <w:widowControl/>
        <w:spacing w:lineRule="auto" w:line="360" w:before="0" w:after="0"/>
        <w:ind w:hanging="255" w:start="425"/>
        <w:jc w:val="both"/>
        <w:rPr/>
      </w:pPr>
      <w:r>
        <w:rPr/>
        <w:t xml:space="preserve">1. </w:t>
      </w:r>
      <w:r>
        <w:rPr>
          <w:b/>
        </w:rPr>
        <w:t>Orientační průchod</w:t>
      </w:r>
      <w:r>
        <w:rPr/>
        <w:t xml:space="preserve"> zachytil typ dokumentu, hranice, použitý standard, rozsah ujištění, strukturu a hlavní materialitní oblasti.</w:t>
      </w:r>
    </w:p>
    <w:p>
      <w:pPr>
        <w:pStyle w:val="Normal"/>
        <w:widowControl/>
        <w:spacing w:lineRule="auto" w:line="360" w:before="0" w:after="0"/>
        <w:ind w:hanging="255" w:start="425"/>
        <w:jc w:val="both"/>
        <w:rPr/>
      </w:pPr>
      <w:r>
        <w:rPr/>
        <w:t xml:space="preserve">2. </w:t>
      </w:r>
      <w:r>
        <w:rPr>
          <w:b/>
        </w:rPr>
        <w:t>Analytický průchod</w:t>
      </w:r>
      <w:r>
        <w:rPr/>
        <w:t xml:space="preserve"> vyhledával významově ucelená tvrzení o odpovědnosti, procesu, rozhodnutí, cíli, metrice, výsledku, negativním vývoji nebo omezení.</w:t>
      </w:r>
    </w:p>
    <w:p>
      <w:pPr>
        <w:pStyle w:val="Normal"/>
        <w:widowControl/>
        <w:spacing w:lineRule="auto" w:line="360" w:before="0" w:after="0"/>
        <w:ind w:hanging="255" w:start="425"/>
        <w:jc w:val="both"/>
        <w:rPr/>
      </w:pPr>
      <w:r>
        <w:rPr/>
        <w:t xml:space="preserve">3. </w:t>
      </w:r>
      <w:r>
        <w:rPr>
          <w:b/>
        </w:rPr>
        <w:t>Kontrolní průchod</w:t>
      </w:r>
      <w:r>
        <w:rPr/>
        <w:t xml:space="preserve"> znovu ověřoval lokátory, hranice metrik, všechny rozhodovací vazby a položky s nejvyšší evidenční silou.</w:t>
      </w:r>
    </w:p>
    <w:p>
      <w:pPr>
        <w:pStyle w:val="Normal"/>
        <w:widowControl/>
        <w:spacing w:lineRule="auto" w:line="360"/>
        <w:ind w:firstLine="709"/>
        <w:jc w:val="both"/>
        <w:rPr/>
      </w:pPr>
      <w:r>
        <w:rPr/>
        <w:t>Do hlavního korpusu se dostaly jen segmenty přímo relevantní alespoň k jedné výzkumné otázce. Musely přinést nový mechanismus, podstatný kontrast nebo důležitou hranici interpretace. Opakované obecné formulace, duplikované KPI a rozsáhlé seznamy aktivit bez nové analytické informace byly ponechány mimo hlavní evidenční soubor.</w:t>
      </w:r>
    </w:p>
    <w:p>
      <w:pPr>
        <w:pStyle w:val="Normal"/>
        <w:widowControl/>
        <w:spacing w:lineRule="auto" w:line="360"/>
        <w:ind w:firstLine="709"/>
        <w:jc w:val="both"/>
        <w:rPr/>
      </w:pPr>
      <w:r>
        <w:rPr/>
        <w:t xml:space="preserve">Výsledný korpus obsahuje </w:t>
      </w:r>
      <w:r>
        <w:rPr>
          <w:b/>
        </w:rPr>
        <w:t>45 klíčových segmentů</w:t>
      </w:r>
      <w:r>
        <w:rPr/>
        <w:t>: 11 pro ČEZ, 12 pro MONETA, 11 pro O2 a 11 pro Škoda Auto. Nejde o všechny výskyty ESG témat ani o úplný katalog zveřejněných aktivit. Je to záměrně zúžený soubor důkazních jednotek, na kterých stojí hlavní argumentace. Další popisné informace byly zachyceny v pracovních poznámkách, ale nevstupovaly do výsledků jako samostatné důkazy.</w:t>
      </w:r>
    </w:p>
    <w:p>
      <w:pPr>
        <w:pStyle w:val="Heading2"/>
        <w:keepNext w:val="true"/>
        <w:widowControl/>
        <w:ind w:hanging="0"/>
        <w:rPr/>
      </w:pPr>
      <w:bookmarkStart w:id="41" w:name="__RefHeading___Toc2086_516823210"/>
      <w:bookmarkEnd w:id="41"/>
      <w:r>
        <w:rPr/>
        <w:t>3.6 Jednotky analýzy a segmentace</w:t>
      </w:r>
    </w:p>
    <w:p>
      <w:pPr>
        <w:pStyle w:val="Normal"/>
        <w:widowControl/>
        <w:spacing w:lineRule="auto" w:line="360"/>
        <w:ind w:firstLine="709"/>
        <w:jc w:val="both"/>
        <w:rPr/>
      </w:pPr>
      <w:r>
        <w:rPr/>
        <w:t>V návaznosti na Schreier (2012) byly rozlišeny tři úrovně:</w:t>
      </w:r>
    </w:p>
    <w:p>
      <w:pPr>
        <w:pStyle w:val="ListBullet"/>
        <w:widowControl/>
        <w:numPr>
          <w:ilvl w:val="0"/>
          <w:numId w:val="1"/>
        </w:numPr>
        <w:spacing w:lineRule="auto" w:line="360" w:before="0" w:after="0"/>
        <w:ind w:hanging="142" w:start="425"/>
        <w:contextualSpacing/>
        <w:rPr/>
      </w:pPr>
      <w:r>
        <w:rPr>
          <w:b/>
        </w:rPr>
        <w:t>jednotkou analýzy</w:t>
      </w:r>
      <w:r>
        <w:rPr/>
        <w:t xml:space="preserve"> je jeden podnik a uzavřený soubor jeho dokumentů za rok 2024;</w:t>
      </w:r>
    </w:p>
    <w:p>
      <w:pPr>
        <w:pStyle w:val="ListBullet"/>
        <w:widowControl/>
        <w:numPr>
          <w:ilvl w:val="0"/>
          <w:numId w:val="1"/>
        </w:numPr>
        <w:spacing w:lineRule="auto" w:line="360" w:before="0" w:after="0"/>
        <w:ind w:hanging="142" w:start="425"/>
        <w:contextualSpacing/>
        <w:rPr/>
      </w:pPr>
      <w:r>
        <w:rPr>
          <w:b/>
        </w:rPr>
        <w:t>jednotkou kódování</w:t>
      </w:r>
      <w:r>
        <w:rPr/>
        <w:t xml:space="preserve"> je významově ucelený segment s tvrzením o cíli, odpovědnosti, procesu, rozhodnutí, metrice, výsledku, negativním dopadu, změně nebo ověření;</w:t>
      </w:r>
    </w:p>
    <w:p>
      <w:pPr>
        <w:pStyle w:val="ListBullet"/>
        <w:widowControl/>
        <w:numPr>
          <w:ilvl w:val="0"/>
          <w:numId w:val="1"/>
        </w:numPr>
        <w:spacing w:lineRule="auto" w:line="360" w:before="0" w:after="0"/>
        <w:ind w:hanging="142" w:start="425"/>
        <w:contextualSpacing/>
        <w:rPr/>
      </w:pPr>
      <w:r>
        <w:rPr>
          <w:b/>
        </w:rPr>
        <w:t>kontextovou jednotku</w:t>
      </w:r>
      <w:r>
        <w:rPr/>
        <w:t xml:space="preserve"> tvoří celý související oddíl, tabulka, metodická poznámka a případně assurance report.</w:t>
      </w:r>
    </w:p>
    <w:p>
      <w:pPr>
        <w:pStyle w:val="Normal"/>
        <w:widowControl/>
        <w:spacing w:lineRule="auto" w:line="360"/>
        <w:ind w:firstLine="709"/>
        <w:jc w:val="both"/>
        <w:rPr/>
      </w:pPr>
      <w:r>
        <w:rPr/>
        <w:t>Kódovací jednotka mohla mít podobu jednoho odstavce, několika souvisejících vět nebo tabulkové položky. Nebyla však čtena bez nadpisu a poznámek. To je důležité například u časových řad emisí. Samotná meziroční změna může vypadat jednoznačně, ale její význam se změní, pokud podnik současně rozšířil organizační hranici nebo přepočítal historická data.</w:t>
      </w:r>
    </w:p>
    <w:p>
      <w:pPr>
        <w:pStyle w:val="Normal"/>
        <w:widowControl/>
        <w:spacing w:lineRule="auto" w:line="360"/>
        <w:ind w:firstLine="709"/>
        <w:jc w:val="both"/>
        <w:rPr/>
      </w:pPr>
      <w:r>
        <w:rPr/>
        <w:t>Jeden segment mohl nést více tematických kódů. Tvrzení, že představenstvo schvaluje přechodový plán prostřednictvím investičního plánu, patří současně do governance, strategické vazby i kapitálové alokace a může být klasifikováno jako E3. Vícenásobné kódování bylo přijato tam, kde zachycovalo rozdílné analytické funkce téhož tvrzení, nikoli jen jako mechanické násobení kategorií.</w:t>
      </w:r>
    </w:p>
    <w:p>
      <w:pPr>
        <w:pStyle w:val="Heading2"/>
        <w:keepNext w:val="true"/>
        <w:widowControl/>
        <w:ind w:hanging="0"/>
        <w:rPr/>
      </w:pPr>
      <w:bookmarkStart w:id="42" w:name="__RefHeading___Toc2088_516823210"/>
      <w:bookmarkEnd w:id="42"/>
      <w:r>
        <w:rPr/>
        <w:t>3.7 Kódovací rámec</w:t>
      </w:r>
    </w:p>
    <w:p>
      <w:pPr>
        <w:pStyle w:val="Normal"/>
        <w:widowControl/>
        <w:spacing w:lineRule="auto" w:line="360"/>
        <w:ind w:firstLine="709"/>
        <w:jc w:val="both"/>
        <w:rPr/>
      </w:pPr>
      <w:r>
        <w:rPr/>
        <w:t>Počáteční rámec vycházel z teoretické kapitoly a výzkumných otázek. Během pilotu se ukázalo, že některé kategorie jsou příliš široké, zatímco jiné v původním návrhu chyběly. Finální kódy byly uspořádány do osmi rodin.</w:t>
      </w:r>
    </w:p>
    <w:p>
      <w:pPr>
        <w:pStyle w:val="CaptionThesis"/>
        <w:widowControl/>
        <w:rPr/>
      </w:pPr>
      <w:r>
        <w:rPr>
          <w:b/>
        </w:rPr>
        <w:t>Tabulka 2: Rodiny kódů</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Rodina</w:t>
            </w:r>
          </w:p>
        </w:tc>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Příklady kódů</w:t>
            </w:r>
          </w:p>
        </w:tc>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Analytická otázka</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tlak a motivace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regulace, investor, skupina, provozní kotva, legitimita</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Proč je téma přijato nebo zveřejněno?</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materialita a strategie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dvojí materialita, podnikatelský model, stakeholder input</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Jak je určena priorita?</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governance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dohled orgánu, vlastník, výbor, kadence, kontrola, expertiza</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Kdo odpovídá a jak probíhá dohled?</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manažerská integrace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CapEx, OpEx, riziko, odměna, produkt, dodavatel, provoz</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Které rozhodnutí může informace změnit?</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metriky a výsledky</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baseline, cíl, časová řada, hranice, output, outcome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Co je měřeno a s jakou srovnatelností?</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negativní informace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negativní dopad, zhoršení, datová mezera, změna cíle, trade-off</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Jak dokument zachází s nepříznivou informací?</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ověření</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omezené ujištění, přiměřené ujištění, absence ujištění</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Co bylo nezávisle prověřeno a v jakém rozsahu?</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status tvrzení</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firemní tvrzení, metrika, omezení, interpretace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Kdo je zdrojem výroku a co z něj plyne?</w:t>
            </w:r>
          </w:p>
        </w:tc>
      </w:tr>
    </w:tbl>
    <w:p>
      <w:pPr>
        <w:pStyle w:val="Normal"/>
        <w:spacing w:before="0" w:after="40"/>
        <w:rPr/>
      </w:pPr>
      <w:r>
        <w:rPr/>
      </w:r>
    </w:p>
    <w:p>
      <w:pPr>
        <w:pStyle w:val="Normal"/>
        <w:widowControl/>
        <w:spacing w:lineRule="auto" w:line="360"/>
        <w:ind w:firstLine="709"/>
        <w:jc w:val="both"/>
        <w:rPr/>
      </w:pPr>
      <w:r>
        <w:rPr/>
        <w:t xml:space="preserve">Každý kód měl definici, pravidlo zahrnutí a vyloučení, příklad a vztah k evidenční síle. Nová kategorie byla doplněna jen tehdy, pokud se jev opakoval nebo zásadně narušoval původní rámec. Takto zesílila zejména rodina </w:t>
      </w:r>
      <w:r>
        <w:rPr>
          <w:b/>
        </w:rPr>
        <w:t>negativní informace a revize</w:t>
      </w:r>
      <w:r>
        <w:rPr/>
        <w:t>. Počáteční návrh se soustředil hlavně na governance a rozhodovací vazby, ale během čtení se ukázalo, že přiznaný restatement, zhoršený KPI, změna cíle nebo chybějící outcome metrika výrazně ovlivňují informační hodnotu reportu.</w:t>
      </w:r>
    </w:p>
    <w:p>
      <w:pPr>
        <w:pStyle w:val="Normal"/>
        <w:widowControl/>
        <w:spacing w:lineRule="auto" w:line="360"/>
        <w:ind w:firstLine="709"/>
        <w:jc w:val="both"/>
        <w:rPr/>
      </w:pPr>
      <w:r>
        <w:rPr/>
        <w:t>Kódovací rámec proto nesloužil jen k označení toho, co organizace má. Stejně důležitou funkcí bylo zachytit místa, kde je systém neúplný, v přechodu nebo kde dokument sám omezuje příliš pozitivní interpretaci.</w:t>
      </w:r>
    </w:p>
    <w:p>
      <w:pPr>
        <w:pStyle w:val="Heading2"/>
        <w:keepNext w:val="true"/>
        <w:widowControl/>
        <w:ind w:hanging="0"/>
        <w:rPr/>
      </w:pPr>
      <w:bookmarkStart w:id="43" w:name="__RefHeading___Toc2090_516823210"/>
      <w:bookmarkEnd w:id="43"/>
      <w:r>
        <w:rPr/>
        <w:t>3.8 Škála evidenční síly E0–E4</w:t>
      </w:r>
    </w:p>
    <w:p>
      <w:pPr>
        <w:pStyle w:val="Normal"/>
        <w:widowControl/>
        <w:spacing w:lineRule="auto" w:line="360"/>
        <w:ind w:firstLine="709"/>
        <w:jc w:val="both"/>
        <w:rPr/>
      </w:pPr>
      <w:r>
        <w:rPr/>
        <w:t>Pro porovnání odlišných typů tvrzení byla použita škála evidenční síly. Hodnocenou jednotkou je vždy konkrétní segment, nikoli podnik jako celek.</w:t>
      </w:r>
    </w:p>
    <w:p>
      <w:pPr>
        <w:pStyle w:val="CaptionThesis"/>
        <w:widowControl/>
        <w:rPr/>
      </w:pPr>
      <w:r>
        <w:rPr>
          <w:b/>
        </w:rPr>
        <w:t>Tabulka 3: Škála evidenční síly</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Třída</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Název</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Minimální znak</w:t>
            </w:r>
          </w:p>
        </w:tc>
        <w:tc>
          <w:tcPr>
            <w:tcW w:w="226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Co třída neprokazuje</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E0</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deklarace</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hodnotový nebo strategický závazek bez konkrétního mechanismu</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provedení ani výsledek</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E1</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aktivita nebo výstup</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konkrétní opatření, počet účastníků, zapojených dodavatelů či projektů</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změnu stavu nebo chování</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E2</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řízený výsledek nebo formalizovaný proces</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vlastník, metoda, baseline, cíl, časová řada, kontrola nebo přiznaná korekce</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přímý vliv na rozhodnutí ani kauzalitu dopadu</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E3</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rozhodovací vazba</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doložený vstup do kapitálu, rizika, produktu, nákupu, odměny nebo provozního pravidla</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dostatečnost rozhodnutí ani konečný dopad</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E4</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externě podpořený výsledek</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konkrétní výsledek s jasnou hranicí a metodikou v rozsahu silného nezávislého ověření nebo triangulace</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širší kauzalitu, pokud nebyla součástí designu ověření</w:t>
            </w:r>
          </w:p>
        </w:tc>
      </w:tr>
    </w:tbl>
    <w:p>
      <w:pPr>
        <w:pStyle w:val="Normal"/>
        <w:spacing w:before="0" w:after="40"/>
        <w:rPr/>
      </w:pPr>
      <w:r>
        <w:rPr/>
      </w:r>
    </w:p>
    <w:p>
      <w:pPr>
        <w:pStyle w:val="Normal"/>
        <w:widowControl/>
        <w:spacing w:lineRule="auto" w:line="360"/>
        <w:ind w:firstLine="709"/>
        <w:jc w:val="both"/>
        <w:rPr/>
      </w:pPr>
      <w:r>
        <w:rPr/>
        <w:t>Třídy netvoří pořadí „dobrých“ a „špatných“ firem. E3 zachycuje silný znak manažerské integrace, i když výsledná metrika nemusí být externě ověřena. E4 naproti tomu vypovídá o síle podpory konkrétního výsledku; sama neříká, jak hluboko je téma zapojeno do rozhodování. Status assurance a evidenční třída jsou proto zaznamenány odděleně.</w:t>
      </w:r>
    </w:p>
    <w:p>
      <w:pPr>
        <w:pStyle w:val="Normal"/>
        <w:widowControl/>
        <w:spacing w:lineRule="auto" w:line="360"/>
        <w:ind w:firstLine="709"/>
        <w:jc w:val="both"/>
        <w:rPr/>
      </w:pPr>
      <w:r>
        <w:rPr/>
        <w:t>Rozdíl lze ukázat na jednoduchých příkladech. Počet účastníků programu digitální gramotnosti je E1, pokud dokládá rozsah aktivity. Meziroční změna spotřeby s jasnou hranicí a metodikou patří do E2. Informace, že energetická účinnost vstupuje do výběru technologie datového centra, je E3. Externě ověřený výpočet přesně vymezené metriky může být E4, ale ani tehdy nemusí dokládat širší společenský dopad programu.</w:t>
      </w:r>
    </w:p>
    <w:p>
      <w:pPr>
        <w:pStyle w:val="Normal"/>
        <w:widowControl/>
        <w:spacing w:lineRule="auto" w:line="360"/>
        <w:ind w:firstLine="709"/>
        <w:jc w:val="both"/>
        <w:rPr/>
      </w:pPr>
      <w:r>
        <w:rPr/>
        <w:t>Při klasifikaci se vždy zapisovalo také omezení. Tím se mělo zabránit tomu, aby stručné označení třídy nahradilo interpretaci konkrétního tvrzení.</w:t>
      </w:r>
    </w:p>
    <w:p>
      <w:pPr>
        <w:pStyle w:val="Heading2"/>
        <w:keepNext w:val="true"/>
        <w:widowControl/>
        <w:ind w:hanging="0"/>
        <w:rPr/>
      </w:pPr>
      <w:bookmarkStart w:id="44" w:name="__RefHeading___Toc2092_516823210"/>
      <w:bookmarkEnd w:id="44"/>
      <w:r>
        <w:rPr/>
        <w:t>3.9 Pilotní kódování</w:t>
      </w:r>
    </w:p>
    <w:p>
      <w:pPr>
        <w:pStyle w:val="Normal"/>
        <w:widowControl/>
        <w:spacing w:lineRule="auto" w:line="360"/>
        <w:ind w:firstLine="709"/>
        <w:jc w:val="both"/>
        <w:rPr/>
      </w:pPr>
      <w:r>
        <w:rPr/>
        <w:t>Pilot zahrnoval nejméně dva kontrastní úseky z každého případu: jeden zaměřený na strategii nebo governance a druhý na metriky a výsledky. Jeho účelem nebylo předběžně „potvrdit“ očekávaná témata, ale ověřit, zda navržené kategorie skutečně fungují na různých typech dokumentů.</w:t>
      </w:r>
    </w:p>
    <w:p>
      <w:pPr>
        <w:pStyle w:val="Normal"/>
        <w:widowControl/>
        <w:spacing w:lineRule="auto" w:line="360"/>
        <w:ind w:firstLine="709"/>
        <w:jc w:val="both"/>
        <w:rPr/>
      </w:pPr>
      <w:r>
        <w:rPr/>
        <w:t>Kontrolovalo se pět problémů:</w:t>
      </w:r>
    </w:p>
    <w:p>
      <w:pPr>
        <w:pStyle w:val="Normal"/>
        <w:widowControl/>
        <w:spacing w:lineRule="auto" w:line="360" w:before="0" w:after="0"/>
        <w:ind w:hanging="255" w:start="425"/>
        <w:jc w:val="both"/>
        <w:rPr/>
      </w:pPr>
      <w:r>
        <w:rPr/>
        <w:t>1. zda se kódy nepřekrývají bez analytického přínosu;</w:t>
      </w:r>
    </w:p>
    <w:p>
      <w:pPr>
        <w:pStyle w:val="Normal"/>
        <w:widowControl/>
        <w:spacing w:lineRule="auto" w:line="360" w:before="0" w:after="0"/>
        <w:ind w:hanging="255" w:start="425"/>
        <w:jc w:val="both"/>
        <w:rPr/>
      </w:pPr>
      <w:r>
        <w:rPr/>
        <w:t>2. zda je možné konzistentně odlišit aktivitu, výsledek a rozhodovací vazbu;</w:t>
      </w:r>
    </w:p>
    <w:p>
      <w:pPr>
        <w:pStyle w:val="Normal"/>
        <w:widowControl/>
        <w:spacing w:lineRule="auto" w:line="360" w:before="0" w:after="0"/>
        <w:ind w:hanging="255" w:start="425"/>
        <w:jc w:val="both"/>
        <w:rPr/>
      </w:pPr>
      <w:r>
        <w:rPr/>
        <w:t>3. zda lokátor umožňuje segment znovu dohledat v původním kontextu;</w:t>
      </w:r>
    </w:p>
    <w:p>
      <w:pPr>
        <w:pStyle w:val="Normal"/>
        <w:widowControl/>
        <w:spacing w:lineRule="auto" w:line="360" w:before="0" w:after="0"/>
        <w:ind w:hanging="255" w:start="425"/>
        <w:jc w:val="both"/>
        <w:rPr/>
      </w:pPr>
      <w:r>
        <w:rPr/>
        <w:t>4. zda rámec nezvýhodňuje jeden sektor;</w:t>
      </w:r>
    </w:p>
    <w:p>
      <w:pPr>
        <w:pStyle w:val="Normal"/>
        <w:widowControl/>
        <w:spacing w:lineRule="auto" w:line="360" w:before="0" w:after="0"/>
        <w:ind w:hanging="255" w:start="425"/>
        <w:jc w:val="both"/>
        <w:rPr/>
      </w:pPr>
      <w:r>
        <w:rPr/>
        <w:t>5. zda korpus vyžaduje nové induktivní kategorie.</w:t>
      </w:r>
    </w:p>
    <w:p>
      <w:pPr>
        <w:pStyle w:val="Normal"/>
        <w:widowControl/>
        <w:spacing w:lineRule="auto" w:line="360"/>
        <w:ind w:firstLine="709"/>
        <w:jc w:val="both"/>
        <w:rPr/>
      </w:pPr>
      <w:r>
        <w:rPr/>
        <w:t>Pilot vedl ke třem hlavním úpravám. Obecný kód „ESG integrace“ byl rozdělen podle typu rozhodnutí na kapitál, riziko, odměnu, produkt, nákup a provoz. Aktivita, outcome metrika a širší impact claim byly odděleny, protože je původní kategorie nedokázala bezpečně rozlišit. A konečně assurance se stalo samostatnou dimenzí, aby přítomnost externího ujištění automaticky nezvyšovala hodnocení celé zprávy.</w:t>
      </w:r>
    </w:p>
    <w:p>
      <w:pPr>
        <w:pStyle w:val="Normal"/>
        <w:widowControl/>
        <w:spacing w:lineRule="auto" w:line="360"/>
        <w:ind w:firstLine="709"/>
        <w:jc w:val="both"/>
        <w:rPr/>
      </w:pPr>
      <w:r>
        <w:rPr/>
        <w:t>Po uzavření finálního slovníku byly pilotní segmenty znovu posouzeny. Tím se zajistilo, že v korpusu nezůstaly položky klasifikované podle starších a širších definic.</w:t>
      </w:r>
    </w:p>
    <w:p>
      <w:pPr>
        <w:pStyle w:val="Heading2"/>
        <w:keepNext w:val="true"/>
        <w:widowControl/>
        <w:ind w:hanging="0"/>
        <w:rPr/>
      </w:pPr>
      <w:bookmarkStart w:id="45" w:name="__RefHeading___Toc2094_516823210"/>
      <w:bookmarkEnd w:id="45"/>
      <w:r>
        <w:rPr/>
        <w:t>3.10 Hlavní kódování a případová mema</w:t>
      </w:r>
    </w:p>
    <w:p>
      <w:pPr>
        <w:pStyle w:val="Normal"/>
        <w:widowControl/>
        <w:spacing w:lineRule="auto" w:line="360"/>
        <w:ind w:firstLine="709"/>
        <w:jc w:val="both"/>
        <w:rPr/>
      </w:pPr>
      <w:r>
        <w:rPr/>
        <w:t>Hlavní kódování probíhalo nejprve uvnitř jednotlivých případů. U každého segmentu byl uložen identifikátor firmy a dokumentu, přesný lokátor, neutrální parafráze, tematické kódy, evidenční třída, status zdroje, plánované analytické využití a alternativní výklad nebo omezení.</w:t>
      </w:r>
    </w:p>
    <w:p>
      <w:pPr>
        <w:pStyle w:val="Normal"/>
        <w:widowControl/>
        <w:spacing w:lineRule="auto" w:line="360"/>
        <w:ind w:firstLine="709"/>
        <w:jc w:val="both"/>
        <w:rPr/>
      </w:pPr>
      <w:r>
        <w:rPr/>
        <w:t>Po dokončení jednoho podniku vzniklo případové memo. Jeho účelem nebylo převyprávět celý report. Soustředilo se na vnitřní logiku zveřejněné implementace: která témata jsou skutečně spojena s podnikatelským modelem, jak je popsána governance, kde se objevuje rozhodovací vazba, které metriky mají nejsilnější oporu a co narušuje pozitivní příběh dokumentu.</w:t>
      </w:r>
    </w:p>
    <w:p>
      <w:pPr>
        <w:pStyle w:val="Normal"/>
        <w:widowControl/>
        <w:spacing w:lineRule="auto" w:line="360"/>
        <w:ind w:firstLine="709"/>
        <w:jc w:val="both"/>
        <w:rPr/>
      </w:pPr>
      <w:r>
        <w:rPr/>
        <w:t>Každé memo obsahovalo i část věnovanou tomu, co nesedělo na pracovní očekávání. Tento krok měl omezit konfirmační zkreslení, k němuž je řízená obsahová analýza náchylná. U MONETA se například nepotvrdilo očekávání výhradně pozitivního tónu: report otevřeně kritizoval reportovací zátěž, uváděl chybějící outcome cíl i zhoršený ukazatel. U O2 se zase ukázalo, že vysoký počet KPI a aktivit není automatickým dokladem hluboké integrace.</w:t>
      </w:r>
    </w:p>
    <w:p>
      <w:pPr>
        <w:pStyle w:val="Normal"/>
        <w:widowControl/>
        <w:spacing w:lineRule="auto" w:line="360"/>
        <w:ind w:firstLine="709"/>
        <w:jc w:val="both"/>
        <w:rPr/>
      </w:pPr>
      <w:r>
        <w:rPr/>
        <w:t>Teprve po uzavření všech čtyř případových mem začalo mezipřípadové srovnání. Tím se mělo zabránit tomu, aby první výrazný případ předem určil interpretaci ostatních.</w:t>
      </w:r>
    </w:p>
    <w:p>
      <w:pPr>
        <w:pStyle w:val="Heading2"/>
        <w:keepNext w:val="true"/>
        <w:widowControl/>
        <w:ind w:hanging="0"/>
        <w:rPr/>
      </w:pPr>
      <w:bookmarkStart w:id="46" w:name="__RefHeading___Toc2096_516823210"/>
      <w:bookmarkEnd w:id="46"/>
      <w:r>
        <w:rPr/>
        <w:t>3.11 Mezipřípadová syntéza</w:t>
      </w:r>
    </w:p>
    <w:p>
      <w:pPr>
        <w:pStyle w:val="Normal"/>
        <w:widowControl/>
        <w:spacing w:lineRule="auto" w:line="360"/>
        <w:ind w:firstLine="709"/>
        <w:jc w:val="both"/>
        <w:rPr/>
      </w:pPr>
      <w:r>
        <w:rPr/>
        <w:t>Kandidátní téma bylo přijato jen tehdy, pokud splnilo čtyři podmínky. Muselo být podloženo více segmenty nebo jedním analyticky zásadním kritickým případem, obsahovat kontrast alespoň mezi dvěma podniky, jasně oddělovat firemní tvrzení od interpretace autora a uvádět negativní případ, hranici nebo alternativní vysvětlení.</w:t>
      </w:r>
    </w:p>
    <w:p>
      <w:pPr>
        <w:pStyle w:val="Normal"/>
        <w:widowControl/>
        <w:spacing w:lineRule="auto" w:line="360"/>
        <w:ind w:firstLine="709"/>
        <w:jc w:val="both"/>
        <w:rPr/>
      </w:pPr>
      <w:r>
        <w:rPr/>
        <w:t>Počty kódů nebyly používány jako statistický důkaz významnosti. Rozsah dokumentů se výrazně lišil a dlouhý integrovaný report by přirozeně vytvořil více výskytů než stručnější zpráva. Samotná četnost by proto snadno zaměnila publikační formát za kvalitu řízení.</w:t>
      </w:r>
    </w:p>
    <w:p>
      <w:pPr>
        <w:pStyle w:val="Normal"/>
        <w:widowControl/>
        <w:spacing w:lineRule="auto" w:line="360"/>
        <w:ind w:firstLine="709"/>
        <w:jc w:val="both"/>
        <w:rPr/>
      </w:pPr>
      <w:r>
        <w:rPr/>
        <w:t>Syntéza vedla k pěti tématům:</w:t>
      </w:r>
    </w:p>
    <w:p>
      <w:pPr>
        <w:pStyle w:val="Normal"/>
        <w:widowControl/>
        <w:spacing w:lineRule="auto" w:line="360" w:before="0" w:after="0"/>
        <w:ind w:hanging="255" w:start="425"/>
        <w:jc w:val="both"/>
        <w:rPr/>
      </w:pPr>
      <w:r>
        <w:rPr/>
        <w:t>1. standardizovaná architektura reportingu zakrývá rozdílnou manažerskou hloubku;</w:t>
      </w:r>
    </w:p>
    <w:p>
      <w:pPr>
        <w:pStyle w:val="Normal"/>
        <w:widowControl/>
        <w:spacing w:lineRule="auto" w:line="360" w:before="0" w:after="0"/>
        <w:ind w:hanging="255" w:start="425"/>
        <w:jc w:val="both"/>
        <w:rPr/>
      </w:pPr>
      <w:r>
        <w:rPr/>
        <w:t>2. ESG se stává řídicí agendou tam, kde získá provozní nebo finanční kotvu;</w:t>
      </w:r>
    </w:p>
    <w:p>
      <w:pPr>
        <w:pStyle w:val="Normal"/>
        <w:widowControl/>
        <w:spacing w:lineRule="auto" w:line="360" w:before="0" w:after="0"/>
        <w:ind w:hanging="255" w:start="425"/>
        <w:jc w:val="both"/>
        <w:rPr/>
      </w:pPr>
      <w:r>
        <w:rPr/>
        <w:t>3. governance je nejlépe doložena vlastnictvím, kadencí a korektivním mechanismem;</w:t>
      </w:r>
    </w:p>
    <w:p>
      <w:pPr>
        <w:pStyle w:val="Normal"/>
        <w:widowControl/>
        <w:spacing w:lineRule="auto" w:line="360" w:before="0" w:after="0"/>
        <w:ind w:hanging="255" w:start="425"/>
        <w:jc w:val="both"/>
        <w:rPr/>
      </w:pPr>
      <w:r>
        <w:rPr/>
        <w:t>4. metriky upřednostňují aktivity a provozní výsledky před ověřeným širším dopadem;</w:t>
      </w:r>
    </w:p>
    <w:p>
      <w:pPr>
        <w:pStyle w:val="Normal"/>
        <w:widowControl/>
        <w:spacing w:lineRule="auto" w:line="360" w:before="0" w:after="0"/>
        <w:ind w:hanging="255" w:start="425"/>
        <w:jc w:val="both"/>
        <w:rPr/>
      </w:pPr>
      <w:r>
        <w:rPr/>
        <w:t>5. přiznané napětí, revize a negativní informace zvyšují informační hodnotu reportu.</w:t>
      </w:r>
    </w:p>
    <w:p>
      <w:pPr>
        <w:pStyle w:val="Normal"/>
        <w:widowControl/>
        <w:spacing w:lineRule="auto" w:line="360"/>
        <w:ind w:firstLine="709"/>
        <w:jc w:val="both"/>
        <w:rPr/>
      </w:pPr>
      <w:r>
        <w:rPr/>
        <w:t>Témata byla dále porovnána s dílčími výzkumnými otázkami. Pokud některá otázka neměla vedle podpůrného materiálu také omezující nebo kontrastní důkaz, byla syntéza znovu otevřena.</w:t>
      </w:r>
    </w:p>
    <w:p>
      <w:pPr>
        <w:pStyle w:val="Heading2"/>
        <w:keepNext w:val="true"/>
        <w:widowControl/>
        <w:ind w:hanging="0"/>
        <w:rPr/>
      </w:pPr>
      <w:bookmarkStart w:id="47" w:name="__RefHeading___Toc2098_516823210"/>
      <w:bookmarkEnd w:id="47"/>
      <w:r>
        <w:rPr/>
        <w:t>3.12 Kontrola konzistence</w:t>
      </w:r>
    </w:p>
    <w:p>
      <w:pPr>
        <w:pStyle w:val="Normal"/>
        <w:widowControl/>
        <w:spacing w:lineRule="auto" w:line="360"/>
        <w:ind w:firstLine="709"/>
        <w:jc w:val="both"/>
        <w:rPr/>
      </w:pPr>
      <w:r>
        <w:rPr/>
        <w:t>Analýzu provedl jeden autor. Práce proto netvrdí interkodérskou reliabilitu ani nevytváří koeficient shody, který by předstíral nezávislé kódování. Konzistence byla posilována jinými postupy.</w:t>
      </w:r>
    </w:p>
    <w:p>
      <w:pPr>
        <w:pStyle w:val="Normal"/>
        <w:widowControl/>
        <w:spacing w:lineRule="auto" w:line="360"/>
        <w:ind w:firstLine="709"/>
        <w:jc w:val="both"/>
        <w:rPr/>
      </w:pPr>
      <w:r>
        <w:rPr/>
        <w:t>Po uzavření prvního kola byl zvolen stratifikovaný vzorek přibližně deseti procent segmentů. Položky byly znovu klasifikovány bez nahlížení na původně přiřazenou evidenční třídu. Při neshodě se zkoumalo, zda problém vznikl interpretací konkrétního segmentu, nebo nejasnou definicí kategorie. Výsledek kontroly i provedené změny byly zaznamenány v samostatném protokolu.</w:t>
      </w:r>
    </w:p>
    <w:p>
      <w:pPr>
        <w:pStyle w:val="Normal"/>
        <w:widowControl/>
        <w:spacing w:lineRule="auto" w:line="360"/>
        <w:ind w:firstLine="709"/>
        <w:jc w:val="both"/>
        <w:rPr/>
      </w:pPr>
      <w:r>
        <w:rPr/>
        <w:t>Všechny segmenty E3 a E4 byly následně znovu otevřeny v původních dokumentech. Kontrola se zaměřila na pět bodů:</w:t>
      </w:r>
    </w:p>
    <w:p>
      <w:pPr>
        <w:pStyle w:val="ListBullet"/>
        <w:widowControl/>
        <w:numPr>
          <w:ilvl w:val="0"/>
          <w:numId w:val="1"/>
        </w:numPr>
        <w:spacing w:lineRule="auto" w:line="360" w:before="0" w:after="0"/>
        <w:ind w:hanging="142" w:start="425"/>
        <w:contextualSpacing/>
        <w:rPr/>
      </w:pPr>
      <w:r>
        <w:rPr/>
        <w:t>je rozhodovací vazba skutečně uvedena, nebo pouze předpokládána;</w:t>
      </w:r>
    </w:p>
    <w:p>
      <w:pPr>
        <w:pStyle w:val="ListBullet"/>
        <w:widowControl/>
        <w:numPr>
          <w:ilvl w:val="0"/>
          <w:numId w:val="1"/>
        </w:numPr>
        <w:spacing w:lineRule="auto" w:line="360" w:before="0" w:after="0"/>
        <w:ind w:hanging="142" w:start="425"/>
        <w:contextualSpacing/>
        <w:rPr/>
      </w:pPr>
      <w:r>
        <w:rPr/>
        <w:t>vztahuje se tvrzení ke správné organizační hranici;</w:t>
      </w:r>
    </w:p>
    <w:p>
      <w:pPr>
        <w:pStyle w:val="ListBullet"/>
        <w:widowControl/>
        <w:numPr>
          <w:ilvl w:val="0"/>
          <w:numId w:val="1"/>
        </w:numPr>
        <w:spacing w:lineRule="auto" w:line="360" w:before="0" w:after="0"/>
        <w:ind w:hanging="142" w:start="425"/>
        <w:contextualSpacing/>
        <w:rPr/>
      </w:pPr>
      <w:r>
        <w:rPr/>
        <w:t>pokrývá assurance právě danou metriku;</w:t>
      </w:r>
    </w:p>
    <w:p>
      <w:pPr>
        <w:pStyle w:val="ListBullet"/>
        <w:widowControl/>
        <w:numPr>
          <w:ilvl w:val="0"/>
          <w:numId w:val="1"/>
        </w:numPr>
        <w:spacing w:lineRule="auto" w:line="360" w:before="0" w:after="0"/>
        <w:ind w:hanging="142" w:start="425"/>
        <w:contextualSpacing/>
        <w:rPr/>
      </w:pPr>
      <w:r>
        <w:rPr/>
        <w:t>nepřekračuje parafráze rozsah firemního výroku;</w:t>
      </w:r>
    </w:p>
    <w:p>
      <w:pPr>
        <w:pStyle w:val="ListBullet"/>
        <w:widowControl/>
        <w:numPr>
          <w:ilvl w:val="0"/>
          <w:numId w:val="1"/>
        </w:numPr>
        <w:spacing w:lineRule="auto" w:line="360" w:before="0" w:after="0"/>
        <w:ind w:hanging="142" w:start="425"/>
        <w:contextualSpacing/>
        <w:rPr/>
      </w:pPr>
      <w:r>
        <w:rPr/>
        <w:t>zachycuje uvedené omezení realistický alternativní výklad.</w:t>
      </w:r>
    </w:p>
    <w:p>
      <w:pPr>
        <w:pStyle w:val="Normal"/>
        <w:widowControl/>
        <w:spacing w:lineRule="auto" w:line="360"/>
        <w:ind w:firstLine="709"/>
        <w:jc w:val="both"/>
        <w:rPr/>
      </w:pPr>
      <w:r>
        <w:rPr/>
        <w:t>Jedna původně vyšší klasifikace obecného assurance tvrzení byla po této kontrole snížena. Samotná existence omezeného ujištění nad zprávou nedokládala rozhodovací vazbu ani externě potvrzený dopad. Korekce pomohla důsledněji oddělit sílu konkrétního důkazu od obecného statusu ověření dokumentu.</w:t>
      </w:r>
    </w:p>
    <w:p>
      <w:pPr>
        <w:pStyle w:val="Heading2"/>
        <w:keepNext w:val="true"/>
        <w:widowControl/>
        <w:ind w:hanging="0"/>
        <w:rPr/>
      </w:pPr>
      <w:bookmarkStart w:id="48" w:name="__RefHeading___Toc2100_516823210"/>
      <w:bookmarkEnd w:id="48"/>
      <w:r>
        <w:rPr/>
        <w:t>3.13 Důvěryhodnost a auditní stopa</w:t>
      </w:r>
    </w:p>
    <w:p>
      <w:pPr>
        <w:pStyle w:val="Normal"/>
        <w:widowControl/>
        <w:spacing w:lineRule="auto" w:line="360"/>
        <w:ind w:firstLine="709"/>
        <w:jc w:val="both"/>
        <w:rPr/>
      </w:pPr>
      <w:r>
        <w:rPr/>
        <w:t>Důvěryhodnost analýzy byla podporována několika vzájemně propojenými postupy.</w:t>
      </w:r>
    </w:p>
    <w:p>
      <w:pPr>
        <w:pStyle w:val="Heading3"/>
        <w:keepNext w:val="true"/>
        <w:widowControl/>
        <w:ind w:hanging="0"/>
        <w:rPr/>
      </w:pPr>
      <w:bookmarkStart w:id="49" w:name="__RefHeading___Toc2102_516823210"/>
      <w:bookmarkEnd w:id="49"/>
      <w:r>
        <w:rPr/>
        <w:t>3.13.1 Dohledatelnost</w:t>
      </w:r>
    </w:p>
    <w:p>
      <w:pPr>
        <w:pStyle w:val="Normal"/>
        <w:widowControl/>
        <w:spacing w:lineRule="auto" w:line="360"/>
        <w:ind w:firstLine="709"/>
        <w:jc w:val="both"/>
        <w:rPr/>
      </w:pPr>
      <w:r>
        <w:rPr/>
        <w:t>Každé klíčové zjištění je spojeno s položkou evidenční matice a přesným lokátorem. Čtenář tak může otevřít původní zdroj a posoudit, zda parafráze i interpretace odpovídají širšímu kontextu. Dohledatelnost nezaručuje jediný správný výklad, ale umožňuje konkrétní výklad věcně napadnout.</w:t>
      </w:r>
    </w:p>
    <w:p>
      <w:pPr>
        <w:pStyle w:val="Heading3"/>
        <w:keepNext w:val="true"/>
        <w:widowControl/>
        <w:ind w:hanging="0"/>
        <w:rPr/>
      </w:pPr>
      <w:bookmarkStart w:id="50" w:name="__RefHeading___Toc2104_516823210"/>
      <w:bookmarkEnd w:id="50"/>
      <w:r>
        <w:rPr/>
        <w:t>3.13.2 Negativní případy</w:t>
      </w:r>
    </w:p>
    <w:p>
      <w:pPr>
        <w:pStyle w:val="Normal"/>
        <w:widowControl/>
        <w:spacing w:lineRule="auto" w:line="360"/>
        <w:ind w:firstLine="709"/>
        <w:jc w:val="both"/>
        <w:rPr/>
      </w:pPr>
      <w:r>
        <w:rPr/>
        <w:t>Během čtení byly cíleně vyhledávány zhoršené ukazatele, restatementy, změny hranic, zrušené cíle, chybějící KPI, nevyřešené negativní dopady a explicitní omezení. Taková informace nebyla automaticky hodnocena jako důkaz horšího řízení. V některých situacích naopak zvyšovala vyváženost a kontrolovatelnost reportu.</w:t>
      </w:r>
    </w:p>
    <w:p>
      <w:pPr>
        <w:pStyle w:val="Heading3"/>
        <w:keepNext w:val="true"/>
        <w:widowControl/>
        <w:ind w:hanging="0"/>
        <w:rPr/>
      </w:pPr>
      <w:bookmarkStart w:id="51" w:name="__RefHeading___Toc2106_516823210"/>
      <w:bookmarkEnd w:id="51"/>
      <w:r>
        <w:rPr/>
        <w:t>3.13.3 Alternativní výklad</w:t>
      </w:r>
    </w:p>
    <w:p>
      <w:pPr>
        <w:pStyle w:val="Normal"/>
        <w:widowControl/>
        <w:spacing w:lineRule="auto" w:line="360"/>
        <w:ind w:firstLine="709"/>
        <w:jc w:val="both"/>
        <w:rPr/>
      </w:pPr>
      <w:r>
        <w:rPr/>
        <w:t>Každý významný segment má zapsanou hranici. Vysoký taxonomicky sladěný CapEx může dokazovat vazbu na investiční plán, nikoli celkovou udržitelnost firmy. Růst emisí může představovat zhoršení provozu, rozšíření hranice nebo přesnější metodu. Výbor může mít formálně silný mandát, ale dokument nemusí ukázat jeho skutečný vliv. Uvedení alternativy mělo zabránit tomu, aby jediná plausibilní interpretace byla vydávána za prokázaný fakt.</w:t>
      </w:r>
    </w:p>
    <w:p>
      <w:pPr>
        <w:pStyle w:val="Heading3"/>
        <w:keepNext w:val="true"/>
        <w:widowControl/>
        <w:ind w:hanging="0"/>
        <w:rPr/>
      </w:pPr>
      <w:bookmarkStart w:id="52" w:name="__RefHeading___Toc2108_516823210"/>
      <w:bookmarkEnd w:id="52"/>
      <w:r>
        <w:rPr/>
        <w:t>3.13.4 Reflexivita</w:t>
      </w:r>
    </w:p>
    <w:p>
      <w:pPr>
        <w:pStyle w:val="Normal"/>
        <w:widowControl/>
        <w:spacing w:lineRule="auto" w:line="360"/>
        <w:ind w:firstLine="709"/>
        <w:jc w:val="both"/>
        <w:rPr/>
      </w:pPr>
      <w:r>
        <w:rPr/>
        <w:t>Před hlavní analýzou byla zaznamenána očekávání, že ESRS zvýší strukturální podobnost reportů, že nejsilnější integrace se objeví u sektorově materiálních témat a že firemní komunikace bude převážně pozitivní. Případová mema pak zachycovala místa, kde se tato očekávání nepotvrdila nebo byla příliš jednoduchá.</w:t>
      </w:r>
    </w:p>
    <w:p>
      <w:pPr>
        <w:pStyle w:val="Heading3"/>
        <w:keepNext w:val="true"/>
        <w:widowControl/>
        <w:ind w:hanging="0"/>
        <w:rPr/>
      </w:pPr>
      <w:bookmarkStart w:id="53" w:name="__RefHeading___Toc2110_516823210"/>
      <w:bookmarkEnd w:id="53"/>
      <w:r>
        <w:rPr/>
        <w:t>3.13.5 Verzování</w:t>
      </w:r>
    </w:p>
    <w:p>
      <w:pPr>
        <w:pStyle w:val="Normal"/>
        <w:widowControl/>
        <w:spacing w:lineRule="auto" w:line="360"/>
        <w:ind w:firstLine="709"/>
        <w:jc w:val="both"/>
        <w:rPr/>
      </w:pPr>
      <w:r>
        <w:rPr/>
        <w:t>Registr zdrojů, kódovací rámec, důkazní segmenty, případová mema i mezipřípadová syntéza byly verzovány. Hlavní tvrzení rukopisu jsou propojena s evidenčním ledgerem. Reprodukovatelnost zde neznamená, že jiný analytik musí vytvořit identická témata. Znamená, že může dohledat vstupy, pochopit postup a ukázat, ve kterém konkrétním kroku s interpretací nesouhlasí.</w:t>
      </w:r>
    </w:p>
    <w:p>
      <w:pPr>
        <w:pStyle w:val="Heading2"/>
        <w:keepNext w:val="true"/>
        <w:widowControl/>
        <w:ind w:hanging="0"/>
        <w:rPr/>
      </w:pPr>
      <w:bookmarkStart w:id="54" w:name="__RefHeading___Toc2112_516823210"/>
      <w:bookmarkEnd w:id="54"/>
      <w:r>
        <w:rPr/>
        <w:t>3.14 Etické aspekty</w:t>
      </w:r>
    </w:p>
    <w:p>
      <w:pPr>
        <w:pStyle w:val="Normal"/>
        <w:widowControl/>
        <w:spacing w:lineRule="auto" w:line="360"/>
        <w:ind w:firstLine="709"/>
        <w:jc w:val="both"/>
        <w:rPr/>
      </w:pPr>
      <w:r>
        <w:rPr/>
        <w:t>Výzkum pracuje s veřejně dostupnými dokumenty právnických osob. Nezahrnuje nábor respondentů, neveřejné osobní údaje ani zásah do fungování analyzovaných podniků. Jména členů vedení nebyla pro výsledkovou argumentaci potřebná; pozornost je věnována funkcím, rolím a governance mechanismům.</w:t>
      </w:r>
    </w:p>
    <w:p>
      <w:pPr>
        <w:pStyle w:val="Normal"/>
        <w:widowControl/>
        <w:spacing w:lineRule="auto" w:line="360"/>
        <w:ind w:firstLine="709"/>
        <w:jc w:val="both"/>
        <w:rPr/>
      </w:pPr>
      <w:r>
        <w:rPr/>
        <w:t>Přímé citace jsou používány střídmě a převládá přesná parafráze s lokátorem. Analýza se vyhýbá tvrzením o úmyslu. Z veřejného textu nelze bezpečně určit, zda určitá formulace vznikla s cílem manipulovat, splnit regulatorní povinnost, koordinovat řízení nebo kombinovat více účelů. Proto práce hovoří o pozorovatelných znacích symbolické a substantivní implementace, nikoli o prokázaném úmyslu greenwashingu.</w:t>
      </w:r>
    </w:p>
    <w:p>
      <w:pPr>
        <w:pStyle w:val="Normal"/>
        <w:widowControl/>
        <w:spacing w:lineRule="auto" w:line="360"/>
        <w:ind w:firstLine="709"/>
        <w:jc w:val="both"/>
        <w:rPr/>
      </w:pPr>
      <w:r>
        <w:rPr/>
        <w:t>Stejná opatrnost se vztahuje k negativním výsledkům. Zhoršený ukazatel není používán jako morální soud nad organizací a absence informace není interpretována jako důkaz, že daná praxe neexistuje.</w:t>
      </w:r>
    </w:p>
    <w:p>
      <w:pPr>
        <w:pStyle w:val="Heading2"/>
        <w:keepNext w:val="true"/>
        <w:widowControl/>
        <w:ind w:hanging="0"/>
        <w:rPr/>
      </w:pPr>
      <w:bookmarkStart w:id="55" w:name="__RefHeading___Toc2114_516823210"/>
      <w:bookmarkEnd w:id="55"/>
      <w:r>
        <w:rPr/>
        <w:t>3.15 Limity výzkumného designu</w:t>
      </w:r>
    </w:p>
    <w:p>
      <w:pPr>
        <w:pStyle w:val="Normal"/>
        <w:widowControl/>
        <w:spacing w:lineRule="auto" w:line="360"/>
        <w:ind w:firstLine="709"/>
        <w:jc w:val="both"/>
        <w:rPr/>
      </w:pPr>
      <w:r>
        <w:rPr/>
        <w:t>Prvním omezením je sebeprezentační povaha zdrojů. Podnik určuje, které informace zveřejní, jak nastaví hranici a jak výsledek vysvětlí. Dokument může praxi zvýraznit i podhodnotit; mlčení samo o sobě nic definitivního nedokazuje.</w:t>
      </w:r>
    </w:p>
    <w:p>
      <w:pPr>
        <w:pStyle w:val="Normal"/>
        <w:widowControl/>
        <w:spacing w:lineRule="auto" w:line="360"/>
        <w:ind w:firstLine="709"/>
        <w:jc w:val="both"/>
        <w:rPr/>
      </w:pPr>
      <w:r>
        <w:rPr/>
        <w:t>Druhým omezením je nerovný rozsah a forma reportů. Integrovaná zpráva ČEZ má jinou informační hustotu než samostatný report O2 nebo online rozhraní Škoda Auto. Proto nejsou četnosti kódů používány jako přímá míra kvality.</w:t>
      </w:r>
    </w:p>
    <w:p>
      <w:pPr>
        <w:pStyle w:val="Normal"/>
        <w:widowControl/>
        <w:spacing w:lineRule="auto" w:line="360"/>
        <w:ind w:firstLine="709"/>
        <w:jc w:val="both"/>
        <w:rPr/>
      </w:pPr>
      <w:r>
        <w:rPr/>
        <w:t>Třetím omezením je sektorová nesouměřitelnost. Společné kategorie rozhodovací vazby umožňují porovnávat mechanismy, nikoli absolutní velikost dopadů.</w:t>
      </w:r>
    </w:p>
    <w:p>
      <w:pPr>
        <w:pStyle w:val="Normal"/>
        <w:widowControl/>
        <w:spacing w:lineRule="auto" w:line="360"/>
        <w:ind w:firstLine="709"/>
        <w:jc w:val="both"/>
        <w:rPr/>
      </w:pPr>
      <w:r>
        <w:rPr/>
        <w:t>Čtvrtou hranici představují skupinové úrovně. U ČEZ a Škoda Auto se část politik a dat vztahuje ke skupině, jiná k právnické osobě nebo vybraným závodům. Každý závěr proto respektuje hranici uvedenou v konkrétním zdroji.</w:t>
      </w:r>
    </w:p>
    <w:p>
      <w:pPr>
        <w:pStyle w:val="Normal"/>
        <w:widowControl/>
        <w:spacing w:lineRule="auto" w:line="360"/>
        <w:ind w:firstLine="709"/>
        <w:jc w:val="both"/>
        <w:rPr/>
      </w:pPr>
      <w:r>
        <w:rPr/>
        <w:t>Pátým omezením je časový řez. Rok 2024 zachycuje ranou fázi evropského reportovacího režimu. Z těchto dokumentů nelze určit, které procesy přetrvají po pozdějších legislativních změnách ani zda budou dlouhodobé cíle splněny.</w:t>
      </w:r>
    </w:p>
    <w:p>
      <w:pPr>
        <w:pStyle w:val="Normal"/>
        <w:widowControl/>
        <w:spacing w:lineRule="auto" w:line="360"/>
        <w:ind w:firstLine="709"/>
        <w:jc w:val="both"/>
        <w:rPr/>
      </w:pPr>
      <w:r>
        <w:rPr/>
        <w:t>Šestým omezením je absence provozní triangulace. Výzkum nemá přístup k interním zápisům, smlouvám, investičním modelům ani zkušenosti zaměstnanců, dodavatelů nebo komunit. E3 proto znamená zveřejněnou rozhodovací vazbu, nikoli nezávislé potvrzení každého rozhodnutí.</w:t>
      </w:r>
    </w:p>
    <w:p>
      <w:pPr>
        <w:pStyle w:val="Normal"/>
        <w:widowControl/>
        <w:spacing w:lineRule="auto" w:line="360"/>
        <w:ind w:firstLine="709"/>
        <w:jc w:val="both"/>
        <w:rPr/>
      </w:pPr>
      <w:r>
        <w:rPr/>
        <w:t>Sedmým omezením je jediný analytik. Kontrolní překódování, přesné lokátory a práce s negativními případy zvyšují transparentnost, ale neodstraňují interpretační perspektivu autora.</w:t>
      </w:r>
    </w:p>
    <w:p>
      <w:pPr>
        <w:pStyle w:val="Heading2"/>
        <w:keepNext w:val="true"/>
        <w:widowControl/>
        <w:ind w:hanging="0"/>
        <w:rPr/>
      </w:pPr>
      <w:bookmarkStart w:id="56" w:name="__RefHeading___Toc2116_516823210"/>
      <w:bookmarkEnd w:id="56"/>
      <w:r>
        <w:rPr/>
        <w:t>3.16 Kritérium analytické dostatečnosti</w:t>
      </w:r>
    </w:p>
    <w:p>
      <w:pPr>
        <w:pStyle w:val="Normal"/>
        <w:widowControl/>
        <w:spacing w:lineRule="auto" w:line="360"/>
        <w:ind w:firstLine="709"/>
        <w:jc w:val="both"/>
        <w:rPr/>
      </w:pPr>
      <w:r>
        <w:rPr/>
        <w:t>Analýza byla uzavřena ve chvíli, kdy byly dokončeny případové memo pro všechny čtyři podniky, každá výzkumná otázka měla podpůrné i omezující důkazy, všechny položky E3 a E4 byly znovu zkontrolovány v originálu a každé výsledkové téma obsahovalo mezipřípadový kontrast. Hlavní tvrzení musela být současně napojena na evidenční matici.</w:t>
      </w:r>
    </w:p>
    <w:p>
      <w:pPr>
        <w:pStyle w:val="Normal"/>
        <w:widowControl/>
        <w:spacing w:lineRule="auto" w:line="360"/>
        <w:ind w:firstLine="709"/>
        <w:jc w:val="both"/>
        <w:rPr/>
      </w:pPr>
      <w:r>
        <w:rPr/>
        <w:t>Další čtení už nepřinášelo nový typ implementačního mechanismu relevantní k hlavní otázce, ale převážně další příklady již zachycených kategorií. Takto chápané uzavření není statistickou saturací a nemá tuto ambici. Jde o analytickou dostatečnost pro úzce vymezenou dokumentovou otázku a čtyři záměrně kontrastní případy.</w:t>
      </w:r>
    </w:p>
    <w:p>
      <w:pPr>
        <w:pStyle w:val="Normal"/>
        <w:rPr/>
      </w:pPr>
      <w:r>
        <w:rPr/>
      </w:r>
      <w:r>
        <w:br w:type="page"/>
      </w:r>
    </w:p>
    <w:p>
      <w:pPr>
        <w:pStyle w:val="Heading1"/>
        <w:keepNext w:val="true"/>
        <w:widowControl/>
        <w:spacing w:before="0" w:after="180"/>
        <w:ind w:hanging="0"/>
        <w:rPr/>
      </w:pPr>
      <w:bookmarkStart w:id="57" w:name="__RefHeading___Toc2118_516823210"/>
      <w:bookmarkEnd w:id="57"/>
      <w:r>
        <w:rPr/>
        <w:t>4 Výsledky</w:t>
      </w:r>
    </w:p>
    <w:p>
      <w:pPr>
        <w:pStyle w:val="Heading2"/>
        <w:keepNext w:val="true"/>
        <w:widowControl/>
        <w:ind w:hanging="0"/>
        <w:rPr/>
      </w:pPr>
      <w:bookmarkStart w:id="58" w:name="__RefHeading___Toc2120_516823210"/>
      <w:bookmarkEnd w:id="58"/>
      <w:r>
        <w:rPr/>
        <w:t>4.1 Charakteristika analytického korpusu</w:t>
      </w:r>
    </w:p>
    <w:p>
      <w:pPr>
        <w:pStyle w:val="Normal"/>
        <w:widowControl/>
        <w:spacing w:lineRule="auto" w:line="360"/>
        <w:ind w:firstLine="709"/>
        <w:jc w:val="both"/>
        <w:rPr/>
      </w:pPr>
      <w:r>
        <w:rPr/>
        <w:t>Výsledková kapitola vychází ze 45 klíčových segmentů ze čtyř podnikových případů. Do tohoto souboru nebyly vybírány pouze „dobré příklady“ ani pouze problematická místa. Rozhodovala relevance k výzkumným otázkám a schopnost konkrétního úryvku ukázat mechanismus, důležitý kontrast nebo hranici interpretace. Každá položka má přesný lokátor, neutrální parafrázi, tematické kódy, evidenční třídu a uvedené omezení.</w:t>
      </w:r>
    </w:p>
    <w:p>
      <w:pPr>
        <w:pStyle w:val="Normal"/>
        <w:widowControl/>
        <w:spacing w:lineRule="auto" w:line="360"/>
        <w:ind w:firstLine="709"/>
        <w:jc w:val="both"/>
        <w:rPr/>
      </w:pPr>
      <w:r>
        <w:rPr/>
        <w:t>Největší část korpusu spadá do třídy E2. Jinými slovy, reporty poměrně často dokládají formalizovaný proces, vlastníka, cíl, metodu nebo sledovaný vývoj. Osm segmentů obsahuje přímou rozhodovací vazbu E3. E4 byla přiřazena pouze jednou, a to přesně vymezenému výsledku, jehož výpočet měl silnou externí podporu. Nejde tedy o potvrzení celkové udržitelnosti dané banky, ale o hodnocení jednoho konkrétního důkazu.</w:t>
      </w:r>
    </w:p>
    <w:p>
      <w:pPr>
        <w:pStyle w:val="CaptionThesis"/>
        <w:widowControl/>
        <w:rPr/>
      </w:pPr>
      <w:r>
        <w:rPr>
          <w:b/>
        </w:rPr>
        <w:t>Tabulka 4: Rozložení důkazních segmentů podle evidenční třídy</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1296"/>
        <w:gridCol w:w="1295"/>
        <w:gridCol w:w="1297"/>
        <w:gridCol w:w="1295"/>
        <w:gridCol w:w="1297"/>
        <w:gridCol w:w="1295"/>
        <w:gridCol w:w="1296"/>
      </w:tblGrid>
      <w:tr>
        <w:trPr>
          <w:tblHeader w:val="true"/>
          <w:cantSplit w:val="true"/>
        </w:trPr>
        <w:tc>
          <w:tcPr>
            <w:tcW w:w="1296"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Případ</w:t>
            </w:r>
          </w:p>
        </w:tc>
        <w:tc>
          <w:tcPr>
            <w:tcW w:w="1295"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E0</w:t>
            </w:r>
          </w:p>
        </w:tc>
        <w:tc>
          <w:tcPr>
            <w:tcW w:w="129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E1</w:t>
            </w:r>
          </w:p>
        </w:tc>
        <w:tc>
          <w:tcPr>
            <w:tcW w:w="1295"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E2</w:t>
            </w:r>
          </w:p>
        </w:tc>
        <w:tc>
          <w:tcPr>
            <w:tcW w:w="129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E3</w:t>
            </w:r>
          </w:p>
        </w:tc>
        <w:tc>
          <w:tcPr>
            <w:tcW w:w="1295"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E4</w:t>
            </w:r>
          </w:p>
        </w:tc>
        <w:tc>
          <w:tcPr>
            <w:tcW w:w="1296"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Celkem</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ČEZ Group</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8</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3</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11</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MONETA Money Bank</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3</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7</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12</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O2 Czech Republic</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4</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6</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11</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Škoda Auto</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6</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3</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11</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Celkem</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1</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8</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27</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8</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1</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45</w:t>
            </w:r>
          </w:p>
        </w:tc>
      </w:tr>
    </w:tbl>
    <w:p>
      <w:pPr>
        <w:pStyle w:val="Normal"/>
        <w:spacing w:before="0" w:after="40"/>
        <w:rPr/>
      </w:pPr>
      <w:r>
        <w:rPr/>
      </w:r>
    </w:p>
    <w:p>
      <w:pPr>
        <w:pStyle w:val="Normal"/>
        <w:widowControl/>
        <w:spacing w:lineRule="auto" w:line="360"/>
        <w:ind w:firstLine="709"/>
        <w:jc w:val="both"/>
        <w:rPr/>
      </w:pPr>
      <w:r>
        <w:rPr/>
        <w:t>Tabulka neslouží jako pořadí firem. Dokumenty mají různý rozsah a segmenty byly vybírány analyticky, nikoli náhodně. Tři položky E3 u jednoho podniku proto neznamenají, že je „lepší“ než podnik s jednou takovou položkou. Rozložení pouze ukazuje, jaké typy veřejného důkazu vstoupily do hlavní argumentace.</w:t>
      </w:r>
    </w:p>
    <w:p>
      <w:pPr>
        <w:pStyle w:val="Normal"/>
        <w:widowControl/>
        <w:spacing w:lineRule="auto" w:line="360"/>
        <w:ind w:firstLine="709"/>
        <w:jc w:val="both"/>
        <w:rPr/>
      </w:pPr>
      <w:r>
        <w:rPr/>
        <w:t>Při mezipřípadovém srovnání se postupně ustálilo pět témat. Společná reportovací struktura zakrývá rozdílnou hloubku řízení. ESG získává skutečný organizační význam tam, kde se spojí s provozní nebo finanční kotvou. Governance je přesvědčivější, pokud vedle názvu orgánu ukazuje odpovědnost, pravidelnou kadenci a možnost korekce. Metriky většinou zachycují aktivity a provozní výsledky lépe než širší dopady. A konečně, přiznané neúspěchy, restatementy a nevyřešená napětí často zvyšují informační hodnotu dokumentu více než další pozitivní tvrzení.</w:t>
      </w:r>
    </w:p>
    <w:p>
      <w:pPr>
        <w:pStyle w:val="Heading2"/>
        <w:keepNext w:val="true"/>
        <w:widowControl/>
        <w:ind w:hanging="0"/>
        <w:rPr/>
      </w:pPr>
      <w:bookmarkStart w:id="59" w:name="__RefHeading___Toc2122_516823210"/>
      <w:bookmarkEnd w:id="59"/>
      <w:r>
        <w:rPr/>
        <w:t>4.2 Téma 1: Standardizovaná architektura reportingu zakrývá rozdílnou manažerskou hloubku</w:t>
      </w:r>
    </w:p>
    <w:p>
      <w:pPr>
        <w:pStyle w:val="Normal"/>
        <w:widowControl/>
        <w:spacing w:lineRule="auto" w:line="360"/>
        <w:ind w:firstLine="709"/>
        <w:jc w:val="both"/>
        <w:rPr/>
      </w:pPr>
      <w:r>
        <w:rPr/>
        <w:t>Ve všech čtyřech případech se opakuje podobný slovník: strategie, materialita, role orgánů, cíle, metriky a stakeholdeři. Tato podobnost není překvapivá. Odpovídá architektuře ESRS i širší standardizaci udržitelnostního reportingu. Teprve při podrobnějším čtení se ukáže, že stejně pojmenovaný oddíl může zastupovat velmi rozdílný proces.</w:t>
      </w:r>
    </w:p>
    <w:p>
      <w:pPr>
        <w:pStyle w:val="Heading3"/>
        <w:keepNext w:val="true"/>
        <w:widowControl/>
        <w:ind w:hanging="0"/>
        <w:rPr/>
      </w:pPr>
      <w:bookmarkStart w:id="60" w:name="__RefHeading___Toc2124_516823210"/>
      <w:bookmarkEnd w:id="60"/>
      <w:r>
        <w:rPr/>
        <w:t>4.2.1 ČEZ: standardizovaná struktura propojená s investicemi</w:t>
      </w:r>
    </w:p>
    <w:p>
      <w:pPr>
        <w:pStyle w:val="Normal"/>
        <w:widowControl/>
        <w:spacing w:lineRule="auto" w:line="360"/>
        <w:ind w:firstLine="709"/>
        <w:jc w:val="both"/>
        <w:rPr/>
      </w:pPr>
      <w:r>
        <w:rPr/>
        <w:t>ČEZ uvádí dekarbonizaci výrobního portfolia, zákaznická řešení a odpovědný rozvoj podle ESG principů mezi třemi strategickými prioritami VISION 2030 (ČEZ Group, 2025, s. 27). Samostatně by taková formulace představovala především strategickou deklaraci. V dalších částech zprávy se však objevují vazby na governance, dvojí materialitu, přechodový plán a investiční rozhodování.</w:t>
      </w:r>
    </w:p>
    <w:p>
      <w:pPr>
        <w:pStyle w:val="Normal"/>
        <w:widowControl/>
        <w:spacing w:lineRule="auto" w:line="360"/>
        <w:ind w:firstLine="709"/>
        <w:jc w:val="both"/>
        <w:rPr/>
      </w:pPr>
      <w:r>
        <w:rPr/>
        <w:t>Za agendu odpovídá člen představenstva v roli Chief Sustainability Officer, kterého doplňuje poradní výbor a pracovní struktura pro koordinaci (ČEZ Group, 2025, s. 414–415). Posouzení dvojí materiality kombinuje dopady s finančními riziky a příležitostmi a využívá více interních i externích zdrojů (ČEZ Group, 2025, s. 425–426). Nejdůležitější je ale informace o přechodovém plánu: podle reportu je schvalován prostřednictvím podnikatelské koncepce a podnikatelského a investičního plánu (ČEZ Group, 2025, s. 454). V tomto bodě už standardizovaná kapitola nepůsobí jen jako způsob řazení textu. Dokument popisuje propojení klimatické strategie s dlouhodobou alokací kapitálu.</w:t>
      </w:r>
    </w:p>
    <w:p>
      <w:pPr>
        <w:pStyle w:val="Normal"/>
        <w:widowControl/>
        <w:spacing w:lineRule="auto" w:line="360"/>
        <w:ind w:firstLine="709"/>
        <w:jc w:val="both"/>
        <w:rPr/>
      </w:pPr>
      <w:r>
        <w:rPr/>
        <w:t>Ani takto silná vazba nedovoluje tvrdit, že transformace bude účinná nebo dostatečně rychlá. Konsolidovaná zpráva o udržitelnosti má omezené ujištění, které podporuje důvěryhodnost vymezených informací. Závěr ověřovatele však neposuzuje účinnost materialitního procesu ani budoucí úspěch strategie (ČEZ Group, 2025, s. 558–560).</w:t>
      </w:r>
    </w:p>
    <w:p>
      <w:pPr>
        <w:pStyle w:val="Heading3"/>
        <w:keepNext w:val="true"/>
        <w:widowControl/>
        <w:ind w:hanging="0"/>
        <w:rPr/>
      </w:pPr>
      <w:bookmarkStart w:id="61" w:name="__RefHeading___Toc2126_516823210"/>
      <w:bookmarkEnd w:id="61"/>
      <w:r>
        <w:rPr/>
        <w:t>4.2.2 MONETA: regulované zveřejnění a jeho čtenářský překlad</w:t>
      </w:r>
    </w:p>
    <w:p>
      <w:pPr>
        <w:pStyle w:val="Normal"/>
        <w:widowControl/>
        <w:spacing w:lineRule="auto" w:line="360"/>
        <w:ind w:firstLine="709"/>
        <w:jc w:val="both"/>
        <w:rPr/>
      </w:pPr>
      <w:r>
        <w:rPr/>
        <w:t>MONETA vysvětluje, že s nástupem CSRD byly povinné nefinanční informace přesunuty do výroční zprávy. Současně zachovala samostatný sustainability report pro širší publikum, které nemusí být připravené číst technickou regulatorní část (MONETA Money Bank, 2025, s. 1). Jeden podnik tak vytváří dvě komunikační vrstvy: povinné zveřejnění a jeho stručnější interpretační podobu.</w:t>
      </w:r>
    </w:p>
    <w:p>
      <w:pPr>
        <w:pStyle w:val="Normal"/>
        <w:widowControl/>
        <w:spacing w:lineRule="auto" w:line="360"/>
        <w:ind w:firstLine="709"/>
        <w:jc w:val="both"/>
        <w:rPr/>
      </w:pPr>
      <w:r>
        <w:rPr/>
        <w:t>Proces dvojí materiality je popsán poměrně podrobně. Report uvádí datové zdroje, konzultace se stakeholdery, práci s hodnotovým řetězcem, scoring, prahové hodnoty a validaci managementem. Výsledkem je pět materiálních témat podle ESRS (MONETA Money Bank, 2025, s. 12–14). Dále následuje přehled cílů s výchozími hodnotami a vývojem a detailnější popis governance. Formální struktura tedy stojí na viditelném procesu, nikoli jen na seznamu kapitol.</w:t>
      </w:r>
    </w:p>
    <w:p>
      <w:pPr>
        <w:pStyle w:val="Normal"/>
        <w:widowControl/>
        <w:spacing w:lineRule="auto" w:line="360"/>
        <w:ind w:firstLine="709"/>
        <w:jc w:val="both"/>
        <w:rPr/>
      </w:pPr>
      <w:r>
        <w:rPr/>
        <w:t>Případ zároveň ukazuje, že standardizace není neutrální překlad reality. Management rozhoduje, co z technického reportu přenese do samostatné zprávy, co zjednoduší a jak informace rámuje. CEO otevřeně kritizuje nadměrnou reportovací zátěž a staví proti sobě ESG ambici a konkurenceschopnost (MONETA Money Bank, 2025, s. 2). Regulace zde vytvořila společnou informační strukturu, podnik ji však aktivně interpretuje pro různá publika.</w:t>
      </w:r>
    </w:p>
    <w:p>
      <w:pPr>
        <w:pStyle w:val="Heading3"/>
        <w:keepNext w:val="true"/>
        <w:widowControl/>
        <w:ind w:hanging="0"/>
        <w:rPr/>
      </w:pPr>
      <w:bookmarkStart w:id="62" w:name="__RefHeading___Toc2128_516823210"/>
      <w:bookmarkEnd w:id="62"/>
      <w:r>
        <w:rPr/>
        <w:t>4.2.3 O2: systém uprostřed přechodu</w:t>
      </w:r>
    </w:p>
    <w:p>
      <w:pPr>
        <w:pStyle w:val="Normal"/>
        <w:widowControl/>
        <w:spacing w:lineRule="auto" w:line="360"/>
        <w:ind w:firstLine="709"/>
        <w:jc w:val="both"/>
        <w:rPr/>
      </w:pPr>
      <w:r>
        <w:rPr/>
        <w:t>O2 v reportu za rok 2024 kombinuje GRI, dvojí materialitu a přípravu na CSRD. Strategické cíle mají být převedeny do KPI a vyhodnocovány čtvrtletně (O2 Czech Republic, 2025, s. 14–15). Současně došlo po změně skupinového uspořádání k přerušení části dříve převzatých závazků a společnost připravovala vlastní cíle pro novou hranici podniku (O2 Czech Republic, 2025, s. 14).</w:t>
      </w:r>
    </w:p>
    <w:p>
      <w:pPr>
        <w:pStyle w:val="Normal"/>
        <w:widowControl/>
        <w:spacing w:lineRule="auto" w:line="360"/>
        <w:ind w:firstLine="709"/>
        <w:jc w:val="both"/>
        <w:rPr/>
      </w:pPr>
      <w:r>
        <w:rPr/>
        <w:t>Jednotlivé prvky systému tedy nevznikají ve stejném okamžiku. Materialitní analýza už používá témata ESRS, některé cíle, baseline a governance se však teprve přestavují. Tuto hranici potvrzuje GRI index: ve sledovaném období nebyly vytvořeny ESG KPI pro hodnocení nejvyššího řídicího orgánu a podrobnější governance systém byl v přípravě (O2 Czech Republic, 2025, s. 81). Strategie a výbor jsou přítomné, ale dokument sám nedovoluje číst je jako dokončenou integraci do odpovědnosti představenstva.</w:t>
      </w:r>
    </w:p>
    <w:p>
      <w:pPr>
        <w:pStyle w:val="Heading3"/>
        <w:keepNext w:val="true"/>
        <w:widowControl/>
        <w:ind w:hanging="0"/>
        <w:rPr/>
      </w:pPr>
      <w:bookmarkStart w:id="63" w:name="__RefHeading___Toc2130_516823210"/>
      <w:bookmarkEnd w:id="63"/>
      <w:r>
        <w:rPr/>
        <w:t>4.2.4 Škoda Auto: standardizace uvnitř nadnárodní skupiny</w:t>
      </w:r>
    </w:p>
    <w:p>
      <w:pPr>
        <w:pStyle w:val="Normal"/>
        <w:widowControl/>
        <w:spacing w:lineRule="auto" w:line="360"/>
        <w:ind w:firstLine="709"/>
        <w:jc w:val="both"/>
        <w:rPr/>
      </w:pPr>
      <w:r>
        <w:rPr/>
        <w:t>Škoda Auto označuje udržitelnost za jednu z priorit Next Level Škoda Strategy 2030. Cíle jsou rozděleny mezi produkt, výrobu, management, integritu a dodavatelský řetězec (Škoda Auto, 2025a, sekce Sustainability Strategy). Online výroční zpráva má přehlednou strukturu strategie, environmentální, sociální a governance oblasti a propojuje lokální cíle s programy Volkswagen Group.</w:t>
      </w:r>
    </w:p>
    <w:p>
      <w:pPr>
        <w:pStyle w:val="Normal"/>
        <w:widowControl/>
        <w:spacing w:lineRule="auto" w:line="360"/>
        <w:ind w:firstLine="709"/>
        <w:jc w:val="both"/>
        <w:rPr/>
      </w:pPr>
      <w:r>
        <w:rPr/>
        <w:t>Skupinové zakotvení poskytuje rozsáhlou infrastrukturu, současně ale komplikuje atribuci. Některé politiky a kodexy vznikly na úrovni skupiny, zatímco metriky se vztahují k Škoda Auto, vybraným závodům nebo jinak vymezenému reportovacímu celku. Přítomnost skupinového standardu sama neukazuje, jak intenzivně je mechanismus uplatňován v české společnosti. Každé tvrzení proto muselo zůstat omezené na hranici, kterou zdroj skutečně uvádí.</w:t>
      </w:r>
    </w:p>
    <w:p>
      <w:pPr>
        <w:pStyle w:val="Heading3"/>
        <w:keepNext w:val="true"/>
        <w:widowControl/>
        <w:ind w:hanging="0"/>
        <w:rPr/>
      </w:pPr>
      <w:bookmarkStart w:id="64" w:name="__RefHeading___Toc2132_516823210"/>
      <w:bookmarkEnd w:id="64"/>
      <w:r>
        <w:rPr/>
        <w:t>4.2.5 Co společná architektura umožňuje — a co ne</w:t>
      </w:r>
    </w:p>
    <w:p>
      <w:pPr>
        <w:pStyle w:val="Normal"/>
        <w:widowControl/>
        <w:spacing w:lineRule="auto" w:line="360"/>
        <w:ind w:firstLine="709"/>
        <w:jc w:val="both"/>
        <w:rPr/>
      </w:pPr>
      <w:r>
        <w:rPr/>
        <w:t>Standardizace má pro analýzu reálný přínos. U všech podniků lze hledat materialitu, governance, cíle a metriky v podobných kategoriích. Rozdíly se však ukázaly až ve vazbách mezi těmito částmi. ČEZ spojoval přechodový plán s investicemi, MONETA governance s pobídkami a měřením portfolia, O2 procházelo obnovou cílového a odpovědnostního systému a Škoda Auto propojovala strategii s produktem, výrobou, CapEx a dodavateli.</w:t>
      </w:r>
    </w:p>
    <w:p>
      <w:pPr>
        <w:pStyle w:val="Normal"/>
        <w:widowControl/>
        <w:spacing w:lineRule="auto" w:line="360"/>
        <w:ind w:firstLine="709"/>
        <w:jc w:val="both"/>
        <w:rPr/>
      </w:pPr>
      <w:r>
        <w:rPr/>
        <w:t>Společná struktura tedy vytváří mapu, po které se dá pohybovat. Sama neurčuje, jak daleko po ní jednotlivý podnik došel.</w:t>
      </w:r>
    </w:p>
    <w:p>
      <w:pPr>
        <w:pStyle w:val="Heading2"/>
        <w:keepNext w:val="true"/>
        <w:widowControl/>
        <w:ind w:hanging="0"/>
        <w:rPr/>
      </w:pPr>
      <w:bookmarkStart w:id="65" w:name="__RefHeading___Toc2134_516823210"/>
      <w:bookmarkEnd w:id="65"/>
      <w:r>
        <w:rPr/>
        <w:t>4.3 Téma 2: ESG se stává řídicí agendou tam, kde získá provozní nebo finanční kotvu</w:t>
      </w:r>
    </w:p>
    <w:p>
      <w:pPr>
        <w:pStyle w:val="Normal"/>
        <w:widowControl/>
        <w:spacing w:lineRule="auto" w:line="360"/>
        <w:ind w:firstLine="709"/>
        <w:jc w:val="both"/>
        <w:rPr/>
      </w:pPr>
      <w:r>
        <w:rPr/>
        <w:t>Nejsilnější položky E3 se neobjevovaly u obecných prohlášení o odpovědnosti. Vždy byly spojeny s procesem, který je pro daný podnik už sám o sobě významný: s kapitálem, rizikem, produktem, technologií, dodavatelem nebo odměnou. Tato vazba měla v každém sektoru jinou podobu.</w:t>
      </w:r>
    </w:p>
    <w:p>
      <w:pPr>
        <w:pStyle w:val="Heading3"/>
        <w:keepNext w:val="true"/>
        <w:widowControl/>
        <w:ind w:hanging="0"/>
        <w:rPr/>
      </w:pPr>
      <w:bookmarkStart w:id="66" w:name="__RefHeading___Toc2136_516823210"/>
      <w:bookmarkEnd w:id="66"/>
      <w:r>
        <w:rPr/>
        <w:t>4.3.1 ČEZ: transformace ukotvená v kapitálovém plánu</w:t>
      </w:r>
    </w:p>
    <w:p>
      <w:pPr>
        <w:pStyle w:val="Normal"/>
        <w:widowControl/>
        <w:spacing w:lineRule="auto" w:line="360"/>
        <w:ind w:firstLine="709"/>
        <w:jc w:val="both"/>
        <w:rPr/>
      </w:pPr>
      <w:r>
        <w:rPr/>
        <w:t>U energetické skupiny je hlavní kotvou investiční rozhodování. Přechodový plán vstupuje podle reportu do schvalování podnikatelské koncepce a podnikatelského a investičního plánu (ČEZ Group, 2025, s. 454). Plán na období 2025–2030 se soustředí na oblasti, u nichž skupina očekává přibližně 75% taxonomickou sladěnost, zejména v obnovitelných zdrojích a související infrastruktuře (ČEZ Group, 2025, s. 529).</w:t>
      </w:r>
    </w:p>
    <w:p>
      <w:pPr>
        <w:pStyle w:val="Normal"/>
        <w:widowControl/>
        <w:spacing w:lineRule="auto" w:line="360"/>
        <w:ind w:firstLine="709"/>
        <w:jc w:val="both"/>
        <w:rPr/>
      </w:pPr>
      <w:r>
        <w:rPr/>
        <w:t>Budoucí podíl ani plánovaný objem investic samozřejmě nejsou hotovým dopadem. Přesto jde o podstatný posun oproti obecné klimatické deklaraci. V kapitálově náročném odvětví je přímé místo tématu v investičním procesu silnějším dokladem integrace než počet izolovaných projektů.</w:t>
      </w:r>
    </w:p>
    <w:p>
      <w:pPr>
        <w:pStyle w:val="Heading3"/>
        <w:keepNext w:val="true"/>
        <w:widowControl/>
        <w:ind w:hanging="0"/>
        <w:rPr/>
      </w:pPr>
      <w:bookmarkStart w:id="67" w:name="__RefHeading___Toc2138_516823210"/>
      <w:bookmarkEnd w:id="67"/>
      <w:r>
        <w:rPr/>
        <w:t>4.3.2 MONETA: pobídky, riziko a financované portfolio</w:t>
      </w:r>
    </w:p>
    <w:p>
      <w:pPr>
        <w:pStyle w:val="Normal"/>
        <w:widowControl/>
        <w:spacing w:lineRule="auto" w:line="360"/>
        <w:ind w:firstLine="709"/>
        <w:jc w:val="both"/>
        <w:rPr/>
      </w:pPr>
      <w:r>
        <w:rPr/>
        <w:t>U banky se materialita přesouvá mimo vlastní budovy a vozový park. Provozní emise lze dobře měřit, ale největší klimatická stopa vzniká prostřednictvím financování. MONETA proto rozvíjí metodiku financovaných emisí a postupně do ní zahrnuje další části portfolia (MONETA Money Bank, 2025, s. 21–24). Metodika komerčního portfolia byla podle zprávy ověřena s přiměřeným ujištěním.</w:t>
      </w:r>
    </w:p>
    <w:p>
      <w:pPr>
        <w:pStyle w:val="Normal"/>
        <w:widowControl/>
        <w:spacing w:lineRule="auto" w:line="360"/>
        <w:ind w:firstLine="709"/>
        <w:jc w:val="both"/>
        <w:rPr/>
      </w:pPr>
      <w:r>
        <w:rPr/>
        <w:t>Jinou rozhodovací kotvou je odměňování. ESG KPI materiálně ovlivňují variabilní složku odměny odpovědných členů představenstva a material risk takers; kvalitativní část cílů má souhrnnou váhu 30 % (MONETA Money Bank, 2025, s. 18–19). Samotná pobídka nedokazuje environmentální výsledek. Ukazuje však, že téma získalo přímý organizační důsledek.</w:t>
      </w:r>
    </w:p>
    <w:p>
      <w:pPr>
        <w:pStyle w:val="Normal"/>
        <w:widowControl/>
        <w:spacing w:lineRule="auto" w:line="360"/>
        <w:ind w:firstLine="709"/>
        <w:jc w:val="both"/>
        <w:rPr/>
      </w:pPr>
      <w:r>
        <w:rPr/>
        <w:t>Současně zůstává viditelná mezera. Právě pro financované emise, tedy nejmateriálnější část klimatického otisku banky, zatím nebyl stanoven měřitelný outcome cíl (MONETA Money Bank, 2025, s. 20). Případ proto není jednoduchým příběhem pokročilé integrace. Lze mít rozvinutou metodiku, governance a pobídku, a přesto nemít výsledkový cíl v oblasti, která je pro podnik nejdůležitější.</w:t>
      </w:r>
    </w:p>
    <w:p>
      <w:pPr>
        <w:pStyle w:val="Heading3"/>
        <w:keepNext w:val="true"/>
        <w:widowControl/>
        <w:ind w:hanging="0"/>
        <w:rPr/>
      </w:pPr>
      <w:bookmarkStart w:id="68" w:name="__RefHeading___Toc2140_516823210"/>
      <w:bookmarkEnd w:id="68"/>
      <w:r>
        <w:rPr/>
        <w:t>4.3.3 O2: energetická účinnost jako provozní kritérium</w:t>
      </w:r>
    </w:p>
    <w:p>
      <w:pPr>
        <w:pStyle w:val="Normal"/>
        <w:widowControl/>
        <w:spacing w:lineRule="auto" w:line="360"/>
        <w:ind w:firstLine="709"/>
        <w:jc w:val="both"/>
        <w:rPr/>
      </w:pPr>
      <w:r>
        <w:rPr/>
        <w:t>U O2 se nejsilnější rozhodovací vazba týká digitální infrastruktury. Report propojuje sledování spotřeby energie s obnovou serverů a datových center a uvádí energetickou účinnost mezi kritérii technických opatření (O2 Czech Republic, 2025, s. 23–25). Právě proto byl segment zařazen do E3: spotřeba není jen vykázaná hodnota, ale podle dokumentu ovlivňuje provozní volbu.</w:t>
      </w:r>
    </w:p>
    <w:p>
      <w:pPr>
        <w:pStyle w:val="Normal"/>
        <w:widowControl/>
        <w:spacing w:lineRule="auto" w:line="360"/>
        <w:ind w:firstLine="709"/>
        <w:jc w:val="both"/>
        <w:rPr/>
      </w:pPr>
      <w:r>
        <w:rPr/>
        <w:t>Jiné oblasti zůstávají na nižší úrovni. Zapojení dvou set hlavních dodavatelů do programu sustainable procurement je konkrétní a měřitelná aktivita. V citovaném místě však není doložen posun ve výkonu dodavatele ani důsledek pro nákup (O2 Czech Republic, 2025, s. 3 a 5). Podobně počet proškolených zaměstnanců ukazuje rozsah zavedení tématu, nikoli to, zda se podle něj změnilo rozhodování.</w:t>
      </w:r>
    </w:p>
    <w:p>
      <w:pPr>
        <w:pStyle w:val="Heading3"/>
        <w:keepNext w:val="true"/>
        <w:widowControl/>
        <w:ind w:hanging="0"/>
        <w:rPr/>
      </w:pPr>
      <w:bookmarkStart w:id="69" w:name="__RefHeading___Toc2142_516823210"/>
      <w:bookmarkEnd w:id="69"/>
      <w:r>
        <w:rPr/>
        <w:t>4.3.4 Škoda Auto: několik kotev v jednom průmyslovém systému</w:t>
      </w:r>
    </w:p>
    <w:p>
      <w:pPr>
        <w:pStyle w:val="Normal"/>
        <w:widowControl/>
        <w:spacing w:lineRule="auto" w:line="360"/>
        <w:ind w:firstLine="709"/>
        <w:jc w:val="both"/>
        <w:rPr/>
      </w:pPr>
      <w:r>
        <w:rPr/>
        <w:t>Škoda Auto nabízí více paralelních mechanismů. GreenProduct pracuje s životním cyklem vozidla od výroby vlastních i dodavatelských komponent přes užívání až po konec životnosti. GreenFactory sleduje energii, emise, odpad, vodu a těkavé organické látky v závodech (Škoda Auto, 2025b, sekce Environment). Udržitelnost se tak neváže jen na samostatný report, ale na produktovou a výrobní logiku.</w:t>
      </w:r>
    </w:p>
    <w:p>
      <w:pPr>
        <w:pStyle w:val="Normal"/>
        <w:widowControl/>
        <w:spacing w:lineRule="auto" w:line="360"/>
        <w:ind w:firstLine="709"/>
        <w:jc w:val="both"/>
        <w:rPr/>
      </w:pPr>
      <w:r>
        <w:rPr/>
        <w:t>Zajímavý kontrast poskytuje EU Taxonomie. V roce 2024 podnik uváděl 71 % taxonomicky sladěného CapEx, zatímco sladěný podíl tržeb dosahoval 18 % a OpEx 35 % (Škoda Auto, 2025a, sekce EU Taxonomy at Škoda Auto 2024). Investiční tok může naznačovat budoucí proměnu portfolia dříve, než se projeví ve výnosech. Stále však jde o informaci o klasifikaci kapitálu, ne o automaticky prokázaný životní dopad.</w:t>
      </w:r>
    </w:p>
    <w:p>
      <w:pPr>
        <w:pStyle w:val="Normal"/>
        <w:widowControl/>
        <w:spacing w:lineRule="auto" w:line="360"/>
        <w:ind w:firstLine="709"/>
        <w:jc w:val="both"/>
        <w:rPr/>
      </w:pPr>
      <w:r>
        <w:rPr/>
        <w:t>Dodavatelský cíl směřuje k tomu, aby do roku 2030 připadalo 90 % obratu na dodavatele s nejvyšším sustainability A-ratingem (Škoda Auto, 2025a, sekce Goals 2025–2030). Kritérium je tím spojeno s ekonomickou významností dodavatelského vztahu. Pro úplné posouzení síly mechanismu by však bylo potřeba znát detailní metodiku ratingu a konkrétní důsledky neplnění, které online souhrn zachycuje jen částečně.</w:t>
      </w:r>
    </w:p>
    <w:p>
      <w:pPr>
        <w:pStyle w:val="Heading3"/>
        <w:keepNext w:val="true"/>
        <w:widowControl/>
        <w:ind w:hanging="0"/>
        <w:rPr/>
      </w:pPr>
      <w:bookmarkStart w:id="70" w:name="__RefHeading___Toc2144_516823210"/>
      <w:bookmarkEnd w:id="70"/>
      <w:r>
        <w:rPr/>
        <w:t>4.3.5 Společná logika odlišných sektorů</w:t>
      </w:r>
    </w:p>
    <w:p>
      <w:pPr>
        <w:pStyle w:val="Normal"/>
        <w:widowControl/>
        <w:spacing w:lineRule="auto" w:line="360"/>
        <w:ind w:firstLine="709"/>
        <w:jc w:val="both"/>
        <w:rPr/>
      </w:pPr>
      <w:r>
        <w:rPr/>
        <w:t>Konkrétní kotva se mění podle podnikatelského modelu:</w:t>
      </w:r>
    </w:p>
    <w:p>
      <w:pPr>
        <w:pStyle w:val="ListBullet"/>
        <w:widowControl/>
        <w:numPr>
          <w:ilvl w:val="0"/>
          <w:numId w:val="1"/>
        </w:numPr>
        <w:spacing w:lineRule="auto" w:line="360" w:before="0" w:after="0"/>
        <w:ind w:hanging="142" w:start="425"/>
        <w:contextualSpacing/>
        <w:rPr/>
      </w:pPr>
      <w:r>
        <w:rPr/>
        <w:t>u energetiky jde o výrobní portfolio a CapEx;</w:t>
      </w:r>
    </w:p>
    <w:p>
      <w:pPr>
        <w:pStyle w:val="ListBullet"/>
        <w:widowControl/>
        <w:numPr>
          <w:ilvl w:val="0"/>
          <w:numId w:val="1"/>
        </w:numPr>
        <w:spacing w:lineRule="auto" w:line="360" w:before="0" w:after="0"/>
        <w:ind w:hanging="142" w:start="425"/>
        <w:contextualSpacing/>
        <w:rPr/>
      </w:pPr>
      <w:r>
        <w:rPr/>
        <w:t>u banky o úvěrové portfolio, riziko a odměňování;</w:t>
      </w:r>
    </w:p>
    <w:p>
      <w:pPr>
        <w:pStyle w:val="ListBullet"/>
        <w:widowControl/>
        <w:numPr>
          <w:ilvl w:val="0"/>
          <w:numId w:val="1"/>
        </w:numPr>
        <w:spacing w:lineRule="auto" w:line="360" w:before="0" w:after="0"/>
        <w:ind w:hanging="142" w:start="425"/>
        <w:contextualSpacing/>
        <w:rPr/>
      </w:pPr>
      <w:r>
        <w:rPr/>
        <w:t>u telekomunikací o technologii infrastruktury a bezpečnost;</w:t>
      </w:r>
    </w:p>
    <w:p>
      <w:pPr>
        <w:pStyle w:val="ListBullet"/>
        <w:widowControl/>
        <w:numPr>
          <w:ilvl w:val="0"/>
          <w:numId w:val="1"/>
        </w:numPr>
        <w:spacing w:lineRule="auto" w:line="360" w:before="0" w:after="0"/>
        <w:ind w:hanging="142" w:start="425"/>
        <w:contextualSpacing/>
        <w:rPr/>
      </w:pPr>
      <w:r>
        <w:rPr/>
        <w:t>u automobilového průmyslu o produkt, závod, investice a dodavatele.</w:t>
      </w:r>
    </w:p>
    <w:p>
      <w:pPr>
        <w:pStyle w:val="Normal"/>
        <w:widowControl/>
        <w:spacing w:lineRule="auto" w:line="360"/>
        <w:ind w:firstLine="709"/>
        <w:jc w:val="both"/>
        <w:rPr/>
      </w:pPr>
      <w:r>
        <w:rPr/>
        <w:t>Společný princip je přesto zřetelný. Vlastník, výbor a KPI vytvářejí infrastrukturu. Teprve vazba na rozhodnutí ukazuje, že zveřejněná informace může mít organizační důsledek.</w:t>
      </w:r>
    </w:p>
    <w:p>
      <w:pPr>
        <w:pStyle w:val="Heading2"/>
        <w:keepNext w:val="true"/>
        <w:widowControl/>
        <w:ind w:hanging="0"/>
        <w:rPr/>
      </w:pPr>
      <w:bookmarkStart w:id="71" w:name="__RefHeading___Toc2146_516823210"/>
      <w:bookmarkEnd w:id="71"/>
      <w:r>
        <w:rPr/>
        <w:t>4.4 Téma 3: Governance je přesvědčivá tehdy, když ukazuje odpovědnost, rytmus a korekci</w:t>
      </w:r>
    </w:p>
    <w:p>
      <w:pPr>
        <w:pStyle w:val="Normal"/>
        <w:widowControl/>
        <w:spacing w:lineRule="auto" w:line="360"/>
        <w:ind w:firstLine="709"/>
        <w:jc w:val="both"/>
        <w:rPr/>
      </w:pPr>
      <w:r>
        <w:rPr/>
        <w:t>Všechny reporty obsahují governance schémata. Jejich výpovědní hodnota se však výrazně liší. Samotné pojmenování výboru je slabý důkaz. Silnější je kombinace odpovědného orgánu, pravidelného toku informací, kontroly konkrétních cílů a možnosti zasáhnout při neplnění.</w:t>
      </w:r>
    </w:p>
    <w:p>
      <w:pPr>
        <w:pStyle w:val="Heading3"/>
        <w:keepNext w:val="true"/>
        <w:widowControl/>
        <w:ind w:hanging="0"/>
        <w:rPr/>
      </w:pPr>
      <w:bookmarkStart w:id="72" w:name="__RefHeading___Toc2148_516823210"/>
      <w:bookmarkEnd w:id="72"/>
      <w:r>
        <w:rPr/>
        <w:t>4.4.1 ČEZ: odpovědnost na úrovni představenstva</w:t>
      </w:r>
    </w:p>
    <w:p>
      <w:pPr>
        <w:pStyle w:val="Normal"/>
        <w:widowControl/>
        <w:spacing w:lineRule="auto" w:line="360"/>
        <w:ind w:firstLine="709"/>
        <w:jc w:val="both"/>
        <w:rPr/>
      </w:pPr>
      <w:r>
        <w:rPr/>
        <w:t>ČEZ svěřuje agendu členovi představenstva v roli Chief Sustainability Officer a doplňuje ji poradní a pracovní strukturou (ČEZ Group, 2025, s. 414–415). Do ročního hodnocení variabilní odměny členů představenstva vstupuje společný úkol rozvoje ESG (ČEZ Group, 2025, s. 415). Veřejný dokument tak spojuje vlastníka s pobídkovým mechanismem.</w:t>
      </w:r>
    </w:p>
    <w:p>
      <w:pPr>
        <w:pStyle w:val="Normal"/>
        <w:widowControl/>
        <w:spacing w:lineRule="auto" w:line="360"/>
        <w:ind w:firstLine="709"/>
        <w:jc w:val="both"/>
        <w:rPr/>
      </w:pPr>
      <w:r>
        <w:rPr/>
        <w:t>Zpráva ovšem neuvádí úplnou váhu tohoto úkolu ani příklad, kdy nesplnění vedlo ke konkrétní změně odměny. Důkaz proto podporuje existenci odpovědnostního mechanismu, nikoli jeho výslednou účinnost.</w:t>
      </w:r>
    </w:p>
    <w:p>
      <w:pPr>
        <w:pStyle w:val="Heading3"/>
        <w:keepNext w:val="true"/>
        <w:widowControl/>
        <w:ind w:hanging="0"/>
        <w:rPr/>
      </w:pPr>
      <w:bookmarkStart w:id="73" w:name="__RefHeading___Toc2150_516823210"/>
      <w:bookmarkEnd w:id="73"/>
      <w:r>
        <w:rPr/>
        <w:t>4.4.2 MONETA: nejpodrobnější veřejný popis kontrolního mechanismu</w:t>
      </w:r>
    </w:p>
    <w:p>
      <w:pPr>
        <w:pStyle w:val="Normal"/>
        <w:widowControl/>
        <w:spacing w:lineRule="auto" w:line="360"/>
        <w:ind w:firstLine="709"/>
        <w:jc w:val="both"/>
        <w:rPr/>
      </w:pPr>
      <w:r>
        <w:rPr/>
        <w:t>MONETA uvádí Sustainability Committee vedený CEO, v němž působí pět členů představenstva. Výbor se schází čtvrtletně, sleduje cíle a může iniciovat korektivní opatření. Další kontrolní vrstvy vytvářejí riziková a compliance funkce (MONETA Money Bank, 2025, s. 52–55). ESG KPI jsou současně propojeny s variabilní odměnou (MONETA Money Bank, 2025, s. 18–19).</w:t>
      </w:r>
    </w:p>
    <w:p>
      <w:pPr>
        <w:pStyle w:val="Normal"/>
        <w:widowControl/>
        <w:spacing w:lineRule="auto" w:line="360"/>
        <w:ind w:firstLine="709"/>
        <w:jc w:val="both"/>
        <w:rPr/>
      </w:pPr>
      <w:r>
        <w:rPr/>
        <w:t>V rámci korpusu jde o nejúplnější veřejný popis governance designu. Je znám orgán, jeho složení, frekvence jednání, předmět kontroly i možnost korekce. Stále však chybí zápisy nebo příklad zamítnutého projektu. Dokument tedy dobře dokládá, jak má systém fungovat, ale neumožňuje plně posoudit jeho každodenní účinnost.</w:t>
      </w:r>
    </w:p>
    <w:p>
      <w:pPr>
        <w:pStyle w:val="Heading3"/>
        <w:keepNext w:val="true"/>
        <w:widowControl/>
        <w:ind w:hanging="0"/>
        <w:rPr/>
      </w:pPr>
      <w:bookmarkStart w:id="74" w:name="__RefHeading___Toc2152_516823210"/>
      <w:bookmarkEnd w:id="74"/>
      <w:r>
        <w:rPr/>
        <w:t>4.4.3 O2: pravidelný dohled a přiznaná mezera</w:t>
      </w:r>
    </w:p>
    <w:p>
      <w:pPr>
        <w:pStyle w:val="Normal"/>
        <w:widowControl/>
        <w:spacing w:lineRule="auto" w:line="360"/>
        <w:ind w:firstLine="709"/>
        <w:jc w:val="both"/>
        <w:rPr/>
      </w:pPr>
      <w:r>
        <w:rPr/>
        <w:t>O2 předkládá představenstvu stav implementace ESG nejméně dvakrát ročně. ESG Committee spojuje exekutivní, bezpečnostní, interně auditní a ESG funkce a má zajišťovat dohled a due diligence (O2 Czech Republic, 2025, s. 65). To ukazuje průřezové vlastnictví i pravidelný tok informací.</w:t>
      </w:r>
    </w:p>
    <w:p>
      <w:pPr>
        <w:pStyle w:val="Normal"/>
        <w:widowControl/>
        <w:spacing w:lineRule="auto" w:line="360"/>
        <w:ind w:firstLine="709"/>
        <w:jc w:val="both"/>
        <w:rPr/>
      </w:pPr>
      <w:r>
        <w:rPr/>
        <w:t>Zároveň report sám uvádí podstatnou hranici. V daném období nebyly stanoveny ESG KPI pro hodnocení nejvyššího řídicího orgánu a detailnější governance systém se připravoval (O2 Czech Republic, 2025, s. 81). Přítomnost výboru proto nelze převést na tvrzení o plně integrované odpovědnosti představenstva.</w:t>
      </w:r>
    </w:p>
    <w:p>
      <w:pPr>
        <w:pStyle w:val="Heading3"/>
        <w:keepNext w:val="true"/>
        <w:widowControl/>
        <w:ind w:hanging="0"/>
        <w:rPr/>
      </w:pPr>
      <w:bookmarkStart w:id="75" w:name="__RefHeading___Toc2154_516823210"/>
      <w:bookmarkEnd w:id="75"/>
      <w:r>
        <w:rPr/>
        <w:t>4.4.4 Škoda Auto: interní role, externí rada a odborový dialog</w:t>
      </w:r>
    </w:p>
    <w:p>
      <w:pPr>
        <w:pStyle w:val="Normal"/>
        <w:widowControl/>
        <w:spacing w:lineRule="auto" w:line="360"/>
        <w:ind w:firstLine="709"/>
        <w:jc w:val="both"/>
        <w:rPr/>
      </w:pPr>
      <w:r>
        <w:rPr/>
        <w:t>Škoda Auto popisuje governance model s definovanými rolemi. External Sustainability Council se v roce 2024 setkal s představenstvem a diskutoval transformaci, biodiverzitu a makroekonomická rizika (Škoda Auto, 2025a, sekce Corporate Governance of Sustainability). Sociální strategie je pravidelně vyhodnocována a projednávána s odbory KOVO (Škoda Auto, 2025c, sekce Strategy).</w:t>
      </w:r>
    </w:p>
    <w:p>
      <w:pPr>
        <w:pStyle w:val="Normal"/>
        <w:widowControl/>
        <w:spacing w:lineRule="auto" w:line="360"/>
        <w:ind w:firstLine="709"/>
        <w:jc w:val="both"/>
        <w:rPr/>
      </w:pPr>
      <w:r>
        <w:rPr/>
        <w:t>Tyto informace dokládají, že expertní a zaměstnanecká perspektiva má formální přístup k řídicím strukturám. Zveřejněný text ale neukazuje, které konkrétní rozhodnutí bylo na základě takové diskuse změněno. Segmenty proto patří do E2: jde o formalizovaný vstup a pravidelnou kadenci, ne o přímo doložený rozhodovací důsledek.</w:t>
      </w:r>
    </w:p>
    <w:p>
      <w:pPr>
        <w:pStyle w:val="Heading3"/>
        <w:keepNext w:val="true"/>
        <w:widowControl/>
        <w:ind w:hanging="0"/>
        <w:rPr/>
      </w:pPr>
      <w:bookmarkStart w:id="76" w:name="__RefHeading___Toc2156_516823210"/>
      <w:bookmarkEnd w:id="76"/>
      <w:r>
        <w:rPr/>
        <w:t>4.4.5 Od názvu výboru ke skutečné otázce</w:t>
      </w:r>
    </w:p>
    <w:p>
      <w:pPr>
        <w:pStyle w:val="Normal"/>
        <w:widowControl/>
        <w:spacing w:lineRule="auto" w:line="360"/>
        <w:ind w:firstLine="709"/>
        <w:jc w:val="both"/>
        <w:rPr/>
      </w:pPr>
      <w:r>
        <w:rPr/>
        <w:t>Při hodnocení governance se postupně ukázalo užitečné ptát v tomto pořadí:</w:t>
      </w:r>
    </w:p>
    <w:p>
      <w:pPr>
        <w:pStyle w:val="Normal"/>
        <w:widowControl/>
        <w:spacing w:lineRule="auto" w:line="360" w:before="0" w:after="0"/>
        <w:ind w:hanging="255" w:start="425"/>
        <w:jc w:val="both"/>
        <w:rPr/>
      </w:pPr>
      <w:r>
        <w:rPr/>
        <w:t>1. Kdo nese formální odpovědnost?</w:t>
      </w:r>
    </w:p>
    <w:p>
      <w:pPr>
        <w:pStyle w:val="Normal"/>
        <w:widowControl/>
        <w:spacing w:lineRule="auto" w:line="360" w:before="0" w:after="0"/>
        <w:ind w:hanging="255" w:start="425"/>
        <w:jc w:val="both"/>
        <w:rPr/>
      </w:pPr>
      <w:r>
        <w:rPr/>
        <w:t>2. Jak často dostává informace?</w:t>
      </w:r>
    </w:p>
    <w:p>
      <w:pPr>
        <w:pStyle w:val="Normal"/>
        <w:widowControl/>
        <w:spacing w:lineRule="auto" w:line="360" w:before="0" w:after="0"/>
        <w:ind w:hanging="255" w:start="425"/>
        <w:jc w:val="both"/>
        <w:rPr/>
      </w:pPr>
      <w:r>
        <w:rPr/>
        <w:t>3. Které cíle, metriky nebo rizika posuzuje?</w:t>
      </w:r>
    </w:p>
    <w:p>
      <w:pPr>
        <w:pStyle w:val="Normal"/>
        <w:widowControl/>
        <w:spacing w:lineRule="auto" w:line="360" w:before="0" w:after="0"/>
        <w:ind w:hanging="255" w:start="425"/>
        <w:jc w:val="both"/>
        <w:rPr/>
      </w:pPr>
      <w:r>
        <w:rPr/>
        <w:t>4. Může zahájit korekci, zastavit projekt nebo změnit zdroje?</w:t>
      </w:r>
    </w:p>
    <w:p>
      <w:pPr>
        <w:pStyle w:val="Normal"/>
        <w:widowControl/>
        <w:spacing w:lineRule="auto" w:line="360" w:before="0" w:after="0"/>
        <w:ind w:hanging="255" w:start="425"/>
        <w:jc w:val="both"/>
        <w:rPr/>
      </w:pPr>
      <w:r>
        <w:rPr/>
        <w:t>5. Je výsledek spojen s odměnou nebo jiným důsledkem?</w:t>
      </w:r>
    </w:p>
    <w:p>
      <w:pPr>
        <w:pStyle w:val="Normal"/>
        <w:widowControl/>
        <w:spacing w:lineRule="auto" w:line="360" w:before="0" w:after="0"/>
        <w:ind w:hanging="255" w:start="425"/>
        <w:jc w:val="both"/>
        <w:rPr/>
      </w:pPr>
      <w:r>
        <w:rPr/>
        <w:t>6. Uvádí report příklad rozhodnutí, které se skutečně změnilo?</w:t>
      </w:r>
    </w:p>
    <w:p>
      <w:pPr>
        <w:pStyle w:val="Normal"/>
        <w:widowControl/>
        <w:spacing w:lineRule="auto" w:line="360"/>
        <w:ind w:firstLine="709"/>
        <w:jc w:val="both"/>
        <w:rPr/>
      </w:pPr>
      <w:r>
        <w:rPr/>
        <w:t>Dokumenty poměrně dobře odpovídají na první tři otázky. Částečně pokrývají čtvrtou a pátou. Poslední zůstává většinou mimo veřejný korpus. Právě proto je vhodné hovořit o zveřejněné governance kapacitě, nikoli automaticky o prokázané účinnosti.</w:t>
      </w:r>
    </w:p>
    <w:p>
      <w:pPr>
        <w:pStyle w:val="Heading2"/>
        <w:keepNext w:val="true"/>
        <w:widowControl/>
        <w:ind w:hanging="0"/>
        <w:rPr/>
      </w:pPr>
      <w:bookmarkStart w:id="77" w:name="__RefHeading___Toc2158_516823210"/>
      <w:bookmarkEnd w:id="77"/>
      <w:r>
        <w:rPr/>
        <w:t>4.5 Téma 4: Přesná metrika nemusí dokazovat to, co jí čtenář připisuje</w:t>
      </w:r>
    </w:p>
    <w:p>
      <w:pPr>
        <w:pStyle w:val="Normal"/>
        <w:widowControl/>
        <w:spacing w:lineRule="auto" w:line="360"/>
        <w:ind w:firstLine="709"/>
        <w:jc w:val="both"/>
        <w:rPr/>
      </w:pPr>
      <w:r>
        <w:rPr/>
        <w:t>Čtvrté téma se týká rozdílu mezi přesností čísla a silou závěru. Reporty obsahují velké množství metrik, jenže číslo může vyjadřovat vstup, aktivitu, výstup, provozní outcome nebo tvrzení o širším dopadu. V korpusu převažovaly formalizované cíle a provozní výsledky E2. Silně externě podpořený výsledek E4 zůstal výjimkou.</w:t>
      </w:r>
    </w:p>
    <w:p>
      <w:pPr>
        <w:pStyle w:val="Heading3"/>
        <w:keepNext w:val="true"/>
        <w:widowControl/>
        <w:ind w:hanging="0"/>
        <w:rPr/>
      </w:pPr>
      <w:bookmarkStart w:id="78" w:name="__RefHeading___Toc2160_516823210"/>
      <w:bookmarkEnd w:id="78"/>
      <w:r>
        <w:rPr/>
        <w:t>4.5.1 Dosah aktivity není změna stavu</w:t>
      </w:r>
    </w:p>
    <w:p>
      <w:pPr>
        <w:pStyle w:val="Normal"/>
        <w:widowControl/>
        <w:spacing w:lineRule="auto" w:line="360"/>
        <w:ind w:firstLine="709"/>
        <w:jc w:val="both"/>
        <w:rPr/>
      </w:pPr>
      <w:r>
        <w:rPr/>
        <w:t>O2 uvádí, že všichni zaměstnanci absolvovali ESG školení, dvě stě nejvýznamnějších dodavatelů bylo zapojeno do sustainable procurement programu a 86 703 osob prošlo aktivitami digitální gramotnosti (O2 Czech Republic, 2025, s. 3 a 5). Tyto hodnoty mohou být změřeny zcela přesně. Dokládají především rozsah činnosti.</w:t>
      </w:r>
    </w:p>
    <w:p>
      <w:pPr>
        <w:pStyle w:val="Normal"/>
        <w:widowControl/>
        <w:spacing w:lineRule="auto" w:line="360"/>
        <w:ind w:firstLine="709"/>
        <w:jc w:val="both"/>
        <w:rPr/>
      </w:pPr>
      <w:r>
        <w:rPr/>
        <w:t>Bez další metriky nevíme, zda školení změnilo kompetenci, zda se u zapojených dodavatelů zlepšil výkon ani zda účastníci programu začali bezpečněji používat digitální služby. Podobný problém vzniká u počtu blokovaných kyberútoků. Číslo ukazuje rozsah bezpečnostní činnosti, ale samo nevyjadřuje velikost odvrácené škody ani efekt jedné konkrétní politiky.</w:t>
      </w:r>
    </w:p>
    <w:p>
      <w:pPr>
        <w:pStyle w:val="Normal"/>
        <w:widowControl/>
        <w:spacing w:lineRule="auto" w:line="360"/>
        <w:ind w:firstLine="709"/>
        <w:jc w:val="both"/>
        <w:rPr/>
      </w:pPr>
      <w:r>
        <w:rPr/>
        <w:t>Nejde o zpochybnění významu těchto programů. Jde o hranici formulace. Output je legitimní výsledek určitého typu, nesmí se však při interpretaci nenápadně změnit v outcome nebo kauzální dopad.</w:t>
      </w:r>
    </w:p>
    <w:p>
      <w:pPr>
        <w:pStyle w:val="Heading3"/>
        <w:keepNext w:val="true"/>
        <w:widowControl/>
        <w:ind w:hanging="0"/>
        <w:rPr/>
      </w:pPr>
      <w:bookmarkStart w:id="79" w:name="__RefHeading___Toc2162_516823210"/>
      <w:bookmarkEnd w:id="79"/>
      <w:r>
        <w:rPr/>
        <w:t>4.5.2 Provozní outcome a problém intenzitních ukazatelů</w:t>
      </w:r>
    </w:p>
    <w:p>
      <w:pPr>
        <w:pStyle w:val="Normal"/>
        <w:widowControl/>
        <w:spacing w:lineRule="auto" w:line="360"/>
        <w:ind w:firstLine="709"/>
        <w:jc w:val="both"/>
        <w:rPr/>
      </w:pPr>
      <w:r>
        <w:rPr/>
        <w:t>ČEZ uvádí cíl snížit do roku 2030 emisní intenzitu o více než 50 % oproti roku 2019 a dosáhnout klimatické neutrality do roku 2040 (ČEZ Group, 2025, s. 455). Škoda Auto zveřejňuje, že spotřeba vody na vyrobené vozidlo klesla od roku 2010 o 39,9 % (Škoda Auto, 2025b, sekce Water). Oba ukazatele mají výchozí období a zachycují provozní změnu.</w:t>
      </w:r>
    </w:p>
    <w:p>
      <w:pPr>
        <w:pStyle w:val="Normal"/>
        <w:widowControl/>
        <w:spacing w:lineRule="auto" w:line="360"/>
        <w:ind w:firstLine="709"/>
        <w:jc w:val="both"/>
        <w:rPr/>
      </w:pPr>
      <w:r>
        <w:rPr/>
        <w:t>Intenzita ale není totéž co absolutní dopad. Spotřeba na jeden výrobek může klesat v době, kdy roste celkový objem výroby. Emisní intenzita elektřiny se může zlepšovat jiným tempem než absolutní emise. Volba intenzitního ukazatele může být metodicky správná, čtenář však musí respektovat jeho hranici.</w:t>
      </w:r>
    </w:p>
    <w:p>
      <w:pPr>
        <w:pStyle w:val="Normal"/>
        <w:widowControl/>
        <w:spacing w:lineRule="auto" w:line="360"/>
        <w:ind w:firstLine="709"/>
        <w:jc w:val="both"/>
        <w:rPr/>
      </w:pPr>
      <w:r>
        <w:rPr/>
        <w:t>U MONETA se stejný problém projevuje v jiné podobě. Banka výrazně snížila provozní emise Scope 1 a 2 proti roku 2016 a elektrifikovala vozový park, ale současně sama označuje financované emise za největší část klimatické stopy (MONETA Money Bank, 2025, s. 17 a 20). Dobře splněný cíl v menší části provozu nemůže zastoupit výsledek v oblasti, která je pro podnikatelský model podstatnější.</w:t>
      </w:r>
    </w:p>
    <w:p>
      <w:pPr>
        <w:pStyle w:val="Heading3"/>
        <w:keepNext w:val="true"/>
        <w:widowControl/>
        <w:ind w:hanging="0"/>
        <w:rPr/>
      </w:pPr>
      <w:bookmarkStart w:id="80" w:name="__RefHeading___Toc2164_516823210"/>
      <w:bookmarkEnd w:id="80"/>
      <w:r>
        <w:rPr/>
        <w:t>4.5.3 Časová řada se mění spolu s hranicí</w:t>
      </w:r>
    </w:p>
    <w:p>
      <w:pPr>
        <w:pStyle w:val="Normal"/>
        <w:widowControl/>
        <w:spacing w:lineRule="auto" w:line="360"/>
        <w:ind w:firstLine="709"/>
        <w:jc w:val="both"/>
        <w:rPr/>
      </w:pPr>
      <w:r>
        <w:rPr/>
        <w:t>O2 přepočítalo historická data za roky 2022 a 2023 po změně metodiky. Scope 1 a 2 vzrostly z 14 550 tCO2e v roce 2023 na 21 963 tCO2e v roce 2024, zatímco Scope 3 klesl. Zpráva současně uvádí rozšíření organizačního záběru a akvizici jako součást vysvětlení růstu spotřeby energie (O2 Czech Republic, 2025, s. 23–32).</w:t>
      </w:r>
    </w:p>
    <w:p>
      <w:pPr>
        <w:pStyle w:val="Normal"/>
        <w:widowControl/>
        <w:spacing w:lineRule="auto" w:line="360"/>
        <w:ind w:firstLine="709"/>
        <w:jc w:val="both"/>
        <w:rPr/>
      </w:pPr>
      <w:r>
        <w:rPr/>
        <w:t>Restatement nemusí znamenat chybu. Může být výsledkem přesnější metody. Zároveň znemožňuje jednoduše připsat celou meziroční změnu provoznímu zlepšení nebo zhoršení. Hodnota, její hranice a metodická poznámka proto byly čteny jako jedna kontextová jednotka.</w:t>
      </w:r>
    </w:p>
    <w:p>
      <w:pPr>
        <w:pStyle w:val="Normal"/>
        <w:widowControl/>
        <w:spacing w:lineRule="auto" w:line="360"/>
        <w:ind w:firstLine="709"/>
        <w:jc w:val="both"/>
        <w:rPr/>
      </w:pPr>
      <w:r>
        <w:rPr/>
        <w:t>MONETA postupně rozšiřovala výpočet financovaných emisí o další části portfolia a některé hodnoty přepočítala (MONETA Money Bank, 2025, s. 21–24). Časová řada tím získává širší pokrytí, ale bez znalosti rozsahu ji nelze interpretovat jako čistý výkon.</w:t>
      </w:r>
    </w:p>
    <w:p>
      <w:pPr>
        <w:pStyle w:val="Heading3"/>
        <w:keepNext w:val="true"/>
        <w:widowControl/>
        <w:ind w:hanging="0"/>
        <w:rPr/>
      </w:pPr>
      <w:bookmarkStart w:id="81" w:name="__RefHeading___Toc2166_516823210"/>
      <w:bookmarkEnd w:id="81"/>
      <w:r>
        <w:rPr/>
        <w:t>4.5.4 Assurance podporuje vymezené tvrzení, ne celý příběh</w:t>
      </w:r>
    </w:p>
    <w:p>
      <w:pPr>
        <w:pStyle w:val="Normal"/>
        <w:widowControl/>
        <w:spacing w:lineRule="auto" w:line="360"/>
        <w:ind w:firstLine="709"/>
        <w:jc w:val="both"/>
        <w:rPr/>
      </w:pPr>
      <w:r>
        <w:rPr/>
        <w:t>Jediná položka E4 se týkala metodiky výpočtu financovaných emisí komerčního portfolia MONETA, která byla podle reportu předmětem přiměřeného ujištění (MONETA Money Bank, 2025, s. 21). Vysoká třída se vztahuje ke konkrétnímu výpočtu a jeho hranici. Neznamená, že portfolio už dosahuje dekarbonizačního výsledku. Právě v této oblasti report současně přiznává absenci outcome cíle.</w:t>
      </w:r>
    </w:p>
    <w:p>
      <w:pPr>
        <w:pStyle w:val="Normal"/>
        <w:widowControl/>
        <w:spacing w:lineRule="auto" w:line="360"/>
        <w:ind w:firstLine="709"/>
        <w:jc w:val="both"/>
        <w:rPr/>
      </w:pPr>
      <w:r>
        <w:rPr/>
        <w:t>ČEZ má omezené ujištění nad zprávou o udržitelnosti. Tato informace podporuje důvěryhodnost reportovacího procesu, nebyla však sama zařazena do E3 ani E4, protože nedokládá konkrétní rozhodovací vazbu nebo silně ověřený outcome. O2 naopak výslovně uvádí, že jeho ESG report nebyl externě ověřen (O2 Czech Republic, 2025, s. 77 a 79). Absence assurance není důkazem nepravdivosti dat; znamená pouze, že chybí jedna nezávislá kontrolní vrstva.</w:t>
      </w:r>
    </w:p>
    <w:p>
      <w:pPr>
        <w:pStyle w:val="Heading3"/>
        <w:keepNext w:val="true"/>
        <w:widowControl/>
        <w:ind w:hanging="0"/>
        <w:rPr/>
      </w:pPr>
      <w:bookmarkStart w:id="82" w:name="__RefHeading___Toc2168_516823210"/>
      <w:bookmarkEnd w:id="82"/>
      <w:r>
        <w:rPr/>
        <w:t>4.5.5 Kdy má metrika nejvyšší informační hodnotu</w:t>
      </w:r>
    </w:p>
    <w:p>
      <w:pPr>
        <w:pStyle w:val="Normal"/>
        <w:widowControl/>
        <w:spacing w:lineRule="auto" w:line="360"/>
        <w:ind w:firstLine="709"/>
        <w:jc w:val="both"/>
        <w:rPr/>
      </w:pPr>
      <w:r>
        <w:rPr/>
        <w:t>Nejsilnější položky obvykle spojovaly několik znaků: jasnou hranici, vysvětlenou metodiku, výchozí a cílovou hodnotu, časovou řadu nebo transparentní restatement, vlastníka a rozhodovací vazbu. Pokud bylo přítomné externí ujištění, musel být znám jeho rozsah. Stejně důležitá byla výslovná hranice závěru.</w:t>
      </w:r>
    </w:p>
    <w:p>
      <w:pPr>
        <w:pStyle w:val="Normal"/>
        <w:widowControl/>
        <w:spacing w:lineRule="auto" w:line="360"/>
        <w:ind w:firstLine="709"/>
        <w:jc w:val="both"/>
        <w:rPr/>
      </w:pPr>
      <w:r>
        <w:rPr/>
        <w:t>Ani takto dobře doložený výsledek však většinou neprokazuje širší kauzalitu. Analýza proto důsledně odděluje přesně změřenou aktivitu, řízený outcome a společenský nebo environmentální impact claim.</w:t>
      </w:r>
    </w:p>
    <w:p>
      <w:pPr>
        <w:pStyle w:val="Heading2"/>
        <w:keepNext w:val="true"/>
        <w:widowControl/>
        <w:ind w:hanging="0"/>
        <w:rPr/>
      </w:pPr>
      <w:bookmarkStart w:id="83" w:name="__RefHeading___Toc2170_516823210"/>
      <w:bookmarkEnd w:id="83"/>
      <w:r>
        <w:rPr/>
        <w:t>4.6 Téma 5: Přiznané napětí, revize a negativní informace zvyšují informační hodnotu reportu</w:t>
      </w:r>
    </w:p>
    <w:p>
      <w:pPr>
        <w:pStyle w:val="Normal"/>
        <w:widowControl/>
        <w:spacing w:lineRule="auto" w:line="360"/>
        <w:ind w:firstLine="709"/>
        <w:jc w:val="both"/>
        <w:rPr/>
      </w:pPr>
      <w:r>
        <w:rPr/>
        <w:t>Páté téma nebylo v původním rámci dominantní. Zesílilo až při čtení jednotlivých případů. Report složený pouze z cílů a úspěchů neposkytuje čtenáři dost informací, aby mohl posoudit fungování systému. Zhoršená metrika, změna hranice, zrušený cíl nebo nevyřešený dopad mohou být analyticky cennější, pokud jsou vysvětleny a zasazeny do kontextu.</w:t>
      </w:r>
    </w:p>
    <w:p>
      <w:pPr>
        <w:pStyle w:val="Heading3"/>
        <w:keepNext w:val="true"/>
        <w:widowControl/>
        <w:ind w:hanging="0"/>
        <w:rPr/>
      </w:pPr>
      <w:bookmarkStart w:id="84" w:name="__RefHeading___Toc2172_516823210"/>
      <w:bookmarkEnd w:id="84"/>
      <w:r>
        <w:rPr/>
        <w:t>4.6.1 ČEZ: přechodový plán vedle pokračujícího fosilního dopadu</w:t>
      </w:r>
    </w:p>
    <w:p>
      <w:pPr>
        <w:pStyle w:val="Normal"/>
        <w:widowControl/>
        <w:spacing w:lineRule="auto" w:line="360"/>
        <w:ind w:firstLine="709"/>
        <w:jc w:val="both"/>
        <w:rPr/>
      </w:pPr>
      <w:r>
        <w:rPr/>
        <w:t>ČEZ uvádí, že podíl výnosů spojených s lignitem vede k vyloučení skupiny z EU Paris-aligned Benchmark (ČEZ Group, 2025, s. 453). V materialitní části je těžba uhlí popsána jako skutečný dlouhodobý negativní dopad s trvalým účinkem na habitaty a biodiverzitu (ČEZ Group, 2025, s. 434). Sociální kapitola zároveň identifikuje ztrátu pracovních míst a regionální ekonomické narušení související s útlumem uhlí (ČEZ Group, 2025, s. 478).</w:t>
      </w:r>
    </w:p>
    <w:p>
      <w:pPr>
        <w:pStyle w:val="Normal"/>
        <w:widowControl/>
        <w:spacing w:lineRule="auto" w:line="360"/>
        <w:ind w:firstLine="709"/>
        <w:jc w:val="both"/>
        <w:rPr/>
      </w:pPr>
      <w:r>
        <w:rPr/>
        <w:t>Tyto informace nerozhodují spor o rychlost transformace a neověřují dostatečnost nápravných opatření. Zabraňují však tomu, aby přechodový plán působil jako popis už dokončené změny bez nákladů. Pro interpretaci klimatických a investičních cílů jsou podstatným protiobrazem.</w:t>
      </w:r>
    </w:p>
    <w:p>
      <w:pPr>
        <w:pStyle w:val="Heading3"/>
        <w:keepNext w:val="true"/>
        <w:widowControl/>
        <w:ind w:hanging="0"/>
        <w:rPr/>
      </w:pPr>
      <w:bookmarkStart w:id="85" w:name="__RefHeading___Toc2174_516823210"/>
      <w:bookmarkEnd w:id="85"/>
      <w:r>
        <w:rPr/>
        <w:t>4.6.2 MONETA: kritika regulace, zhoršený ukazatel a chybějící cíl</w:t>
      </w:r>
    </w:p>
    <w:p>
      <w:pPr>
        <w:pStyle w:val="Normal"/>
        <w:widowControl/>
        <w:spacing w:lineRule="auto" w:line="360"/>
        <w:ind w:firstLine="709"/>
        <w:jc w:val="both"/>
        <w:rPr/>
      </w:pPr>
      <w:r>
        <w:rPr/>
        <w:t>MONETA zveřejňuje nejširší soubor explicitních napětí. CEO problematizuje rozsah reportovací zátěže, mluví o poklesu zájmu investorů o ESG a popisuje úpravu KPI směrem k hmatatelnějším aktivitám (MONETA Money Bank, 2025, s. 2). Jde o názor managementu, ne o nezávislý důkaz neúčinnosti regulace. Pro pochopení toho, jak banka svou agendu rámuje, je však tento názor relevantní.</w:t>
      </w:r>
    </w:p>
    <w:p>
      <w:pPr>
        <w:pStyle w:val="Normal"/>
        <w:widowControl/>
        <w:spacing w:lineRule="auto" w:line="360"/>
        <w:ind w:firstLine="709"/>
        <w:jc w:val="both"/>
        <w:rPr/>
      </w:pPr>
      <w:r>
        <w:rPr/>
        <w:t>V metrikách se objevuje adjusted gender pay gap, který vzrostl z 0,88 % v roce 2023 na 1,44 % v roce 2024, přestože cíl byl pod jedním procentem (MONETA Money Bank, 2025, s. 34). U financovaných emisí banka přiznává absenci měřitelného outcome cíle a v příloze zaznamenává zrušení KPI účasti ve volunteeringových aktivitách (MONETA Money Bank, 2025, s. 20 a 60).</w:t>
      </w:r>
    </w:p>
    <w:p>
      <w:pPr>
        <w:pStyle w:val="Normal"/>
        <w:widowControl/>
        <w:spacing w:lineRule="auto" w:line="360"/>
        <w:ind w:firstLine="709"/>
        <w:jc w:val="both"/>
        <w:rPr/>
      </w:pPr>
      <w:r>
        <w:rPr/>
        <w:t>Ani jedna z těchto informací nepředstavuje pozitivní výsledek. Společně však umožňují vidět, kde se ambice, governance a výkon rozcházejí. To dává čtenáři více než bezchybný narativ bez možnosti kontroly.</w:t>
      </w:r>
    </w:p>
    <w:p>
      <w:pPr>
        <w:pStyle w:val="Heading3"/>
        <w:keepNext w:val="true"/>
        <w:widowControl/>
        <w:ind w:hanging="0"/>
        <w:rPr/>
      </w:pPr>
      <w:bookmarkStart w:id="86" w:name="__RefHeading___Toc2176_516823210"/>
      <w:bookmarkEnd w:id="86"/>
      <w:r>
        <w:rPr/>
        <w:t>4.6.3 O2: přechod zachycený i s jeho nedokončenými částmi</w:t>
      </w:r>
    </w:p>
    <w:p>
      <w:pPr>
        <w:pStyle w:val="Normal"/>
        <w:widowControl/>
        <w:spacing w:lineRule="auto" w:line="360"/>
        <w:ind w:firstLine="709"/>
        <w:jc w:val="both"/>
        <w:rPr/>
      </w:pPr>
      <w:r>
        <w:rPr/>
        <w:t>O2 uvádí reset cílů po změně skupinového uspořádání, růst nakupované elektřiny, zvýšení Scope 1 a 2, přepočet historických hodnot, chybějící ESG KPI pro nejvyšší řídicí orgán a absenci externího assurance (O2 Czech Republic, 2025, s. 14, 23–32, 77–81).</w:t>
      </w:r>
    </w:p>
    <w:p>
      <w:pPr>
        <w:pStyle w:val="Normal"/>
        <w:widowControl/>
        <w:spacing w:lineRule="auto" w:line="360"/>
        <w:ind w:firstLine="709"/>
        <w:jc w:val="both"/>
        <w:rPr/>
      </w:pPr>
      <w:r>
        <w:rPr/>
        <w:t>Výsledný obraz není lineární příběh zlepšování. Je to systém v přechodu. Současně nelze celý růst hodnot připsat horší energetické efektivitě, protože se změnila organizační hranice. Transparentní restatement zvyšuje kvalitu interpretace, i když sám nedovoluje přesně rozdělit jednotlivé příčiny.</w:t>
      </w:r>
    </w:p>
    <w:p>
      <w:pPr>
        <w:pStyle w:val="Heading3"/>
        <w:keepNext w:val="true"/>
        <w:widowControl/>
        <w:ind w:hanging="0"/>
        <w:rPr/>
      </w:pPr>
      <w:bookmarkStart w:id="87" w:name="__RefHeading___Toc2178_516823210"/>
      <w:bookmarkEnd w:id="87"/>
      <w:r>
        <w:rPr/>
        <w:t>4.6.4 Škoda Auto: hranice ukryté v klasifikaci a skupinové atribuci</w:t>
      </w:r>
    </w:p>
    <w:p>
      <w:pPr>
        <w:pStyle w:val="Normal"/>
        <w:widowControl/>
        <w:spacing w:lineRule="auto" w:line="360"/>
        <w:ind w:firstLine="709"/>
        <w:jc w:val="both"/>
        <w:rPr/>
      </w:pPr>
      <w:r>
        <w:rPr/>
        <w:t>V analyzovaných online sekcích Škoda Auto je méně explicitních neúspěchů než u ostatních případů. Jednu důležitou korekci poskytuje EU Taxonomie: 99% způsobilost tržeb stojí vedle pouze 18% sladěnosti. Způsobilost tedy nelze vydávat za splnění technických kritérií (Škoda Auto, 2025a, sekce EU Taxonomy at Škoda Auto 2024).</w:t>
      </w:r>
    </w:p>
    <w:p>
      <w:pPr>
        <w:pStyle w:val="Normal"/>
        <w:widowControl/>
        <w:spacing w:lineRule="auto" w:line="360"/>
        <w:ind w:firstLine="709"/>
        <w:jc w:val="both"/>
        <w:rPr/>
      </w:pPr>
      <w:r>
        <w:rPr/>
        <w:t>Druhou hranicí je skupinová atribuce. Code of conduct a některé strategické programy pocházejí z Volkswagen Group. Převzetí skupinového rámce může být v praxi důsledné, samotný online text však neukazuje jeho stejné uplatnění v každém závodě. Menší množství viditelného counter-evidence může souviset i s publikační formou, protože část detailů zůstává v úplném reportu mimo stručné online rozhraní.</w:t>
      </w:r>
    </w:p>
    <w:p>
      <w:pPr>
        <w:pStyle w:val="Heading3"/>
        <w:keepNext w:val="true"/>
        <w:widowControl/>
        <w:ind w:hanging="0"/>
        <w:rPr/>
      </w:pPr>
      <w:bookmarkStart w:id="88" w:name="__RefHeading___Toc2180_516823210"/>
      <w:bookmarkEnd w:id="88"/>
      <w:r>
        <w:rPr/>
        <w:t>4.6.5 Negativní údaj není automaticky negativním hodnocením</w:t>
      </w:r>
    </w:p>
    <w:p>
      <w:pPr>
        <w:pStyle w:val="Normal"/>
        <w:widowControl/>
        <w:spacing w:lineRule="auto" w:line="360"/>
        <w:ind w:firstLine="709"/>
        <w:jc w:val="both"/>
        <w:rPr/>
      </w:pPr>
      <w:r>
        <w:rPr/>
        <w:t>Zveřejněná nepříznivá informace umožňuje odlišit tři situace. Cíl může být plněn. Může se zhoršovat, ale systém změnu zachytí a vysvětlí. Anebo výsledek nelze posoudit, protože chybí baseline, hranice či metrika.</w:t>
      </w:r>
    </w:p>
    <w:p>
      <w:pPr>
        <w:pStyle w:val="Normal"/>
        <w:widowControl/>
        <w:spacing w:lineRule="auto" w:line="360"/>
        <w:ind w:firstLine="709"/>
        <w:jc w:val="both"/>
        <w:rPr/>
      </w:pPr>
      <w:r>
        <w:rPr/>
        <w:t>Druhá situace může poskytovat kvalitnější podklad pro řízení než pozitivní tvrzení bez možnosti ověření. Restatement, zhoršený trend a přiznaná mezera proto v této analýze nevystupují jen jako selhání. Jsou také znaky informační vyváženosti.</w:t>
      </w:r>
    </w:p>
    <w:p>
      <w:pPr>
        <w:pStyle w:val="Heading2"/>
        <w:keepNext w:val="true"/>
        <w:widowControl/>
        <w:ind w:hanging="0"/>
        <w:rPr/>
      </w:pPr>
      <w:bookmarkStart w:id="89" w:name="__RefHeading___Toc2182_516823210"/>
      <w:bookmarkEnd w:id="89"/>
      <w:r>
        <w:rPr/>
        <w:t>4.7 Mezipřípadová typologie zveřejněné implementace</w:t>
      </w:r>
    </w:p>
    <w:p>
      <w:pPr>
        <w:pStyle w:val="Normal"/>
        <w:widowControl/>
        <w:spacing w:lineRule="auto" w:line="360"/>
        <w:ind w:firstLine="709"/>
        <w:jc w:val="both"/>
        <w:rPr/>
      </w:pPr>
      <w:r>
        <w:rPr/>
        <w:t>Pět témat umožnilo vytvořit pracovní typologii. Nejde o vývojové stupně ani o pořadí od nejhoršího k nejlepšímu. Každý typ pouze pojmenovává dominantní zveřejněný mechanismus a jeho hlavní hranici.</w:t>
      </w:r>
    </w:p>
    <w:p>
      <w:pPr>
        <w:pStyle w:val="CaptionThesis"/>
        <w:widowControl/>
        <w:rPr/>
      </w:pPr>
      <w:r>
        <w:rPr>
          <w:b/>
        </w:rPr>
        <w:t>Tabulka 5: Typologie analyzovaných případů</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Případ</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Pracovní typ</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Dominantní doklad integrace</w:t>
            </w:r>
          </w:p>
        </w:tc>
        <w:tc>
          <w:tcPr>
            <w:tcW w:w="226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Hlavní hranice</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ČEZ Group</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kapitálově integrovaná transformace</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přechodový plán, CapEx, governance a pobídka</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dlouhý horizont, pokračující fosilní dopad, omezené ujištění neověřuje účinnost</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MONETA Money Bank</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governance a pobídky s pragmatickou skepsí</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výbor, kadence, odměňování a metodika financovaných emisí</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chybějící outcome cíl v nejmateriálnější klimatické oblasti</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O2 Czech Republic</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provozní a sociálně-digitální integrace v přechodu</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energetická efektivita infrastruktury, bezpečnost a průřezový výbor</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reset cílů, neúplná governance KPI, mnoho output metrik a absence assurance</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Škoda Auto</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skupinově zakotvená průmyslová a dodavatelská integrace</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produkt, výroba, CapEx a supplier rating</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skupinová atribuce, méně viditelné negativní výsledky v online souhrnu</w:t>
            </w:r>
          </w:p>
        </w:tc>
      </w:tr>
    </w:tbl>
    <w:p>
      <w:pPr>
        <w:pStyle w:val="Normal"/>
        <w:spacing w:before="0" w:after="40"/>
        <w:rPr/>
      </w:pPr>
      <w:r>
        <w:rPr/>
      </w:r>
    </w:p>
    <w:p>
      <w:pPr>
        <w:pStyle w:val="Normal"/>
        <w:widowControl/>
        <w:spacing w:lineRule="auto" w:line="360"/>
        <w:ind w:firstLine="709"/>
        <w:jc w:val="both"/>
        <w:rPr/>
      </w:pPr>
      <w:r>
        <w:rPr/>
        <w:t>Typologie znovu potvrzuje, že neexistuje jeden univerzální obraz „ESG firmy“. Energetika a banka budou integraci dokládat jinými procesy. Srovnatelný je spíše řetězec od materiálního tématu přes odpovědnost k rozhodnutí než konkrétní KPI.</w:t>
      </w:r>
    </w:p>
    <w:p>
      <w:pPr>
        <w:pStyle w:val="Heading2"/>
        <w:keepNext w:val="true"/>
        <w:widowControl/>
        <w:ind w:hanging="0"/>
        <w:rPr/>
      </w:pPr>
      <w:bookmarkStart w:id="90" w:name="__RefHeading___Toc2184_516823210"/>
      <w:bookmarkEnd w:id="90"/>
      <w:r>
        <w:rPr/>
        <w:t>4.8 Odpovědi na dílčí výzkumné otázky</w:t>
      </w:r>
    </w:p>
    <w:p>
      <w:pPr>
        <w:pStyle w:val="Heading3"/>
        <w:keepNext w:val="true"/>
        <w:widowControl/>
        <w:ind w:hanging="0"/>
        <w:rPr/>
      </w:pPr>
      <w:bookmarkStart w:id="91" w:name="__RefHeading___Toc2186_516823210"/>
      <w:bookmarkEnd w:id="91"/>
      <w:r>
        <w:rPr/>
        <w:t>4.8.1 Materialita a podnikatelský model</w:t>
      </w:r>
    </w:p>
    <w:p>
      <w:pPr>
        <w:pStyle w:val="Normal"/>
        <w:widowControl/>
        <w:spacing w:lineRule="auto" w:line="360"/>
        <w:ind w:firstLine="709"/>
        <w:jc w:val="both"/>
        <w:rPr/>
      </w:pPr>
      <w:r>
        <w:rPr/>
        <w:t>Všechny čtyři podniky spojují část materiálních témat se svou hlavní ekonomickou činností. U ČEZ jde o výrobní portfolio, u MONETA o financované emise, u O2 o infrastrukturu a bezpečnost a u Škoda Auto o produkt, výrobu a dodavatele. Proces dvojí materiality je nejpodrobněji zveřejněn u ČEZ a MONETA. U O2 má přechodový charakter a u Škoda Auto je část vysvětlení zasazena do skupinového rámce.</w:t>
      </w:r>
    </w:p>
    <w:p>
      <w:pPr>
        <w:pStyle w:val="Heading3"/>
        <w:keepNext w:val="true"/>
        <w:widowControl/>
        <w:ind w:hanging="0"/>
        <w:rPr/>
      </w:pPr>
      <w:bookmarkStart w:id="92" w:name="__RefHeading___Toc2188_516823210"/>
      <w:bookmarkEnd w:id="92"/>
      <w:r>
        <w:rPr/>
        <w:t>4.8.2 Odpovědnost a koordinace</w:t>
      </w:r>
    </w:p>
    <w:p>
      <w:pPr>
        <w:pStyle w:val="Normal"/>
        <w:widowControl/>
        <w:spacing w:lineRule="auto" w:line="360"/>
        <w:ind w:firstLine="709"/>
        <w:jc w:val="both"/>
        <w:rPr/>
      </w:pPr>
      <w:r>
        <w:rPr/>
        <w:t>Všechny případy uvádějí dohled vrcholového orgánu a specializovanou koordinaci. Rozdíl vzniká v tom, jak podrobně report popisuje kadenci, korektivní pravomoc a pobídku. Nejúplnější kombinaci nabízí MONETA. ČEZ spojuje vrcholovou odpovědnost s odměnou. O2 vedle pravidelného board reportingu přiznává chybějící KPI nejvyššího orgánu. Škoda Auto uvádí definované role, externí radu a odborový dialog, méně však zveřejňuje konkrétní rozhodovací důsledky.</w:t>
      </w:r>
    </w:p>
    <w:p>
      <w:pPr>
        <w:pStyle w:val="Heading3"/>
        <w:keepNext w:val="true"/>
        <w:widowControl/>
        <w:ind w:hanging="0"/>
        <w:rPr/>
      </w:pPr>
      <w:bookmarkStart w:id="93" w:name="__RefHeading___Toc2190_516823210"/>
      <w:bookmarkEnd w:id="93"/>
      <w:r>
        <w:rPr/>
        <w:t>4.8.3 Rozhodovací vazba</w:t>
      </w:r>
    </w:p>
    <w:p>
      <w:pPr>
        <w:pStyle w:val="Normal"/>
        <w:widowControl/>
        <w:spacing w:lineRule="auto" w:line="360"/>
        <w:ind w:firstLine="709"/>
        <w:jc w:val="both"/>
        <w:rPr/>
      </w:pPr>
      <w:r>
        <w:rPr/>
        <w:t>Rozhodovací vazba byla nalezena ve všech případech, pokaždé však jinde. U ČEZ a Škoda Auto je nejsilnější v kapitálových výdajích. MONETA ji ukazuje v odměňování a metodické infrastruktuře portfolia. O2 v obnově energeticky náročné infrastruktury. Produktová a dodavatelská vazba je výrazná u Škoda Auto a částečně u O2.</w:t>
      </w:r>
    </w:p>
    <w:p>
      <w:pPr>
        <w:pStyle w:val="Heading3"/>
        <w:keepNext w:val="true"/>
        <w:widowControl/>
        <w:ind w:hanging="0"/>
        <w:rPr/>
      </w:pPr>
      <w:bookmarkStart w:id="94" w:name="__RefHeading___Toc2192_516823210"/>
      <w:bookmarkEnd w:id="94"/>
      <w:r>
        <w:rPr/>
        <w:t>4.8.4 Evidenční síla cílů a metrik</w:t>
      </w:r>
    </w:p>
    <w:p>
      <w:pPr>
        <w:pStyle w:val="Normal"/>
        <w:widowControl/>
        <w:spacing w:lineRule="auto" w:line="360"/>
        <w:ind w:firstLine="709"/>
        <w:jc w:val="both"/>
        <w:rPr/>
      </w:pPr>
      <w:r>
        <w:rPr/>
        <w:t>Převažují E2 cíle, procesy a řízené výsledky. E1 output metriky jsou nejviditelnější u O2 a v komunikačních částech MONETA. E3 zachycuje konkrétní rozhodovací mechanismy. E4 se objevuje pouze u jednoho přesně vymezeného a silně ověřeného výpočtu. Žádný z reportů neposkytuje obecný nezávislý důkaz kauzálního dopadu celé ESG strategie.</w:t>
      </w:r>
    </w:p>
    <w:p>
      <w:pPr>
        <w:pStyle w:val="Heading3"/>
        <w:keepNext w:val="true"/>
        <w:widowControl/>
        <w:ind w:hanging="0"/>
        <w:rPr/>
      </w:pPr>
      <w:bookmarkStart w:id="95" w:name="__RefHeading___Toc2194_516823210"/>
      <w:bookmarkEnd w:id="95"/>
      <w:r>
        <w:rPr/>
        <w:t>4.8.5 Negativní informace a trade-offy</w:t>
      </w:r>
    </w:p>
    <w:p>
      <w:pPr>
        <w:pStyle w:val="Normal"/>
        <w:widowControl/>
        <w:spacing w:lineRule="auto" w:line="360"/>
        <w:ind w:firstLine="709"/>
        <w:jc w:val="both"/>
        <w:rPr/>
      </w:pPr>
      <w:r>
        <w:rPr/>
        <w:t>Každý případ obsahuje alespoň některou hranici nebo nepříznivou informaci. ČEZ popisuje trvalý dopad těžby a sociální náklady útlumu. MONETA zveřejňuje chybějící cíl, zhoršený ukazatel a zrušený KPI. O2 uvádí růst části emisí, restatement, reset cílů a absenci assurance. U Škoda Auto korigují pozitivní obraz hlavně taxonomické a skupinové hranice.</w:t>
      </w:r>
    </w:p>
    <w:p>
      <w:pPr>
        <w:pStyle w:val="Heading3"/>
        <w:keepNext w:val="true"/>
        <w:widowControl/>
        <w:ind w:hanging="0"/>
        <w:rPr/>
      </w:pPr>
      <w:bookmarkStart w:id="96" w:name="__RefHeading___Toc2196_516823210"/>
      <w:bookmarkEnd w:id="96"/>
      <w:r>
        <w:rPr/>
        <w:t>4.8.6 Sektorové rozdíly</w:t>
      </w:r>
    </w:p>
    <w:p>
      <w:pPr>
        <w:pStyle w:val="Normal"/>
        <w:widowControl/>
        <w:spacing w:lineRule="auto" w:line="360"/>
        <w:ind w:firstLine="709"/>
        <w:jc w:val="both"/>
        <w:rPr/>
      </w:pPr>
      <w:r>
        <w:rPr/>
        <w:t>Sektor neurčuje pouze témata, ale také podobu důkazu. Kapitálově náročný podnik může ukázat integraci v investičním plánu. Banka v risk managementu, portfoliu a odměně. Telekomunikační firma v efektivitě a bezpečnosti infrastruktury. Automobilka v produktu, výrobě a supplier governance. Jednotné srovnání podle počtu environmentálních nebo sociálních KPI by tyto rozdíly spíše zakrylo.</w:t>
      </w:r>
    </w:p>
    <w:p>
      <w:pPr>
        <w:pStyle w:val="Heading2"/>
        <w:keepNext w:val="true"/>
        <w:widowControl/>
        <w:ind w:hanging="0"/>
        <w:rPr/>
      </w:pPr>
      <w:bookmarkStart w:id="97" w:name="__RefHeading___Toc2198_516823210"/>
      <w:bookmarkEnd w:id="97"/>
      <w:r>
        <w:rPr/>
        <w:t>4.9 Shrnutí výsledků</w:t>
      </w:r>
    </w:p>
    <w:p>
      <w:pPr>
        <w:pStyle w:val="Normal"/>
        <w:widowControl/>
        <w:spacing w:lineRule="auto" w:line="360"/>
        <w:ind w:firstLine="709"/>
        <w:jc w:val="both"/>
        <w:rPr/>
      </w:pPr>
      <w:r>
        <w:rPr/>
        <w:t>Výsledky lze shrnout do tří hlavních zjištění. Standardizace umožňuje hledat obdobné prvky napříč reporty, jejich přítomnost však neznamená stejnou hloubku řízení. Nejpřesvědčivějším veřejným znakem implementace je vazba na rozhodnutí o kapitálu, riziku, produktu, dodavateli, odměně nebo provozu. A konečně, podnikové zprávy dokládají procesy, aktivity a provozní outcomes podstatně lépe než širší kauzální dopady.</w:t>
      </w:r>
    </w:p>
    <w:p>
      <w:pPr>
        <w:pStyle w:val="Normal"/>
        <w:widowControl/>
        <w:spacing w:lineRule="auto" w:line="360"/>
        <w:ind w:firstLine="709"/>
        <w:jc w:val="both"/>
        <w:rPr/>
      </w:pPr>
      <w:r>
        <w:rPr/>
        <w:t>Informační kvalita roste, když organizace vedle cílů ukáže také hranici metriky, restatement, nepříznivý trend, chybějící cíl nebo dosud nevyřešený dopad. Taková informace není důkazem lepší výkonnosti. Umožňuje však přesněji rozlišit, co podnik deklaruje, co skutečně formalizoval, co může vstoupit do rozhodování a co zatím veřejně prokázat nedokáže.</w:t>
      </w:r>
    </w:p>
    <w:p>
      <w:pPr>
        <w:pStyle w:val="Normal"/>
        <w:rPr/>
      </w:pPr>
      <w:r>
        <w:rPr/>
      </w:r>
      <w:r>
        <w:br w:type="page"/>
      </w:r>
    </w:p>
    <w:p>
      <w:pPr>
        <w:pStyle w:val="Heading1"/>
        <w:keepNext w:val="true"/>
        <w:widowControl/>
        <w:spacing w:before="0" w:after="180"/>
        <w:ind w:hanging="0"/>
        <w:rPr/>
      </w:pPr>
      <w:bookmarkStart w:id="98" w:name="__RefHeading___Toc2200_516823210"/>
      <w:bookmarkEnd w:id="98"/>
      <w:r>
        <w:rPr/>
        <w:t>5 Diskuse</w:t>
      </w:r>
    </w:p>
    <w:p>
      <w:pPr>
        <w:pStyle w:val="Heading2"/>
        <w:keepNext w:val="true"/>
        <w:widowControl/>
        <w:ind w:hanging="0"/>
        <w:rPr/>
      </w:pPr>
      <w:bookmarkStart w:id="99" w:name="__RefHeading___Toc2202_516823210"/>
      <w:bookmarkEnd w:id="99"/>
      <w:r>
        <w:rPr/>
        <w:t>5.1 Odpověď na hlavní výzkumnou otázku</w:t>
      </w:r>
    </w:p>
    <w:p>
      <w:pPr>
        <w:pStyle w:val="Normal"/>
        <w:widowControl/>
        <w:spacing w:lineRule="auto" w:line="360"/>
        <w:ind w:firstLine="709"/>
        <w:jc w:val="both"/>
        <w:rPr/>
      </w:pPr>
      <w:r>
        <w:rPr/>
        <w:t>Hlavní otázka se ptala, jak vybrané velké podniky působící v České republice ve zprávách za rok 2024 konstruují a dokládají implementaci ESG a podle čeho lze rozlišit deklaraci, formalizaci a manažerskou integraci.</w:t>
      </w:r>
    </w:p>
    <w:p>
      <w:pPr>
        <w:pStyle w:val="Normal"/>
        <w:widowControl/>
        <w:spacing w:lineRule="auto" w:line="360"/>
        <w:ind w:firstLine="709"/>
        <w:jc w:val="both"/>
        <w:rPr/>
      </w:pPr>
      <w:r>
        <w:rPr/>
        <w:t>Ve všech čtyřech případech se opakuje podobná základní konstrukce. Podnik nejprve zasadí určité téma do strategie nebo výsledku materiality, přiřadí mu odpovědnost, popíše politiku či opatření a následně uvede cíl a metriku. Tento sled odpovídá architektuře ESRS a obecnějšímu vývoji udržitelnostního reportingu. Z hlediska důkazu však jednotlivé články řetězce nejsou rovnocenné.</w:t>
      </w:r>
    </w:p>
    <w:p>
      <w:pPr>
        <w:pStyle w:val="Normal"/>
        <w:widowControl/>
        <w:spacing w:lineRule="auto" w:line="360"/>
        <w:ind w:firstLine="709"/>
        <w:jc w:val="both"/>
        <w:rPr/>
      </w:pPr>
      <w:r>
        <w:rPr/>
        <w:t>Deklarace začíná tam, kde organizace pojmenuje prioritu nebo závazek, ale neukáže mechanismus. Věta o klimatické neutralitě může být důležitým veřejným slibem, sama však neříká, kdo za něj odpovídá, jak se bude měřit ani co se stane při neplnění.</w:t>
      </w:r>
    </w:p>
    <w:p>
      <w:pPr>
        <w:pStyle w:val="Normal"/>
        <w:widowControl/>
        <w:spacing w:lineRule="auto" w:line="360"/>
        <w:ind w:firstLine="709"/>
        <w:jc w:val="both"/>
        <w:rPr/>
      </w:pPr>
      <w:r>
        <w:rPr/>
        <w:t>Formalizace přidává strukturu. Téma získá vlastníka, proces, pravidelnou kontrolu, hranici metriky, výchozí hodnotu, cíl nebo časovou řadu. To není kosmetická změna. Umožňuje opakování, interní odpovědnost a kontrolu. Zároveň však může zůstat uvnitř reportingového systému, který dobře sbírá a zveřejňuje data, aniž výrazně zasahuje do rozhodování.</w:t>
      </w:r>
    </w:p>
    <w:p>
      <w:pPr>
        <w:pStyle w:val="Normal"/>
        <w:widowControl/>
        <w:spacing w:lineRule="auto" w:line="360"/>
        <w:ind w:firstLine="709"/>
        <w:jc w:val="both"/>
        <w:rPr/>
      </w:pPr>
      <w:r>
        <w:rPr/>
        <w:t>Nejpřesvědčivějším rozlišovacím znakem manažerské integrace se proto ukázala rozhodovací vazba. Informace překračuje hranici reportingu ve chvíli, kdy může ovlivnit kapitálový plán, rizikový limit, podobu produktu, výběr dodavatele, variabilní odměnu nebo konkrétní provozní pravidlo. Takový mechanismus poskytuje silnější důkaz než počet KPI, existence výboru nebo délka zprávy.</w:t>
      </w:r>
    </w:p>
    <w:p>
      <w:pPr>
        <w:pStyle w:val="Normal"/>
        <w:widowControl/>
        <w:spacing w:lineRule="auto" w:line="360"/>
        <w:ind w:firstLine="709"/>
        <w:jc w:val="both"/>
        <w:rPr/>
      </w:pPr>
      <w:r>
        <w:rPr/>
        <w:t>Ani E3 však není potvrzením „dobrého ESG“. Investiční plán může být málo ambiciózní, pobídka může mít nízkou skutečnou váhu a dodavatelský rating může hodnotit spíše dokumentaci než výkon. Rozhodovací vazba dokládá možnost organizačního důsledku. Nehodnotí jeho normativní dostatečnost.</w:t>
      </w:r>
    </w:p>
    <w:p>
      <w:pPr>
        <w:pStyle w:val="Normal"/>
        <w:widowControl/>
        <w:spacing w:lineRule="auto" w:line="360"/>
        <w:ind w:firstLine="709"/>
        <w:jc w:val="both"/>
        <w:rPr/>
      </w:pPr>
      <w:r>
        <w:rPr/>
        <w:t>Poslední rovinu tvoří externě podpořený výsledek. V korpusu se ukázal jako vzácný a vždy úzce vymezený. Assurance nad rozsáhlou zprávou není audit celkové účinnosti strategie a neověřuje budoucí dopad. Veřejný report tedy zpravidla dokáže přesvědčivěji doložit existenci procesu a rozhodovacího mechanismu než konečný kauzální výsledek.</w:t>
      </w:r>
    </w:p>
    <w:p>
      <w:pPr>
        <w:pStyle w:val="Heading2"/>
        <w:keepNext w:val="true"/>
        <w:widowControl/>
        <w:ind w:hanging="0"/>
        <w:rPr/>
      </w:pPr>
      <w:bookmarkStart w:id="100" w:name="__RefHeading___Toc2204_516823210"/>
      <w:bookmarkEnd w:id="100"/>
      <w:r>
        <w:rPr/>
        <w:t>5.2 Institucionální izomorfismus: stejná forma, různé napojení na řízení</w:t>
      </w:r>
    </w:p>
    <w:p>
      <w:pPr>
        <w:pStyle w:val="Normal"/>
        <w:widowControl/>
        <w:spacing w:lineRule="auto" w:line="360"/>
        <w:ind w:firstLine="709"/>
        <w:jc w:val="both"/>
        <w:rPr/>
      </w:pPr>
      <w:r>
        <w:rPr/>
        <w:t>První výsledkové téma dobře odpovídá institucionální perspektivě DiMaggia a Powella (1983). Organizace vystavené stejným donucovacím, normativním a mimetickým tlakům začínají přebírat podobné struktury. CSRD a ESRS určují společný obsah zveřejnění, auditoři a poradci přenášejí profesní normy a podniky sledují řešení svých konkurentů.</w:t>
      </w:r>
    </w:p>
    <w:p>
      <w:pPr>
        <w:pStyle w:val="Normal"/>
        <w:widowControl/>
        <w:spacing w:lineRule="auto" w:line="360"/>
        <w:ind w:firstLine="709"/>
        <w:jc w:val="both"/>
        <w:rPr/>
      </w:pPr>
      <w:r>
        <w:rPr/>
        <w:t>Tato podobnost je v analyzovaných zprávách zřetelná. V různém pořadí se opakují strategie, dvojí materialita, governance, cíle a metriky. Pro čtenáře jde o významný posun. Informace lze snáze dohledat a porovnat; není nutné v každé zprávě znovu luštit zcela odlišný slovník.</w:t>
      </w:r>
    </w:p>
    <w:p>
      <w:pPr>
        <w:pStyle w:val="Normal"/>
        <w:widowControl/>
        <w:spacing w:lineRule="auto" w:line="360"/>
        <w:ind w:firstLine="709"/>
        <w:jc w:val="both"/>
        <w:rPr/>
      </w:pPr>
      <w:r>
        <w:rPr/>
        <w:t>Stejná architektura ale snadno vytváří dojem, že srovnatelné jsou i vnitřní procesy. Právě zde výsledky ukazují rozdíl. ČEZ zveřejňuje napojení přechodového plánu na investiční plán. MONETA spojuje agendu s pobídkami, risk governance a metodikou financovaného portfolia. O2 zachycuje přechodové období, v němž už existuje strategie a výbor, ale některé cíle a KPI nejvyššího orgánu se teprve přestavují. Škoda Auto propojuje skupinový rámec s produktem, výrobou, kapitálovými výdaji a dodavatelskými vztahy.</w:t>
      </w:r>
    </w:p>
    <w:p>
      <w:pPr>
        <w:pStyle w:val="Normal"/>
        <w:widowControl/>
        <w:spacing w:lineRule="auto" w:line="360"/>
        <w:ind w:firstLine="709"/>
        <w:jc w:val="both"/>
        <w:rPr/>
      </w:pPr>
      <w:r>
        <w:rPr/>
        <w:t xml:space="preserve">Výsledek proto nepodporuje ani jednoduché tvrzení, že standardizace je prázdná formalita, ani opačný závěr, že povinný report automaticky mění řízení. Přesnější je chápat regulaci jako </w:t>
      </w:r>
      <w:r>
        <w:rPr>
          <w:b/>
        </w:rPr>
        <w:t>infrastrukturu možnosti</w:t>
      </w:r>
      <w:r>
        <w:rPr/>
        <w:t>. Vytváří požadavek na data, role a vysvětlení a tím může otevřít cestu k organizační změně. Jestli se nová infrastruktura napojí na hlavní rozhodovací procesy, závisí na sektorové materialitě, vlastnictví tématu, dostupných zdrojích a na tom, co už podnik řídil před příchodem regulace.</w:t>
      </w:r>
    </w:p>
    <w:p>
      <w:pPr>
        <w:pStyle w:val="Normal"/>
        <w:widowControl/>
        <w:spacing w:lineRule="auto" w:line="360"/>
        <w:ind w:firstLine="709"/>
        <w:jc w:val="both"/>
        <w:rPr/>
      </w:pPr>
      <w:r>
        <w:rPr/>
        <w:t>Pozdější zúžení evropského reportovacího rámce této interpretaci přidává další vrstvu. Proces, který přežije i snížení právní povinnosti, mohl mezitím získat vlastní provozní nebo finanční funkci. Dokumenty za rok 2024 takovou budoucí perzistenci samozřejmě nedokládají, ale vytvářejí výchozí bod pro longitudinální srovnání.</w:t>
      </w:r>
    </w:p>
    <w:p>
      <w:pPr>
        <w:pStyle w:val="Heading2"/>
        <w:keepNext w:val="true"/>
        <w:widowControl/>
        <w:ind w:hanging="0"/>
        <w:rPr/>
      </w:pPr>
      <w:bookmarkStart w:id="101" w:name="__RefHeading___Toc2206_516823210"/>
      <w:bookmarkEnd w:id="101"/>
      <w:r>
        <w:rPr/>
        <w:t>5.3 Materialita: od diagnostiky k alokaci</w:t>
      </w:r>
    </w:p>
    <w:p>
      <w:pPr>
        <w:pStyle w:val="Normal"/>
        <w:widowControl/>
        <w:spacing w:lineRule="auto" w:line="360"/>
        <w:ind w:firstLine="709"/>
        <w:jc w:val="both"/>
        <w:rPr/>
      </w:pPr>
      <w:r>
        <w:rPr/>
        <w:t>Dvojí materialita je v reportech často představena jako metodický proces a výsledný seznam témat. Z hlediska implementace je podstatnější, co se s tímto seznamem stane. Khan et al. (2016) ukazují význam materiálních témat pro vztah mezi udržitelností a výkonností, jejich rámec však pracuje především s finanční materialitou. Evropský přístup přidává dopady podniku na lidi a životní prostředí.</w:t>
      </w:r>
    </w:p>
    <w:p>
      <w:pPr>
        <w:pStyle w:val="Normal"/>
        <w:widowControl/>
        <w:spacing w:lineRule="auto" w:line="360"/>
        <w:ind w:firstLine="709"/>
        <w:jc w:val="both"/>
        <w:rPr/>
      </w:pPr>
      <w:r>
        <w:rPr/>
        <w:t>Výsledky ukazují tři odlišné úrovně materialitního procesu. Na diagnostické úrovni podnik identifikuje a seřadí témata. Organizační úroveň jim přidá vlastníka, metriku a kontrolní rytmus. Alokační úroveň nastává tehdy, když výsledek ovlivní zdroje nebo rozhodovací pravidlo.</w:t>
      </w:r>
    </w:p>
    <w:p>
      <w:pPr>
        <w:pStyle w:val="Normal"/>
        <w:widowControl/>
        <w:spacing w:lineRule="auto" w:line="360"/>
        <w:ind w:firstLine="709"/>
        <w:jc w:val="both"/>
        <w:rPr/>
      </w:pPr>
      <w:r>
        <w:rPr/>
        <w:t>První dvě úrovně jsou v reportech relativně dobře viditelné. Třetí se objevuje méně často, ale právě ona poskytuje nejsilnější znak integrace. U ČEZ se klimatické téma propojuje s přechodovým a investičním plánem. U MONETA vede význam financovaných emisí k budování metodiky portfolia, i když chybí outcome cíl. O2 překládá energetickou materialitu do obnovy infrastruktury. Škoda Auto spojuje produktovou a hodnotově-řetězcovou materialitu s životním cyklem výrobku, CapEx a hodnocením dodavatelů.</w:t>
      </w:r>
    </w:p>
    <w:p>
      <w:pPr>
        <w:pStyle w:val="Normal"/>
        <w:widowControl/>
        <w:spacing w:lineRule="auto" w:line="360"/>
        <w:ind w:firstLine="709"/>
        <w:jc w:val="both"/>
        <w:rPr/>
      </w:pPr>
      <w:r>
        <w:rPr/>
        <w:t>Materialita tedy může být reportovacím filtrem i mechanismem alokace. Rozdíl mezi oběma rolemi se nepozná podle vzhledu matice, ale podle následné cesty tématu. Budoucí výzkum by měl sledovat případy, kdy se pořadí materialitních témat změnilo, a ověřit, zda tato změna skutečně vedla k úpravě investičního, produktového nebo rizikového rozhodnutí. To už by vyžadovalo přístup k interním dokladům a rozhovorům.</w:t>
      </w:r>
    </w:p>
    <w:p>
      <w:pPr>
        <w:pStyle w:val="Heading2"/>
        <w:keepNext w:val="true"/>
        <w:widowControl/>
        <w:ind w:hanging="0"/>
        <w:rPr/>
      </w:pPr>
      <w:bookmarkStart w:id="102" w:name="__RefHeading___Toc2208_516823210"/>
      <w:bookmarkEnd w:id="102"/>
      <w:r>
        <w:rPr/>
        <w:t>5.4 Governance: organigram ještě není schopnost zasáhnout</w:t>
      </w:r>
    </w:p>
    <w:p>
      <w:pPr>
        <w:pStyle w:val="Normal"/>
        <w:widowControl/>
        <w:spacing w:lineRule="auto" w:line="360"/>
        <w:ind w:firstLine="709"/>
        <w:jc w:val="both"/>
        <w:rPr/>
      </w:pPr>
      <w:r>
        <w:rPr/>
        <w:t>Výsledky podporují význam organizačních procesů zdůrazněný Eccles et al. (2014). Udržitelnostní agenda se stává řiditelnou, když má vlastníka, pravidelný tok informací a kontrolní mechanismus. Veřejná governance schémata však mohou působit úplněji, než jaký důkaz ve skutečnosti poskytují.</w:t>
      </w:r>
    </w:p>
    <w:p>
      <w:pPr>
        <w:pStyle w:val="Normal"/>
        <w:widowControl/>
        <w:spacing w:lineRule="auto" w:line="360"/>
        <w:ind w:firstLine="709"/>
        <w:jc w:val="both"/>
        <w:rPr/>
      </w:pPr>
      <w:r>
        <w:rPr/>
        <w:t>Analýza proto pracovala s několika stupni. Nejslabší informací je samotný název výboru. Více vypovídá jeho složení a mandát. Další sílu přidává pravidelná kadence, konkrétní KPI a možnost zahájit nápravné opatření. Nejsilnější veřejně pozorovatelnou vazbu představuje propojení s odměnou, rizikovým limitem, rozpočtem nebo doloženým rozhodnutím.</w:t>
      </w:r>
    </w:p>
    <w:p>
      <w:pPr>
        <w:pStyle w:val="Normal"/>
        <w:widowControl/>
        <w:spacing w:lineRule="auto" w:line="360"/>
        <w:ind w:firstLine="709"/>
        <w:jc w:val="both"/>
        <w:rPr/>
      </w:pPr>
      <w:r>
        <w:rPr/>
        <w:t>MONETA zveřejňuje výbor vedený CEO, čtvrtletní monitoring, možnost korekce, kontrolní linie a variabilní odměňování. ČEZ má board-level vlastníka a společný ESG úkol členů představenstva s pobídkovou vazbou. O2 popisuje pravidelný reporting představenstvu a průřezový výbor, současně ale přiznává, že v daném období nebyly vytvořeny ESG KPI pro hodnocení nejvyššího orgánu. Škoda Auto uvádí definované role, externí expertní radu a odborový dialog, méně však zveřejňuje konkrétní rozhodovací důsledky těchto vstupů.</w:t>
      </w:r>
    </w:p>
    <w:p>
      <w:pPr>
        <w:pStyle w:val="Normal"/>
        <w:widowControl/>
        <w:spacing w:lineRule="auto" w:line="360"/>
        <w:ind w:firstLine="709"/>
        <w:jc w:val="both"/>
        <w:rPr/>
      </w:pPr>
      <w:r>
        <w:rPr/>
        <w:t xml:space="preserve">Veřejný dokument má v této oblasti přirozenou hranici. Zápisy, konflikty, zamítnuté projekty nebo skutečné použití eskalace obvykle nejsou dostupné. Není tedy možné bezpečně určit, zda je výbor rozhodovacím fórem, nebo především koordinačním orgánem pro přípravu reportu. Přesnější je mluvit o </w:t>
      </w:r>
      <w:r>
        <w:rPr>
          <w:b/>
        </w:rPr>
        <w:t>zveřejněné governance kapacitě</w:t>
      </w:r>
      <w:r>
        <w:rPr/>
        <w:t xml:space="preserve"> než o prokázané účinnosti.</w:t>
      </w:r>
    </w:p>
    <w:p>
      <w:pPr>
        <w:pStyle w:val="Normal"/>
        <w:widowControl/>
        <w:spacing w:lineRule="auto" w:line="360"/>
        <w:ind w:firstLine="709"/>
        <w:jc w:val="both"/>
        <w:rPr/>
      </w:pPr>
      <w:r>
        <w:rPr/>
        <w:t>Pro čtenáře se tím mění hlavní otázka. Není podstatné jen to, zda firma výbor má. Je potřeba zjistit, co sleduje, jak často se schází, jaké informace dostává, jaký je postup při neplnění a zda může výsledek zasáhnout do odměny, rizika nebo zdrojů. Teprve příklad skutečné korekce by umožnil jít ještě dál.</w:t>
      </w:r>
    </w:p>
    <w:p>
      <w:pPr>
        <w:pStyle w:val="Heading2"/>
        <w:keepNext w:val="true"/>
        <w:widowControl/>
        <w:ind w:hanging="0"/>
        <w:rPr/>
      </w:pPr>
      <w:bookmarkStart w:id="103" w:name="__RefHeading___Toc2210_516823210"/>
      <w:bookmarkEnd w:id="103"/>
      <w:r>
        <w:rPr/>
        <w:t>5.5 Legitimita a informační hodnota nepříznivých údajů</w:t>
      </w:r>
    </w:p>
    <w:p>
      <w:pPr>
        <w:pStyle w:val="Normal"/>
        <w:widowControl/>
        <w:spacing w:lineRule="auto" w:line="360"/>
        <w:ind w:firstLine="709"/>
        <w:jc w:val="both"/>
        <w:rPr/>
      </w:pPr>
      <w:r>
        <w:rPr/>
        <w:t>Teorie legitimity předpokládá, že organizace vysvětlují a ospravedlňují své jednání vůči relevantním publikům (Suchman, 1995). Udržitelnostní zpráva je pro tuto funkci vhodná: propojuje strategii, cíle, výsledky a vybrané příklady do jednoho příběhu. Delmas a Burbano (2011) zároveň ukazují podmínky, za nichž se mezi komunikací a praxí může otevřít mezera.</w:t>
      </w:r>
    </w:p>
    <w:p>
      <w:pPr>
        <w:pStyle w:val="Normal"/>
        <w:widowControl/>
        <w:spacing w:lineRule="auto" w:line="360"/>
        <w:ind w:firstLine="709"/>
        <w:jc w:val="both"/>
        <w:rPr/>
      </w:pPr>
      <w:r>
        <w:rPr/>
        <w:t>Z pozitivního tónu však nelze odvodit úmysl greenwashingu. Dokumentová analýza nemá přístup k interní motivaci autorů. Může ale posoudit, zda zpráva nabízí informace, které dovolují pozitivní příběh korigovat. V tomto ohledu výsledky navazují na Boirala (2013), jenž upozorňuje, že i formálně kvalitní report může upozadit konflikty a negativní události.</w:t>
      </w:r>
    </w:p>
    <w:p>
      <w:pPr>
        <w:pStyle w:val="Normal"/>
        <w:widowControl/>
        <w:spacing w:lineRule="auto" w:line="360"/>
        <w:ind w:firstLine="709"/>
        <w:jc w:val="both"/>
        <w:rPr/>
      </w:pPr>
      <w:r>
        <w:rPr/>
        <w:t>V analyzovaném korpusu byly právě nepříznivé informace často mimořádně užitečné. ČEZ zveřejňuje pokračující lignitovou expozici, dlouhodobý dopad těžby na biodiverzitu a sociální náklady útlumu. MONETA uvádí kritický názor na reportovací zátěž, pokles zájmu investorů, zhoršený gender pay gap, chybějící outcome cíl financovaných emisí a zrušení jednoho KPI. O2 přiznává reset cílů, růst energie a části emisí, restatement historických hodnot, neúplnou governance a absenci assurance. U Škoda Auto korigují pozitivní obraz hlavně rozdíly mezi taxonomickou způsobilostí a sladěností a hranice skupinových tvrzení.</w:t>
      </w:r>
    </w:p>
    <w:p>
      <w:pPr>
        <w:pStyle w:val="Normal"/>
        <w:widowControl/>
        <w:spacing w:lineRule="auto" w:line="360"/>
        <w:ind w:firstLine="709"/>
        <w:jc w:val="both"/>
        <w:rPr/>
      </w:pPr>
      <w:r>
        <w:rPr/>
        <w:t>Negativní údaj nelze zaměnit za negativní hodnocení firmy. Podnik, který zhoršení změří a vysvětlí, může mít kvalitnější kontrolní systém než podnik, který obdobný problém nezachytí nebo nezveřejní. Kvalita reportu proto nespočívá jen v počtu úspěchů. Patří k ní i schopnost učinit selhání, nejistotu a metodickou hranici viditelnými.</w:t>
      </w:r>
    </w:p>
    <w:p>
      <w:pPr>
        <w:pStyle w:val="Normal"/>
        <w:widowControl/>
        <w:spacing w:lineRule="auto" w:line="360"/>
        <w:ind w:firstLine="709"/>
        <w:jc w:val="both"/>
        <w:rPr/>
      </w:pPr>
      <w:r>
        <w:rPr/>
        <w:t>Tento závěr doplňuje Michelon et al. (2015). Samostatný report, standard ani assurance nejsou samy o sobě zárukou kvality. Více vypovídá konkrétnost, vyváženost, srovnatelnost a zřetelná vazba informace na řízení.</w:t>
      </w:r>
    </w:p>
    <w:p>
      <w:pPr>
        <w:pStyle w:val="Heading2"/>
        <w:keepNext w:val="true"/>
        <w:widowControl/>
        <w:ind w:hanging="0"/>
        <w:rPr/>
      </w:pPr>
      <w:bookmarkStart w:id="104" w:name="__RefHeading___Toc2212_516823210"/>
      <w:bookmarkEnd w:id="104"/>
      <w:r>
        <w:rPr/>
        <w:t>5.6 Aktivita, outcome a dopad</w:t>
      </w:r>
    </w:p>
    <w:p>
      <w:pPr>
        <w:pStyle w:val="Normal"/>
        <w:widowControl/>
        <w:spacing w:lineRule="auto" w:line="360"/>
        <w:ind w:firstLine="709"/>
        <w:jc w:val="both"/>
        <w:rPr/>
      </w:pPr>
      <w:r>
        <w:rPr/>
        <w:t>Jednou z nejčastějších interpretačních chyb je posun mezi úrovněmi výsledku. Počet proškolených zaměstnanců, účastníků programu nebo zapojených dodavatelů může být přesně změřený a pro řízení kapacity velmi důležitý. Pořád však jde především o výstup aktivity.</w:t>
      </w:r>
    </w:p>
    <w:p>
      <w:pPr>
        <w:pStyle w:val="Normal"/>
        <w:widowControl/>
        <w:spacing w:lineRule="auto" w:line="360"/>
        <w:ind w:firstLine="709"/>
        <w:jc w:val="both"/>
        <w:rPr/>
      </w:pPr>
      <w:r>
        <w:rPr/>
        <w:t>Outcome znamená změnu stavu: nižší spotřebu na jednotku, vývoj pay gap, snížení emisní intenzity, podíl elektrických vozidel nebo změnu kvality portfolia. Ani outcome automaticky nedokazuje širší dopad nebo jeho kauzalitu. Intenzita může klesat spolu s růstem absolutního objemu. Spotřebu může ovlivnit akvizice nebo rozšířená hranice. Počet blokovaných útoků neříká, kolik škody zabránila jedna konkrétní politika.</w:t>
      </w:r>
    </w:p>
    <w:p>
      <w:pPr>
        <w:pStyle w:val="Normal"/>
        <w:widowControl/>
        <w:spacing w:lineRule="auto" w:line="360"/>
        <w:ind w:firstLine="709"/>
        <w:jc w:val="both"/>
        <w:rPr/>
      </w:pPr>
      <w:r>
        <w:rPr/>
        <w:t>Toto rozlišení je důležité i ve vztahu k literatuře o finanční výkonnosti. Friede et al. (2015) a Gillan et al. (2021) ukazují, jak silně závěr závisí na definici proměnných a výzkumném designu. Stejný problém vzniká uvnitř jednoho reportu: označení „ESG výsledek“ může skrývat výdaj, počet účastníků, provozní změnu nebo tvrzení o společenském efektu.</w:t>
      </w:r>
    </w:p>
    <w:p>
      <w:pPr>
        <w:pStyle w:val="Normal"/>
        <w:widowControl/>
        <w:spacing w:lineRule="auto" w:line="360"/>
        <w:ind w:firstLine="709"/>
        <w:jc w:val="both"/>
        <w:rPr/>
      </w:pPr>
      <w:r>
        <w:rPr/>
        <w:t>Škála E0–E4 tento problém omezuje, ale neřeší jej úplně. Brání vydávat aktivitu za outcome a governance proces za dopad. Sama však neměří velikost ani dostatečnost výsledku. E2 může být metodicky kvalitní, ale zaměřená na okrajové téma. E3 může být hluboce integrovaná a přesto vést jen k malému zlepšení. E4 může potvrdit správnost výpočtu, ne přiměřenost cíle.</w:t>
      </w:r>
    </w:p>
    <w:p>
      <w:pPr>
        <w:pStyle w:val="Heading2"/>
        <w:keepNext w:val="true"/>
        <w:widowControl/>
        <w:ind w:hanging="0"/>
        <w:rPr/>
      </w:pPr>
      <w:bookmarkStart w:id="105" w:name="__RefHeading___Toc2214_516823210"/>
      <w:bookmarkEnd w:id="105"/>
      <w:r>
        <w:rPr/>
        <w:t>5.7 Externí ujištění bez halo efektu</w:t>
      </w:r>
    </w:p>
    <w:p>
      <w:pPr>
        <w:pStyle w:val="Normal"/>
        <w:widowControl/>
        <w:spacing w:lineRule="auto" w:line="360"/>
        <w:ind w:firstLine="709"/>
        <w:jc w:val="both"/>
        <w:rPr/>
      </w:pPr>
      <w:r>
        <w:rPr/>
        <w:t>Assurance bývá čteno jako jednoduchá značka důvěryhodnosti. Ve skutečnosti je potřeba položit několik otázek: co přesně je ověřeno, jakou úrovní, podle jakého standardu a zda následná interpretace nepřekračuje závěr praktika.</w:t>
      </w:r>
    </w:p>
    <w:p>
      <w:pPr>
        <w:pStyle w:val="Normal"/>
        <w:widowControl/>
        <w:spacing w:lineRule="auto" w:line="360"/>
        <w:ind w:firstLine="709"/>
        <w:jc w:val="both"/>
        <w:rPr/>
      </w:pPr>
      <w:r>
        <w:rPr/>
        <w:t>ČEZ má omezené ujištění nad konsolidovanou zprávou o udržitelnosti. To posiluje důvěryhodnost vymezených informací a kontrolního procesu, nikoli budoucí úspěch přechodového plánu. MONETA uvádí přiměřené ujištění metodiky vymezené části financovaných emisí. Jde o silnou podporu konkrétního výpočtu, ne o potvrzení dekarbonizace portfolia. O2 assurance nemá; jeho data proto nejsou automaticky nesprávná, ale chybí jim tato externí vrstva kontroly.</w:t>
      </w:r>
    </w:p>
    <w:p>
      <w:pPr>
        <w:pStyle w:val="Normal"/>
        <w:widowControl/>
        <w:spacing w:lineRule="auto" w:line="360"/>
        <w:ind w:firstLine="709"/>
        <w:jc w:val="both"/>
        <w:rPr/>
      </w:pPr>
      <w:r>
        <w:rPr/>
        <w:t>Oddělení assurance od evidenční třídy zabraňuje dvěma opačným chybám. První by připsala vysokou důvěryhodnost každému tvrzení v ověřeném reportu. Druhá by podcenila přesvědčivý E3 mechanismus jen proto, že nebyl samostatně ověřen. Hloubka integrace a nezávislá spolehlivost výsledku jsou dvě různé vlastnosti.</w:t>
      </w:r>
    </w:p>
    <w:p>
      <w:pPr>
        <w:pStyle w:val="Normal"/>
        <w:widowControl/>
        <w:spacing w:lineRule="auto" w:line="360"/>
        <w:ind w:firstLine="709"/>
        <w:jc w:val="both"/>
        <w:rPr/>
      </w:pPr>
      <w:r>
        <w:rPr/>
        <w:t>Z praktického hlediska by proto měl podnik jasně uvádět úroveň, rozsah a předmět ujištění. Obecná grafická značka „ověřeno“ bez vysvětlení snadno vyvolá širší dojem, než jaký odpovídá skutečné zakázce.</w:t>
      </w:r>
    </w:p>
    <w:p>
      <w:pPr>
        <w:pStyle w:val="Heading2"/>
        <w:keepNext w:val="true"/>
        <w:widowControl/>
        <w:ind w:hanging="0"/>
        <w:rPr/>
      </w:pPr>
      <w:bookmarkStart w:id="106" w:name="__RefHeading___Toc2216_516823210"/>
      <w:bookmarkEnd w:id="106"/>
      <w:r>
        <w:rPr/>
        <w:t>5.8 Přínos a limity škály E0–E4</w:t>
      </w:r>
    </w:p>
    <w:p>
      <w:pPr>
        <w:pStyle w:val="Normal"/>
        <w:widowControl/>
        <w:spacing w:lineRule="auto" w:line="360"/>
        <w:ind w:firstLine="709"/>
        <w:jc w:val="both"/>
        <w:rPr/>
      </w:pPr>
      <w:r>
        <w:rPr/>
        <w:t>Škála E0–E4 vznikla jako pracovní nástroj pro tuto analýzu, nikoli jako validovaný rating. Její hlavní přínos spočívá ve změně jednotky hodnocení. Namísto obecné otázky „jak kvalitní ESG má firma?“ se ptá, jak silně je doloženo konkrétní tvrzení.</w:t>
      </w:r>
    </w:p>
    <w:p>
      <w:pPr>
        <w:pStyle w:val="Normal"/>
        <w:widowControl/>
        <w:spacing w:lineRule="auto" w:line="360"/>
        <w:ind w:firstLine="709"/>
        <w:jc w:val="both"/>
        <w:rPr/>
      </w:pPr>
      <w:r>
        <w:rPr/>
        <w:t>Tím se omezuje halo efekt. Jeden podnik může mít v témže reportu obecnou deklaraci E0, rozsáhlou aktivitu E1 a rozhodovací mechanismus E3. Firma bez assurance může popsat silnou vazbu na kapitál. Externě ověřená metrika může patřit do E4 a současně se týkat oblasti, pro kterou chybí outcome cíl.</w:t>
      </w:r>
    </w:p>
    <w:p>
      <w:pPr>
        <w:pStyle w:val="Normal"/>
        <w:widowControl/>
        <w:spacing w:lineRule="auto" w:line="360"/>
        <w:ind w:firstLine="709"/>
        <w:jc w:val="both"/>
        <w:rPr/>
      </w:pPr>
      <w:r>
        <w:rPr/>
        <w:t>Škála pomáhá i při formulaci výsledků. E0 vede k opatrnému „podnik deklaruje“. U E1 lze říci, že uvádí konkrétní aktivitu nebo výstup. E2 dovoluje hovořit o formalizovaném procesu či sledovaném výsledku. E3 podporuje závěr o zveřejněném napojení na rozhodování a E4 o silné externí podpoře přesně vymezeného výsledku.</w:t>
      </w:r>
    </w:p>
    <w:p>
      <w:pPr>
        <w:pStyle w:val="Normal"/>
        <w:widowControl/>
        <w:spacing w:lineRule="auto" w:line="360"/>
        <w:ind w:firstLine="709"/>
        <w:jc w:val="both"/>
        <w:rPr/>
      </w:pPr>
      <w:r>
        <w:rPr/>
        <w:t>Nástroj má však několik omezení. Hranice mezi E1 a E2 nebo mezi E2 a E3 vyžaduje interpretační úsudek. Formalizované velké podniky mohou být zvýhodněny proti organizacím s účinnou, ale hůře zdokumentovanou praxí. E3 nehodnotí ambici ani směr rozhodnutí. E4 závisí na dostupnosti assurance nebo triangulace, která bývá nákladná a selektivní.</w:t>
      </w:r>
    </w:p>
    <w:p>
      <w:pPr>
        <w:pStyle w:val="Normal"/>
        <w:widowControl/>
        <w:spacing w:lineRule="auto" w:line="360"/>
        <w:ind w:firstLine="709"/>
        <w:jc w:val="both"/>
        <w:rPr/>
      </w:pPr>
      <w:r>
        <w:rPr/>
        <w:t>Budoucí validace by měla použít větší korpus a více nezávislých kodérů. Zajímavé by bylo také porovnat klasifikaci s interními dokumenty a sledovat, zda E3 vazby skutečně předpovídají stabilnější výsledky v čase.</w:t>
      </w:r>
    </w:p>
    <w:p>
      <w:pPr>
        <w:pStyle w:val="Heading2"/>
        <w:keepNext w:val="true"/>
        <w:widowControl/>
        <w:ind w:hanging="0"/>
        <w:rPr/>
      </w:pPr>
      <w:bookmarkStart w:id="107" w:name="__RefHeading___Toc2218_516823210"/>
      <w:bookmarkEnd w:id="107"/>
      <w:r>
        <w:rPr/>
        <w:t>5.9 Sektorová materialita a nemožnost neutrálního jednotného skóre</w:t>
      </w:r>
    </w:p>
    <w:p>
      <w:pPr>
        <w:pStyle w:val="Normal"/>
        <w:widowControl/>
        <w:spacing w:lineRule="auto" w:line="360"/>
        <w:ind w:firstLine="709"/>
        <w:jc w:val="both"/>
        <w:rPr/>
      </w:pPr>
      <w:r>
        <w:rPr/>
        <w:t>Srovnání čtyř sektorů ukázalo, proč je univerzální počet KPI slabým řešením. Energetika, bankovnictví, telekomunikace a automobilový průmysl mají rozdílný vztah mezi vlastní činností, hodnotovým řetězcem a dopadem.</w:t>
      </w:r>
    </w:p>
    <w:p>
      <w:pPr>
        <w:pStyle w:val="Normal"/>
        <w:widowControl/>
        <w:spacing w:lineRule="auto" w:line="360"/>
        <w:ind w:firstLine="709"/>
        <w:jc w:val="both"/>
        <w:rPr/>
      </w:pPr>
      <w:r>
        <w:rPr/>
        <w:t>U ČEZ stojí v centru výroba energie, investiční portfolio a útlum uhlí. U MONETA je hlavní klimatická oblast v úvěrovém portfoliu, nikoli v provozu poboček. U O2 jsou vedle energie významné bezpečnost, dostupnost služeb a digitální kompetence. Škoda Auto musí pracovat s životním cyklem produktu, výrobou a globálními dodavateli.</w:t>
      </w:r>
    </w:p>
    <w:p>
      <w:pPr>
        <w:pStyle w:val="Normal"/>
        <w:widowControl/>
        <w:spacing w:lineRule="auto" w:line="360"/>
        <w:ind w:firstLine="709"/>
        <w:jc w:val="both"/>
        <w:rPr/>
      </w:pPr>
      <w:r>
        <w:rPr/>
        <w:t>Berg et al. (2022) ukazují, že ESG ratingy se rozcházejí v rozsahu, měření a vahách. Zdejší kvalitativní srovnání ilustruje, proč nejde jen o technický problém. Kdo by chtěl vytvořit jedno skóre, musel by rozhodnout, jakou společnou váhu dát biodiversitnímu dopadu těžby, financovaným emisím, digitální bezpečnosti a recyklovanému materiálu. Taková volba není neutrální.</w:t>
      </w:r>
    </w:p>
    <w:p>
      <w:pPr>
        <w:pStyle w:val="Normal"/>
        <w:widowControl/>
        <w:spacing w:lineRule="auto" w:line="360"/>
        <w:ind w:firstLine="709"/>
        <w:jc w:val="both"/>
        <w:rPr/>
      </w:pPr>
      <w:r>
        <w:rPr/>
        <w:t>Práce proto zachovává společnou logiku mechanismu, nikoli společnou škálu dopadu. Ptá se, zda je sektorově materiální téma spojeno s odpovědností, cílem, hranicí a rozhodnutím. To umožňuje srovnání bez předstírání, že samotné dopady jsou zaměnitelné.</w:t>
      </w:r>
    </w:p>
    <w:p>
      <w:pPr>
        <w:pStyle w:val="Heading2"/>
        <w:keepNext w:val="true"/>
        <w:widowControl/>
        <w:ind w:hanging="0"/>
        <w:rPr/>
      </w:pPr>
      <w:bookmarkStart w:id="108" w:name="__RefHeading___Toc2220_516823210"/>
      <w:bookmarkEnd w:id="108"/>
      <w:r>
        <w:rPr/>
        <w:t>5.10 Praktická doporučení pro podniky</w:t>
      </w:r>
    </w:p>
    <w:p>
      <w:pPr>
        <w:pStyle w:val="Heading3"/>
        <w:keepNext w:val="true"/>
        <w:widowControl/>
        <w:ind w:hanging="0"/>
        <w:rPr/>
      </w:pPr>
      <w:bookmarkStart w:id="109" w:name="__RefHeading___Toc2222_516823210"/>
      <w:bookmarkEnd w:id="109"/>
      <w:r>
        <w:rPr/>
        <w:t>5.10.1 Ukázat rozhodovací mechanismus</w:t>
      </w:r>
    </w:p>
    <w:p>
      <w:pPr>
        <w:pStyle w:val="Normal"/>
        <w:widowControl/>
        <w:spacing w:lineRule="auto" w:line="360"/>
        <w:ind w:firstLine="709"/>
        <w:jc w:val="both"/>
        <w:rPr/>
      </w:pPr>
      <w:r>
        <w:rPr/>
        <w:t>Obecné označení priority má menší informační hodnotu než popis toho, kdo rozhoduje, který proces se mění a jaký může mít výsledek důsledek. Vazba klimatického cíle na investiční plán řekne čtenáři více než dlouhý katalog projektů bez společné logiky.</w:t>
      </w:r>
    </w:p>
    <w:p>
      <w:pPr>
        <w:pStyle w:val="Heading3"/>
        <w:keepNext w:val="true"/>
        <w:widowControl/>
        <w:ind w:hanging="0"/>
        <w:rPr/>
      </w:pPr>
      <w:bookmarkStart w:id="110" w:name="__RefHeading___Toc2224_516823210"/>
      <w:bookmarkEnd w:id="110"/>
      <w:r>
        <w:rPr/>
        <w:t>5.10.2 Oddělit aktivitu, outcome a dopad</w:t>
      </w:r>
    </w:p>
    <w:p>
      <w:pPr>
        <w:pStyle w:val="Normal"/>
        <w:widowControl/>
        <w:spacing w:lineRule="auto" w:line="360"/>
        <w:ind w:firstLine="709"/>
        <w:jc w:val="both"/>
        <w:rPr/>
      </w:pPr>
      <w:r>
        <w:rPr/>
        <w:t>Počet proškolených osob nebo zapojených dodavatelů má být označen jako výstup. Pokud organizace tvrdí změnu chování nebo širší dopad, měla by uvést metodu, výchozí hodnotu, srovnání a omezení kauzální interpretace.</w:t>
      </w:r>
    </w:p>
    <w:p>
      <w:pPr>
        <w:pStyle w:val="Heading3"/>
        <w:keepNext w:val="true"/>
        <w:widowControl/>
        <w:ind w:hanging="0"/>
        <w:rPr/>
      </w:pPr>
      <w:bookmarkStart w:id="111" w:name="__RefHeading___Toc2226_516823210"/>
      <w:bookmarkEnd w:id="111"/>
      <w:r>
        <w:rPr/>
        <w:t>5.10.3 Vysvětlit hranice a změny metodiky</w:t>
      </w:r>
    </w:p>
    <w:p>
      <w:pPr>
        <w:pStyle w:val="Normal"/>
        <w:widowControl/>
        <w:spacing w:lineRule="auto" w:line="360"/>
        <w:ind w:firstLine="709"/>
        <w:jc w:val="both"/>
        <w:rPr/>
      </w:pPr>
      <w:r>
        <w:rPr/>
        <w:t>Akvizice, restatement nebo rozšíření portfolia mohou výrazně změnit časovou řadu. Přepočet má být popsán tak, aby čtenář dokázal oddělit skutečnou změnu výkonu od změny měření.</w:t>
      </w:r>
    </w:p>
    <w:p>
      <w:pPr>
        <w:pStyle w:val="Heading3"/>
        <w:keepNext w:val="true"/>
        <w:widowControl/>
        <w:ind w:hanging="0"/>
        <w:rPr/>
      </w:pPr>
      <w:bookmarkStart w:id="112" w:name="__RefHeading___Toc2228_516823210"/>
      <w:bookmarkEnd w:id="112"/>
      <w:r>
        <w:rPr/>
        <w:t>5.10.4 Popsat postup při neplnění</w:t>
      </w:r>
    </w:p>
    <w:p>
      <w:pPr>
        <w:pStyle w:val="Normal"/>
        <w:widowControl/>
        <w:spacing w:lineRule="auto" w:line="360"/>
        <w:ind w:firstLine="709"/>
        <w:jc w:val="both"/>
        <w:rPr/>
      </w:pPr>
      <w:r>
        <w:rPr/>
        <w:t>Governance získává důvěryhodnost, když report ukáže korektivní mechanismus: eskalaci, změnu plánu, dopad na odměnu, nápravný plán dodavatele nebo investiční podmínku. Samotná existence výboru tuto informaci nenahrazuje.</w:t>
      </w:r>
    </w:p>
    <w:p>
      <w:pPr>
        <w:pStyle w:val="Heading3"/>
        <w:keepNext w:val="true"/>
        <w:widowControl/>
        <w:ind w:hanging="0"/>
        <w:rPr/>
      </w:pPr>
      <w:bookmarkStart w:id="113" w:name="__RefHeading___Toc2230_516823210"/>
      <w:bookmarkEnd w:id="113"/>
      <w:r>
        <w:rPr/>
        <w:t>5.10.5 Nezakrývat neúspěch</w:t>
      </w:r>
    </w:p>
    <w:p>
      <w:pPr>
        <w:pStyle w:val="Normal"/>
        <w:widowControl/>
        <w:spacing w:lineRule="auto" w:line="360"/>
        <w:ind w:firstLine="709"/>
        <w:jc w:val="both"/>
        <w:rPr/>
      </w:pPr>
      <w:r>
        <w:rPr/>
        <w:t>Zhoršený KPI, zrušený cíl nebo chybějící data mohou být reputačně nepohodlné. Pro rozhodování jsou však užitečnější než uhlazené tvrzení, které nelze ověřit. Transparentnost nevyřešeného problému je součástí kvality, nikoli její opak.</w:t>
      </w:r>
    </w:p>
    <w:p>
      <w:pPr>
        <w:pStyle w:val="Heading3"/>
        <w:keepNext w:val="true"/>
        <w:widowControl/>
        <w:ind w:hanging="0"/>
        <w:rPr/>
      </w:pPr>
      <w:bookmarkStart w:id="114" w:name="__RefHeading___Toc2232_516823210"/>
      <w:bookmarkEnd w:id="114"/>
      <w:r>
        <w:rPr/>
        <w:t>5.10.6 Vymezit rozsah assurance</w:t>
      </w:r>
    </w:p>
    <w:p>
      <w:pPr>
        <w:pStyle w:val="Normal"/>
        <w:widowControl/>
        <w:spacing w:lineRule="auto" w:line="360"/>
        <w:ind w:firstLine="709"/>
        <w:jc w:val="both"/>
        <w:rPr/>
      </w:pPr>
      <w:r>
        <w:rPr/>
        <w:t>Podnik by měl uvést úroveň, předmět a hranice externího ujištění. Čtenář potřebuje poznat, zda byl ověřen konkrétní výpočet, soulad reportu se standardem nebo popis procesu. Obecná značka bez vysvětlení vytváří zbytečný halo efekt.</w:t>
      </w:r>
    </w:p>
    <w:p>
      <w:pPr>
        <w:pStyle w:val="Heading2"/>
        <w:keepNext w:val="true"/>
        <w:widowControl/>
        <w:ind w:hanging="0"/>
        <w:rPr/>
      </w:pPr>
      <w:bookmarkStart w:id="115" w:name="__RefHeading___Toc2234_516823210"/>
      <w:bookmarkEnd w:id="115"/>
      <w:r>
        <w:rPr/>
        <w:t>5.11 Doporučení pro čtenáře, investory a hodnotitele</w:t>
      </w:r>
    </w:p>
    <w:p>
      <w:pPr>
        <w:pStyle w:val="Normal"/>
        <w:widowControl/>
        <w:spacing w:lineRule="auto" w:line="360"/>
        <w:ind w:firstLine="709"/>
        <w:jc w:val="both"/>
        <w:rPr/>
      </w:pPr>
      <w:r>
        <w:rPr/>
        <w:t>Délka dokumentu, počet KPI, rating ani assurance by neměly sloužit jako samostatná zkratka pro kvalitu. Vhodnější je postupovat od konkrétního tvrzení a položit několik jednoduchých otázek:</w:t>
      </w:r>
    </w:p>
    <w:p>
      <w:pPr>
        <w:pStyle w:val="Normal"/>
        <w:widowControl/>
        <w:spacing w:lineRule="auto" w:line="360" w:before="0" w:after="0"/>
        <w:ind w:hanging="255" w:start="425"/>
        <w:jc w:val="both"/>
        <w:rPr/>
      </w:pPr>
      <w:r>
        <w:rPr/>
        <w:t>1. Je znám zdroj a hranice informace?</w:t>
      </w:r>
    </w:p>
    <w:p>
      <w:pPr>
        <w:pStyle w:val="Normal"/>
        <w:widowControl/>
        <w:spacing w:lineRule="auto" w:line="360" w:before="0" w:after="0"/>
        <w:ind w:hanging="255" w:start="425"/>
        <w:jc w:val="both"/>
        <w:rPr/>
      </w:pPr>
      <w:r>
        <w:rPr/>
        <w:t>2. Jde o závazek, aktivitu, outcome nebo širší dopad?</w:t>
      </w:r>
    </w:p>
    <w:p>
      <w:pPr>
        <w:pStyle w:val="Normal"/>
        <w:widowControl/>
        <w:spacing w:lineRule="auto" w:line="360" w:before="0" w:after="0"/>
        <w:ind w:hanging="255" w:start="425"/>
        <w:jc w:val="both"/>
        <w:rPr/>
      </w:pPr>
      <w:r>
        <w:rPr/>
        <w:t>3. Má cíl výchozí hodnotu a termín?</w:t>
      </w:r>
    </w:p>
    <w:p>
      <w:pPr>
        <w:pStyle w:val="Normal"/>
        <w:widowControl/>
        <w:spacing w:lineRule="auto" w:line="360" w:before="0" w:after="0"/>
        <w:ind w:hanging="255" w:start="425"/>
        <w:jc w:val="both"/>
        <w:rPr/>
      </w:pPr>
      <w:r>
        <w:rPr/>
        <w:t>4. Kdo je vlastníkem a jak často se výsledek kontroluje?</w:t>
      </w:r>
    </w:p>
    <w:p>
      <w:pPr>
        <w:pStyle w:val="Normal"/>
        <w:widowControl/>
        <w:spacing w:lineRule="auto" w:line="360" w:before="0" w:after="0"/>
        <w:ind w:hanging="255" w:start="425"/>
        <w:jc w:val="both"/>
        <w:rPr/>
      </w:pPr>
      <w:r>
        <w:rPr/>
        <w:t>5. Ovlivňuje informace kapitál, riziko, produkt, dodavatele nebo odměnu?</w:t>
      </w:r>
    </w:p>
    <w:p>
      <w:pPr>
        <w:pStyle w:val="Normal"/>
        <w:widowControl/>
        <w:spacing w:lineRule="auto" w:line="360" w:before="0" w:after="0"/>
        <w:ind w:hanging="255" w:start="425"/>
        <w:jc w:val="both"/>
        <w:rPr/>
      </w:pPr>
      <w:r>
        <w:rPr/>
        <w:t>6. Uvádí dokument nepříznivý trend, změnu metodiky nebo alternativní výklad?</w:t>
      </w:r>
    </w:p>
    <w:p>
      <w:pPr>
        <w:pStyle w:val="Normal"/>
        <w:widowControl/>
        <w:spacing w:lineRule="auto" w:line="360" w:before="0" w:after="0"/>
        <w:ind w:hanging="255" w:start="425"/>
        <w:jc w:val="both"/>
        <w:rPr/>
      </w:pPr>
      <w:r>
        <w:rPr/>
        <w:t>7. Co přesně bylo externě ověřeno?</w:t>
      </w:r>
    </w:p>
    <w:p>
      <w:pPr>
        <w:pStyle w:val="Normal"/>
        <w:widowControl/>
        <w:spacing w:lineRule="auto" w:line="360"/>
        <w:ind w:firstLine="709"/>
        <w:jc w:val="both"/>
        <w:rPr/>
      </w:pPr>
      <w:r>
        <w:rPr/>
        <w:t>Takový postup je pomalejší než převzetí souhrnného skóre, ale snižuje riziko, že formální znak bude zaměněn za substantivní výsledek. Lze jej použít i mimo čtyři analyzované podniky.</w:t>
      </w:r>
    </w:p>
    <w:p>
      <w:pPr>
        <w:pStyle w:val="Heading2"/>
        <w:keepNext w:val="true"/>
        <w:widowControl/>
        <w:ind w:hanging="0"/>
        <w:rPr/>
      </w:pPr>
      <w:bookmarkStart w:id="116" w:name="__RefHeading___Toc2236_516823210"/>
      <w:bookmarkEnd w:id="116"/>
      <w:r>
        <w:rPr/>
        <w:t>5.12 Doporučení pro další výzkum</w:t>
      </w:r>
    </w:p>
    <w:p>
      <w:pPr>
        <w:pStyle w:val="Normal"/>
        <w:widowControl/>
        <w:spacing w:lineRule="auto" w:line="360"/>
        <w:ind w:firstLine="709"/>
        <w:jc w:val="both"/>
        <w:rPr/>
      </w:pPr>
      <w:r>
        <w:rPr/>
        <w:t>První logický krok představuje triangulace. Rozhovory s odpovědnými pracovníky by mohly ukázat, zda zveřejněné výbory, cíle a metriky skutečně vstupují do rozhodování. Perspektiva odborů, dodavatelů, zákazníků a komunit by zároveň rozšířila korpus za oficiální hlas organizace.</w:t>
      </w:r>
    </w:p>
    <w:p>
      <w:pPr>
        <w:pStyle w:val="Normal"/>
        <w:widowControl/>
        <w:spacing w:lineRule="auto" w:line="360"/>
        <w:ind w:firstLine="709"/>
        <w:jc w:val="both"/>
        <w:rPr/>
      </w:pPr>
      <w:r>
        <w:rPr/>
        <w:t>Druhým směrem je longitudinální srovnání. Reporty za roky 2024, 2026 a další období mohou ukázat, které procesy přetrvaly po regulatorních změnách, které cíle byly resetovány a zda rozhodovací vazby E3 vedly ke stabilnějším outcomes.</w:t>
      </w:r>
    </w:p>
    <w:p>
      <w:pPr>
        <w:pStyle w:val="Normal"/>
        <w:widowControl/>
        <w:spacing w:lineRule="auto" w:line="360"/>
        <w:ind w:firstLine="709"/>
        <w:jc w:val="both"/>
        <w:rPr/>
      </w:pPr>
      <w:r>
        <w:rPr/>
        <w:t>Třetí možností je rozšířit výzkum na malé a střední podniky. Současný korpus představuje reportovací elitu. U menších organizací mohou existovat významné provozní praktiky bez rozsáhlé formalizace a veřejného reportu. Takové srovnání by prověřilo, nakolik škála E0–E4 zvýhodňuje dokumentovanost.</w:t>
      </w:r>
    </w:p>
    <w:p>
      <w:pPr>
        <w:pStyle w:val="Normal"/>
        <w:widowControl/>
        <w:spacing w:lineRule="auto" w:line="360"/>
        <w:ind w:firstLine="709"/>
        <w:jc w:val="both"/>
        <w:rPr/>
      </w:pPr>
      <w:r>
        <w:rPr/>
        <w:t>Čtvrtým směrem je samotná validace škály. Více kodérů by mohlo nezávisle klasifikovat stejná tvrzení, diskutovat hraniční případy a porovnat výsledky s ratingy, assurance, interními investičními procesy a pozdějším vývojem metrik.</w:t>
      </w:r>
    </w:p>
    <w:p>
      <w:pPr>
        <w:pStyle w:val="Heading2"/>
        <w:keepNext w:val="true"/>
        <w:widowControl/>
        <w:ind w:hanging="0"/>
        <w:rPr/>
      </w:pPr>
      <w:bookmarkStart w:id="117" w:name="__RefHeading___Toc2238_516823210"/>
      <w:bookmarkEnd w:id="117"/>
      <w:r>
        <w:rPr/>
        <w:t>5.13 Limity interpretace výsledků</w:t>
      </w:r>
    </w:p>
    <w:p>
      <w:pPr>
        <w:pStyle w:val="Normal"/>
        <w:widowControl/>
        <w:spacing w:lineRule="auto" w:line="360"/>
        <w:ind w:firstLine="709"/>
        <w:jc w:val="both"/>
        <w:rPr/>
      </w:pPr>
      <w:r>
        <w:rPr/>
        <w:t>Závěry se vztahují k veřejně vykazované implementaci. Neumožňují určit skutečný stav každého závodu, úvěrového rozhodnutí, dodavatelského vztahu nebo sociálního programu. Dokument může interní praxi zvýraznit i podhodnotit.</w:t>
      </w:r>
    </w:p>
    <w:p>
      <w:pPr>
        <w:pStyle w:val="Normal"/>
        <w:widowControl/>
        <w:spacing w:lineRule="auto" w:line="360"/>
        <w:ind w:firstLine="709"/>
        <w:jc w:val="both"/>
        <w:rPr/>
      </w:pPr>
      <w:r>
        <w:rPr/>
        <w:t>Čtyři případy byly vybrány kvůli kontrastu, nikoli reprezentativnosti. Typologie proto není klasifikací českých podniků jako celku a její podoba je ovlivněna vysokou reportovací kapacitou velkých organizací.</w:t>
      </w:r>
    </w:p>
    <w:p>
      <w:pPr>
        <w:pStyle w:val="Normal"/>
        <w:widowControl/>
        <w:spacing w:lineRule="auto" w:line="360"/>
        <w:ind w:firstLine="709"/>
        <w:jc w:val="both"/>
        <w:rPr/>
      </w:pPr>
      <w:r>
        <w:rPr/>
        <w:t>Zdroje mají odlišný formát. ČEZ používá rozsáhlou integrovanou zprávu, MONETA samostatný čtenářský report propojený s povinným zveřejněním, O2 GRI-oriented report v přechodu a Škoda Auto kombinaci online rozhraní a úplného reportu. Rozdíl v množství nalezeného counter-evidence tak může částečně souviset s médiem a redakčním výběrem.</w:t>
      </w:r>
    </w:p>
    <w:p>
      <w:pPr>
        <w:pStyle w:val="Normal"/>
        <w:widowControl/>
        <w:spacing w:lineRule="auto" w:line="360"/>
        <w:ind w:firstLine="709"/>
        <w:jc w:val="both"/>
        <w:rPr/>
      </w:pPr>
      <w:r>
        <w:rPr/>
        <w:t>Kódování provedl jeden analytik. Přesné lokátory, auditní stopa a kontrolní překódování zvyšují transparentnost, ale nenahrazují několik nezávislých perspektiv.</w:t>
      </w:r>
    </w:p>
    <w:p>
      <w:pPr>
        <w:pStyle w:val="Normal"/>
        <w:widowControl/>
        <w:spacing w:lineRule="auto" w:line="360"/>
        <w:ind w:firstLine="709"/>
        <w:jc w:val="both"/>
        <w:rPr/>
      </w:pPr>
      <w:r>
        <w:rPr/>
        <w:t>Rok 2024 je historickým řezem v rychle se měnícím regulatorním prostředí. Pozdější zprávy mohou mít jinou strukturu, právní základ i cíle. Výsledky proto nejsou aktuálním ratingem analyzovaných organizací k libovolnému pozdějšímu datu.</w:t>
      </w:r>
    </w:p>
    <w:p>
      <w:pPr>
        <w:pStyle w:val="Heading2"/>
        <w:keepNext w:val="true"/>
        <w:widowControl/>
        <w:ind w:hanging="0"/>
        <w:rPr/>
      </w:pPr>
      <w:bookmarkStart w:id="118" w:name="__RefHeading___Toc2240_516823210"/>
      <w:bookmarkEnd w:id="118"/>
      <w:r>
        <w:rPr/>
        <w:t>5.14 Shrnutí diskuse</w:t>
      </w:r>
    </w:p>
    <w:p>
      <w:pPr>
        <w:pStyle w:val="Normal"/>
        <w:widowControl/>
        <w:spacing w:lineRule="auto" w:line="360"/>
        <w:ind w:firstLine="709"/>
        <w:jc w:val="both"/>
        <w:rPr/>
      </w:pPr>
      <w:r>
        <w:rPr/>
        <w:t>Veřejný ESG report může být hodnotným zdrojem, pokud je čten jako soubor tvrzení s různou evidenční silou, nikoli jako automatický audit reality. Standardizace usnadňuje srovnání, ale manažerskou integraci odlišuje až zveřejněná vazba na rozhodnutí. Materialita získává organizační význam tehdy, když přechází od seznamu témat k odpovědnosti a alokaci zdrojů. Governance je přesvědčivější s pravidelnou kadencí a možností korekce. Metriky je nutné rozdělit na aktivitu, outcome a dopad a assurance vždy číst v jeho skutečném rozsahu.</w:t>
      </w:r>
    </w:p>
    <w:p>
      <w:pPr>
        <w:pStyle w:val="Normal"/>
        <w:widowControl/>
        <w:spacing w:lineRule="auto" w:line="360"/>
        <w:ind w:firstLine="709"/>
        <w:jc w:val="both"/>
        <w:rPr/>
      </w:pPr>
      <w:r>
        <w:rPr/>
        <w:t>Nejdůležitější metodický posun spočívá v jednotce hodnocení. Místo jednoho ESG skóre pro celou firmu je přesnější zkoumat, co dokládá konkrétní tvrzení, jakou má hranici a jaký organizační důsledek může mít. Takový přístup nevytváří rychlý žebříček. Nabízí však lépe obhajitelnou odpověď na otázku, co lze z veřejného reportu tvrdit a co musí zůstat otevřené.</w:t>
      </w:r>
    </w:p>
    <w:p>
      <w:pPr>
        <w:pStyle w:val="Normal"/>
        <w:rPr/>
      </w:pPr>
      <w:r>
        <w:rPr/>
      </w:r>
      <w:r>
        <w:br w:type="page"/>
      </w:r>
    </w:p>
    <w:p>
      <w:pPr>
        <w:pStyle w:val="Heading1"/>
        <w:keepNext w:val="true"/>
        <w:widowControl/>
        <w:spacing w:before="0" w:after="180"/>
        <w:ind w:hanging="0"/>
        <w:rPr/>
      </w:pPr>
      <w:bookmarkStart w:id="119" w:name="__RefHeading___Toc2242_516823210"/>
      <w:bookmarkEnd w:id="119"/>
      <w:r>
        <w:rPr/>
        <w:t>Závěr</w:t>
      </w:r>
    </w:p>
    <w:p>
      <w:pPr>
        <w:pStyle w:val="Normal"/>
        <w:widowControl/>
        <w:spacing w:lineRule="auto" w:line="360"/>
        <w:ind w:firstLine="709"/>
        <w:jc w:val="both"/>
        <w:rPr/>
      </w:pPr>
      <w:r>
        <w:rPr/>
        <w:t>Tato práce se zabývala tím, co lze z veřejného ESG reportu skutečně zjistit o implementaci udržitelnostních témat uvnitř podniku. Empirickým základem byly oficiální dokumenty ČEZ Group, MONETA Money Bank, O2 Czech Republic a Škoda Auto za rok 2024. Z nich vznikl soubor 45 klíčových segmentů, u nichž byl zaznamenán přesný lokátor, tematické kódy, evidenční třída a hranice interpretace.</w:t>
      </w:r>
    </w:p>
    <w:p>
      <w:pPr>
        <w:pStyle w:val="Normal"/>
        <w:widowControl/>
        <w:spacing w:lineRule="auto" w:line="360"/>
        <w:ind w:firstLine="709"/>
        <w:jc w:val="both"/>
        <w:rPr/>
      </w:pPr>
      <w:r>
        <w:rPr/>
        <w:t xml:space="preserve">Hlavní výzkumná otázka hledala znak, který odlišuje deklaraci, formalizaci a manažerskou integraci. Nejvýraznějším výsledkem je, že tuto hranici nelze určit podle délky reportu, počtu cílů ani existence specializovaného výboru. Rozhodující je </w:t>
      </w:r>
      <w:r>
        <w:rPr>
          <w:b/>
        </w:rPr>
        <w:t>vazba zveřejněné informace na konkrétní manažerské rozhodnutí</w:t>
      </w:r>
      <w:r>
        <w:rPr/>
        <w:t>.</w:t>
      </w:r>
    </w:p>
    <w:p>
      <w:pPr>
        <w:pStyle w:val="Normal"/>
        <w:widowControl/>
        <w:spacing w:lineRule="auto" w:line="360"/>
        <w:ind w:firstLine="709"/>
        <w:jc w:val="both"/>
        <w:rPr/>
      </w:pPr>
      <w:r>
        <w:rPr/>
        <w:t>Deklarace pojmenovává prioritu nebo závazek. Formalizace přidává vlastníka, proces, cíl, metriku a pravidelnou kontrolu. O manažerské integraci je možné mluvit tehdy, když se informace může promítnout do investičního plánu, řízení rizik, konstrukce produktu, výběru dodavatele, odměňování nebo provozního pravidla. Ani takový mechanismus ještě neprokazuje, že je rozhodnutí dostatečně ambiciózní nebo že povede k očekávanému dopadu. Ukazuje však, že téma překročilo hranici samotného zveřejnění.</w:t>
      </w:r>
    </w:p>
    <w:p>
      <w:pPr>
        <w:pStyle w:val="Normal"/>
        <w:widowControl/>
        <w:spacing w:lineRule="auto" w:line="360"/>
        <w:ind w:firstLine="709"/>
        <w:jc w:val="both"/>
        <w:rPr/>
      </w:pPr>
      <w:r>
        <w:rPr/>
        <w:t>V jednotlivých sektorech měla tato vazba rozdílnou podobu. U ČEZ byl nejsilnějším dokladem vztah mezi přechodovým plánem a dlouhodobou alokací kapitálu. MONETA propojovala ESG s governance, variabilní odměnou a budováním metodiky financovaného portfolia. U O2 se nejzřetelnější rozhodovací vazba objevila v obnově a energetické účinnosti digitální infrastruktury, zatímco cílový a governance systém procházel po restrukturalizaci přestavbou. Škoda Auto spojovala udržitelnost s životním cyklem produktu, výrobním řízením, kapitálovými výdaji a hodnocením dodavatelů.</w:t>
      </w:r>
    </w:p>
    <w:p>
      <w:pPr>
        <w:pStyle w:val="Normal"/>
        <w:widowControl/>
        <w:spacing w:lineRule="auto" w:line="360"/>
        <w:ind w:firstLine="709"/>
        <w:jc w:val="both"/>
        <w:rPr/>
      </w:pPr>
      <w:r>
        <w:rPr/>
        <w:t>První dílčí otázka se týkala materiality a podnikatelského modelu. Ve všech čtyřech případech byla alespoň část materiálních témat propojena s hlavní ekonomickou činností. Samotný seznam témat však poskytoval slabší informaci než popis toho, kdo za prioritu odpovídá, jak ji měří a zda se podle ní rozdělují zdroje. Materialita proto může fungovat ve dvou velmi odlišných rolích: jako filtr pro obsah reportu, nebo jako skutečný alokační mechanismus.</w:t>
      </w:r>
    </w:p>
    <w:p>
      <w:pPr>
        <w:pStyle w:val="Normal"/>
        <w:widowControl/>
        <w:spacing w:lineRule="auto" w:line="360"/>
        <w:ind w:firstLine="709"/>
        <w:jc w:val="both"/>
        <w:rPr/>
      </w:pPr>
      <w:r>
        <w:rPr/>
        <w:t>Druhá otázka sledovala governance. Všechny podniky zveřejňovaly dohled vrcholového orgánu a specializované koordinační struktury. Ukázalo se však, že pouhý název výboru je slabým důkazem. Přesvědčivější je informace o složení, mandátu, pravidelné kadenci, kontrolovaných ukazatelích a možnosti zahájit korekci. Ještě silnější je vazba na odměnu, rizikový limit nebo rozpočet. Veřejné zprávy jen zřídka uvádějí konkrétní případ změněného či zamítnutého rozhodnutí, a proto zpravidla dokládají governance kapacitu, nikoli její plnou účinnost.</w:t>
      </w:r>
    </w:p>
    <w:p>
      <w:pPr>
        <w:pStyle w:val="Normal"/>
        <w:widowControl/>
        <w:spacing w:lineRule="auto" w:line="360"/>
        <w:ind w:firstLine="709"/>
        <w:jc w:val="both"/>
        <w:rPr/>
      </w:pPr>
      <w:r>
        <w:rPr/>
        <w:t>Třetí otázka se zaměřila přímo na rozhodovací vazby. Ty byly nalezeny ve všech případech, ale pokaždé v jiné části podnikatelského modelu. Společným principem nebyla určitá environmentální či sociální metrika, nýbrž možnost organizačního důsledku. Tato skutečnost je důvodem, proč srovnání nemůže stát na prostém počtu cílů nebo aktivit.</w:t>
      </w:r>
    </w:p>
    <w:p>
      <w:pPr>
        <w:pStyle w:val="Normal"/>
        <w:widowControl/>
        <w:spacing w:lineRule="auto" w:line="360"/>
        <w:ind w:firstLine="709"/>
        <w:jc w:val="both"/>
        <w:rPr/>
      </w:pPr>
      <w:r>
        <w:rPr/>
        <w:t>Čtvrtá otázka zkoumala sílu cílů a ukazatelů. V korpusu převažovaly formalizované procesy a řízené výsledky třídy E2. Výstupové metriky E1 dokázaly přesně zachytit rozsah aktivity, například počet účastníků nebo zapojených dodavatelů, ne však změnu stavu či chování. E3 označovala přímou vazbu na rozhodování. E4 byla použita jen u jednoho přesně vymezeného výsledku se silnou externí podporou. Žádný analyzovaný dokument neposkytoval obecný nezávislý důkaz kauzálního dopadu celé ESG strategie.</w:t>
      </w:r>
    </w:p>
    <w:p>
      <w:pPr>
        <w:pStyle w:val="Normal"/>
        <w:widowControl/>
        <w:spacing w:lineRule="auto" w:line="360"/>
        <w:ind w:firstLine="709"/>
        <w:jc w:val="both"/>
        <w:rPr/>
      </w:pPr>
      <w:r>
        <w:rPr/>
        <w:t>Významným zjištěním je proto rozdíl mezi přesností měření a silou závěru. Číslo může být metodicky správné a přesto vypovídat pouze o aktivitě. Intenzitní ukazatel může zachytit provozní zlepšení a současně neříkat nic jednoznačného o absolutním dopadu. Externě ověřený výpočet může být velmi důvěryhodný, ale stále nemusí dokazovat splnění výsledkového cíle. Tato rozlišení jsou pro kritické čtení reportů důležitější než samotné množství zveřejněných dat.</w:t>
      </w:r>
    </w:p>
    <w:p>
      <w:pPr>
        <w:pStyle w:val="Normal"/>
        <w:widowControl/>
        <w:spacing w:lineRule="auto" w:line="360"/>
        <w:ind w:firstLine="709"/>
        <w:jc w:val="both"/>
        <w:rPr/>
      </w:pPr>
      <w:r>
        <w:rPr/>
        <w:t>Pátá otázka sledovala negativní informace, trade-offy a nejistoty. Analýza ukázala, že zhoršený KPI, restatement, změna hranice, chybějící cíl nebo přiznaný pokračující negativní dopad mohou informační hodnotu reportu zvýšit. Neznamenají lepší výkonnost. Umožňují však odlišit situaci, kdy systém problém zachytí a vysvětlí, od situace, kdy výsledek nelze posoudit, protože chybí měření nebo srovnatelná hranice. Vyváženost proto není pouze stylistickou vlastností zprávy, ale podmínkou její rozhodovací užitečnosti.</w:t>
      </w:r>
    </w:p>
    <w:p>
      <w:pPr>
        <w:pStyle w:val="Normal"/>
        <w:widowControl/>
        <w:spacing w:lineRule="auto" w:line="360"/>
        <w:ind w:firstLine="709"/>
        <w:jc w:val="both"/>
        <w:rPr/>
      </w:pPr>
      <w:r>
        <w:rPr/>
        <w:t>Šestá otázka se týkala sektorových rozdílů. Výsledky nepotvrdily, že by bylo smysluplné hodnotit energetiku, banku, telekomunikační společnost a automobilku jedním univerzálním souborem ukazatelů. Jejich dopady vznikají v různých částech hodnotového řetězce a do řízení vstupují odlišnými cestami. Srovnatelnost lze zachovat na úrovni mechanismu — materialita, odpovědnost, rozhodnutí, metrika a ověření — nikoli nutně na úrovni samotných dopadů.</w:t>
      </w:r>
    </w:p>
    <w:p>
      <w:pPr>
        <w:pStyle w:val="Normal"/>
        <w:widowControl/>
        <w:spacing w:lineRule="auto" w:line="360"/>
        <w:ind w:firstLine="709"/>
        <w:jc w:val="both"/>
        <w:rPr/>
      </w:pPr>
      <w:r>
        <w:rPr/>
        <w:t>Teoretickým přínosem práce je propojení dvou jevů, které mohou na první pohled působit protikladně. CSRD a ESRS vytvářejí společnou informační architekturu, takže reporty jsou strukturálně podobnější a lépe se v nich orientuje. Institucionální podobnost však sama nezaručuje stejnou hloubku implementace. Teorie legitimity současně pomáhá chápat report jako strategické veřejné jednání, aniž by z toho automaticky vyplývala nepravdivost zveřejněných tvrzení. Materialita a organizační perspektiva pak posouvají pozornost k tomu, zda vybrané téma získalo vlastníka, zdroje a rozhodovací důsledek.</w:t>
      </w:r>
    </w:p>
    <w:p>
      <w:pPr>
        <w:pStyle w:val="Normal"/>
        <w:widowControl/>
        <w:spacing w:lineRule="auto" w:line="360"/>
        <w:ind w:firstLine="709"/>
        <w:jc w:val="both"/>
        <w:rPr/>
      </w:pPr>
      <w:r>
        <w:rPr/>
        <w:t>Metodickým přínosem je škála E0–E4. Nevznikla jako další ESG rating. Jejím účelem je držet hodnocení na úrovni konkrétního tvrzení a rozlišit deklaraci, aktivitu, formalizovaný proces nebo řízený výsledek, rozhodovací vazbu a externě podpořený výsledek. Škála současně odděluje dvě vlastnosti, které se často směšují: manažerskou integraci a assurance. Externí ujištění může zvýšit spolehlivost metriky, aniž dokazuje, že téma vstupuje do rozhodování. Naopak silná rozhodovací vazba může být zveřejněna i bez samostatného ověření konkrétního mechanismu.</w:t>
      </w:r>
    </w:p>
    <w:p>
      <w:pPr>
        <w:pStyle w:val="Normal"/>
        <w:widowControl/>
        <w:spacing w:lineRule="auto" w:line="360"/>
        <w:ind w:firstLine="709"/>
        <w:jc w:val="both"/>
        <w:rPr/>
      </w:pPr>
      <w:r>
        <w:rPr/>
        <w:t>Pro praxi z práce vyplývá jednoduchý způsob čtení. U každého významného tvrzení je vhodné hledat jeho hranici a zdroj, výchozí stav a termín cíle, vlastníka a kontrolní kadenci, postup při neplnění a vazbu na kapitál, riziko, produkt, nákup, odměnu nebo provoz. Stejně důležité je zjistit, zda report uvádí nepříznivý trend a co přesně bylo externě ověřeno. Délka dokumentu, rating ani počet KPI tyto otázky nenahrazují.</w:t>
      </w:r>
    </w:p>
    <w:p>
      <w:pPr>
        <w:pStyle w:val="Normal"/>
        <w:widowControl/>
        <w:spacing w:lineRule="auto" w:line="360"/>
        <w:ind w:firstLine="709"/>
        <w:jc w:val="both"/>
        <w:rPr/>
      </w:pPr>
      <w:r>
        <w:rPr/>
        <w:t>Závěry mají několik omezení. Korpus tvoří pouze čtyři velké organizace s vysokou reportovací kapacitou a jeden historický časový řez. Zdrojem je oficiální sebeprezentace podniku. Výzkum nepracuje s interními zápisy, smlouvami, investičními modely ani se zkušeností zaměstnanců, dodavatelů a komunit. Absence informace proto neprokazuje absenci praxe a zveřejněná rozhodovací vazba není nezávislým potvrzením každého jednotlivého rozhodnutí.</w:t>
      </w:r>
    </w:p>
    <w:p>
      <w:pPr>
        <w:pStyle w:val="Normal"/>
        <w:widowControl/>
        <w:spacing w:lineRule="auto" w:line="360"/>
        <w:ind w:firstLine="709"/>
        <w:jc w:val="both"/>
        <w:rPr/>
      </w:pPr>
      <w:r>
        <w:rPr/>
        <w:t>Další výzkum by měl propojit dokumentovou analýzu s rozhovory a interními doklady, rozšířit korpus o menší podniky a sledovat vývoj v čase. Zvlášť užitečné by bylo porovnat, které procesy zavedené v období nástupu CSRD přetrvají po změnách regulatorního rámce. Takové srovnání může ukázat, zda reportingová infrastruktura získala trvalou provozní funkci, nebo zůstala závislá na rozsahu právní povinnosti.</w:t>
      </w:r>
    </w:p>
    <w:p>
      <w:pPr>
        <w:pStyle w:val="Normal"/>
        <w:widowControl/>
        <w:spacing w:lineRule="auto" w:line="360"/>
        <w:ind w:firstLine="709"/>
        <w:jc w:val="both"/>
        <w:rPr/>
      </w:pPr>
      <w:r>
        <w:rPr/>
        <w:t xml:space="preserve">Celkový závěr je možné formulovat stručně: </w:t>
      </w:r>
      <w:r>
        <w:rPr>
          <w:b/>
        </w:rPr>
        <w:t>veřejný ESG report je hodnotným, ale omezeným důkazním zdrojem. Nejdůležitější není množství zveřejněných informací, nýbrž možnost dohledat cestu od materiálního tématu přes odpovědnost a metriku ke konkrétnímu rozhodnutí — a zároveň vidět hranice, neúspěchy a to, co dokument zatím prokázat nedokáže.</w:t>
      </w:r>
    </w:p>
    <w:p>
      <w:pPr>
        <w:pStyle w:val="Normal"/>
        <w:rPr/>
      </w:pPr>
      <w:r>
        <w:rPr/>
      </w:r>
      <w:r>
        <w:br w:type="page"/>
      </w:r>
    </w:p>
    <w:p>
      <w:pPr>
        <w:pStyle w:val="Heading1"/>
        <w:keepNext w:val="true"/>
        <w:widowControl/>
        <w:spacing w:before="0" w:after="180"/>
        <w:ind w:hanging="0"/>
        <w:rPr/>
      </w:pPr>
      <w:bookmarkStart w:id="120" w:name="__RefHeading___Toc2244_516823210"/>
      <w:bookmarkEnd w:id="120"/>
      <w:r>
        <w:rPr/>
        <w:t>Seznam použitých zdrojů</w:t>
      </w:r>
    </w:p>
    <w:p>
      <w:pPr>
        <w:pStyle w:val="Heading2"/>
        <w:keepNext w:val="true"/>
        <w:widowControl/>
        <w:ind w:hanging="0"/>
        <w:rPr/>
      </w:pPr>
      <w:bookmarkStart w:id="121" w:name="__RefHeading___Toc2246_516823210"/>
      <w:bookmarkEnd w:id="121"/>
      <w:r>
        <w:rPr/>
        <w:t>Akademická literatura</w:t>
      </w:r>
    </w:p>
    <w:p>
      <w:pPr>
        <w:pStyle w:val="Reference"/>
        <w:widowControl/>
        <w:rPr/>
      </w:pPr>
      <w:r>
        <w:rPr/>
        <w:t xml:space="preserve">Berg, F., Kölbel, J. F., &amp; Rigobon, R. (2022). Aggregate confusion: The divergence of ESG ratings. </w:t>
      </w:r>
      <w:r>
        <w:rPr>
          <w:i/>
        </w:rPr>
        <w:t>Review of Finance, 26</w:t>
      </w:r>
      <w:r>
        <w:rPr/>
        <w:t>(6), 1315–1344. https://doi.org/10.1093/rof/rfac033</w:t>
      </w:r>
    </w:p>
    <w:p>
      <w:pPr>
        <w:pStyle w:val="Reference"/>
        <w:widowControl/>
        <w:rPr/>
      </w:pPr>
      <w:r>
        <w:rPr/>
        <w:t xml:space="preserve">Boiral, O. (2013). Sustainability reports as simulacra? A counter-account of A and A+ GRI reports. </w:t>
      </w:r>
      <w:r>
        <w:rPr>
          <w:i/>
        </w:rPr>
        <w:t>Accounting, Auditing &amp; Accountability Journal, 26</w:t>
      </w:r>
      <w:r>
        <w:rPr/>
        <w:t>(7), 1036–1071. https://doi.org/10.1108/AAAJ-04-2012-00998</w:t>
      </w:r>
    </w:p>
    <w:p>
      <w:pPr>
        <w:pStyle w:val="Reference"/>
        <w:widowControl/>
        <w:rPr/>
      </w:pPr>
      <w:r>
        <w:rPr/>
        <w:t xml:space="preserve">Bowen, G. A. (2009). Document analysis as a qualitative research method. </w:t>
      </w:r>
      <w:r>
        <w:rPr>
          <w:i/>
        </w:rPr>
        <w:t>Qualitative Research Journal, 9</w:t>
      </w:r>
      <w:r>
        <w:rPr/>
        <w:t>(2), 27–40. https://doi.org/10.3316/QRJ0902027</w:t>
      </w:r>
    </w:p>
    <w:p>
      <w:pPr>
        <w:pStyle w:val="Reference"/>
        <w:widowControl/>
        <w:rPr/>
      </w:pPr>
      <w:r>
        <w:rPr/>
        <w:t xml:space="preserve">Carroll, A. B. (1991). The pyramid of corporate social responsibility: Toward the moral management of organizational stakeholders. </w:t>
      </w:r>
      <w:r>
        <w:rPr>
          <w:i/>
        </w:rPr>
        <w:t>Business Horizons, 34</w:t>
      </w:r>
      <w:r>
        <w:rPr/>
        <w:t>(4), 39–48. https://doi.org/10.1016/0007-6813(91)90005-G</w:t>
      </w:r>
    </w:p>
    <w:p>
      <w:pPr>
        <w:pStyle w:val="Reference"/>
        <w:widowControl/>
        <w:rPr/>
      </w:pPr>
      <w:r>
        <w:rPr/>
        <w:t xml:space="preserve">Christensen, H. B., Hail, L., &amp; Leuz, C. (2021). Mandatory CSR and sustainability reporting: Economic analysis and literature review. </w:t>
      </w:r>
      <w:r>
        <w:rPr>
          <w:i/>
        </w:rPr>
        <w:t>Review of Accounting Studies, 26</w:t>
      </w:r>
      <w:r>
        <w:rPr/>
        <w:t>(3), 1176–1248. https://doi.org/10.1007/s11142-021-09609-5</w:t>
      </w:r>
    </w:p>
    <w:p>
      <w:pPr>
        <w:pStyle w:val="Reference"/>
        <w:widowControl/>
        <w:rPr/>
      </w:pPr>
      <w:r>
        <w:rPr/>
        <w:t xml:space="preserve">Delmas, M. A., &amp; Burbano, V. C. (2011). The drivers of greenwashing. </w:t>
      </w:r>
      <w:r>
        <w:rPr>
          <w:i/>
        </w:rPr>
        <w:t>California Management Review, 54</w:t>
      </w:r>
      <w:r>
        <w:rPr/>
        <w:t>(1), 64–87. https://doi.org/10.1525/cmr.2011.54.1.64</w:t>
      </w:r>
    </w:p>
    <w:p>
      <w:pPr>
        <w:pStyle w:val="Reference"/>
        <w:widowControl/>
        <w:rPr/>
      </w:pPr>
      <w:r>
        <w:rPr/>
        <w:t xml:space="preserve">DiMaggio, P. J., &amp; Powell, W. W. (1983). The iron cage revisited: Institutional isomorphism and collective rationality in organizational fields. </w:t>
      </w:r>
      <w:r>
        <w:rPr>
          <w:i/>
        </w:rPr>
        <w:t>American Sociological Review, 48</w:t>
      </w:r>
      <w:r>
        <w:rPr/>
        <w:t>(2), 147–160. https://doi.org/10.2307/2095101</w:t>
      </w:r>
    </w:p>
    <w:p>
      <w:pPr>
        <w:pStyle w:val="Reference"/>
        <w:widowControl/>
        <w:rPr/>
      </w:pPr>
      <w:r>
        <w:rPr/>
        <w:t xml:space="preserve">Drempetic, S., Klein, C., &amp; Zwergel, B. (2020). The influence of firm size on the ESG score: Corporate sustainability ratings under review. </w:t>
      </w:r>
      <w:r>
        <w:rPr>
          <w:i/>
        </w:rPr>
        <w:t>Journal of Business Ethics, 167</w:t>
      </w:r>
      <w:r>
        <w:rPr/>
        <w:t>(2), 333–360. https://doi.org/10.1007/s10551-019-04164-1</w:t>
      </w:r>
    </w:p>
    <w:p>
      <w:pPr>
        <w:pStyle w:val="Reference"/>
        <w:widowControl/>
        <w:rPr/>
      </w:pPr>
      <w:r>
        <w:rPr/>
        <w:t xml:space="preserve">Eccles, R. G., Ioannou, I., &amp; Serafeim, G. (2014). The impact of corporate sustainability on organizational processes and performance. </w:t>
      </w:r>
      <w:r>
        <w:rPr>
          <w:i/>
        </w:rPr>
        <w:t>Management Science, 60</w:t>
      </w:r>
      <w:r>
        <w:rPr/>
        <w:t>(11), 2835–2857. https://doi.org/10.1287/mnsc.2014.1984</w:t>
      </w:r>
    </w:p>
    <w:p>
      <w:pPr>
        <w:pStyle w:val="Reference"/>
        <w:widowControl/>
        <w:rPr/>
      </w:pPr>
      <w:r>
        <w:rPr/>
        <w:t xml:space="preserve">Friede, G., Busch, T., &amp; Bassen, A. (2015). ESG and financial performance: Aggregated evidence from more than 2000 empirical studies. </w:t>
      </w:r>
      <w:r>
        <w:rPr>
          <w:i/>
        </w:rPr>
        <w:t>Journal of Sustainable Finance &amp; Investment, 5</w:t>
      </w:r>
      <w:r>
        <w:rPr/>
        <w:t>(4), 210–233. https://doi.org/10.1080/20430795.2015.1118917</w:t>
      </w:r>
    </w:p>
    <w:p>
      <w:pPr>
        <w:pStyle w:val="Reference"/>
        <w:widowControl/>
        <w:rPr/>
      </w:pPr>
      <w:r>
        <w:rPr/>
        <w:t xml:space="preserve">Gillan, S. L., Koch, A., &amp; Starks, L. T. (2021). Firms and social responsibility: A review of ESG and CSR research in corporate finance. </w:t>
      </w:r>
      <w:r>
        <w:rPr>
          <w:i/>
        </w:rPr>
        <w:t>Journal of Corporate Finance, 66</w:t>
      </w:r>
      <w:r>
        <w:rPr/>
        <w:t>, 101889. https://doi.org/10.1016/j.jcorpfin.2021.101889</w:t>
      </w:r>
    </w:p>
    <w:p>
      <w:pPr>
        <w:pStyle w:val="Reference"/>
        <w:widowControl/>
        <w:rPr/>
      </w:pPr>
      <w:r>
        <w:rPr/>
        <w:t xml:space="preserve">Hahn, R., &amp; Kühnen, M. (2013). Determinants of sustainability reporting: A review of results, trends, theory, and opportunities in an expanding field of research. </w:t>
      </w:r>
      <w:r>
        <w:rPr>
          <w:i/>
        </w:rPr>
        <w:t>Journal of Cleaner Production, 59</w:t>
      </w:r>
      <w:r>
        <w:rPr/>
        <w:t>, 5–21. https://doi.org/10.1016/j.jclepro.2013.07.005</w:t>
      </w:r>
    </w:p>
    <w:p>
      <w:pPr>
        <w:pStyle w:val="Reference"/>
        <w:widowControl/>
        <w:rPr/>
      </w:pPr>
      <w:r>
        <w:rPr/>
        <w:t xml:space="preserve">Hsieh, H.-F., &amp; Shannon, S. E. (2005). Three approaches to qualitative content analysis. </w:t>
      </w:r>
      <w:r>
        <w:rPr>
          <w:i/>
        </w:rPr>
        <w:t>Qualitative Health Research, 15</w:t>
      </w:r>
      <w:r>
        <w:rPr/>
        <w:t>(9), 1277–1288. https://doi.org/10.1177/1049732305276687</w:t>
      </w:r>
    </w:p>
    <w:p>
      <w:pPr>
        <w:pStyle w:val="Reference"/>
        <w:widowControl/>
        <w:rPr/>
      </w:pPr>
      <w:r>
        <w:rPr/>
        <w:t xml:space="preserve">Khan, M., Serafeim, G., &amp; Yoon, A. (2016). Corporate sustainability: First evidence on materiality. </w:t>
      </w:r>
      <w:r>
        <w:rPr>
          <w:i/>
        </w:rPr>
        <w:t>The Accounting Review, 91</w:t>
      </w:r>
      <w:r>
        <w:rPr/>
        <w:t>(6), 1697–1724. https://doi.org/10.2308/accr-51383</w:t>
      </w:r>
    </w:p>
    <w:p>
      <w:pPr>
        <w:pStyle w:val="Reference"/>
        <w:widowControl/>
        <w:rPr/>
      </w:pPr>
      <w:r>
        <w:rPr/>
        <w:t xml:space="preserve">Michelon, G., Pilonato, S., &amp; Ricceri, F. (2015). CSR reporting practices and the quality of disclosure: An empirical analysis. </w:t>
      </w:r>
      <w:r>
        <w:rPr>
          <w:i/>
        </w:rPr>
        <w:t>Critical Perspectives on Accounting, 33</w:t>
      </w:r>
      <w:r>
        <w:rPr/>
        <w:t>, 59–78. https://doi.org/10.1016/j.cpa.2014.10.003</w:t>
      </w:r>
    </w:p>
    <w:p>
      <w:pPr>
        <w:pStyle w:val="Reference"/>
        <w:widowControl/>
        <w:rPr/>
      </w:pPr>
      <w:r>
        <w:rPr/>
        <w:t xml:space="preserve">Schreier, M. (2012). </w:t>
      </w:r>
      <w:r>
        <w:rPr>
          <w:i/>
        </w:rPr>
        <w:t>Qualitative content analysis in practice</w:t>
      </w:r>
      <w:r>
        <w:rPr/>
        <w:t>. SAGE Publications.</w:t>
      </w:r>
    </w:p>
    <w:p>
      <w:pPr>
        <w:pStyle w:val="Reference"/>
        <w:widowControl/>
        <w:rPr/>
      </w:pPr>
      <w:r>
        <w:rPr/>
        <w:t xml:space="preserve">Suchman, M. C. (1995). Managing legitimacy: Strategic and institutional approaches. </w:t>
      </w:r>
      <w:r>
        <w:rPr>
          <w:i/>
        </w:rPr>
        <w:t>Academy of Management Review, 20</w:t>
      </w:r>
      <w:r>
        <w:rPr/>
        <w:t>(3), 571–610. https://doi.org/10.5465/amr.1995.9508080331</w:t>
      </w:r>
    </w:p>
    <w:p>
      <w:pPr>
        <w:pStyle w:val="Heading2"/>
        <w:keepNext w:val="true"/>
        <w:widowControl/>
        <w:ind w:hanging="0"/>
        <w:rPr/>
      </w:pPr>
      <w:bookmarkStart w:id="122" w:name="__RefHeading___Toc2248_516823210"/>
      <w:bookmarkEnd w:id="122"/>
      <w:r>
        <w:rPr/>
        <w:t>Právní a regulatorní prameny</w:t>
      </w:r>
    </w:p>
    <w:p>
      <w:pPr>
        <w:pStyle w:val="Reference"/>
        <w:widowControl/>
        <w:rPr/>
      </w:pPr>
      <w:r>
        <w:rPr/>
        <w:t xml:space="preserve">Česká republika. (1991). </w:t>
      </w:r>
      <w:r>
        <w:rPr>
          <w:i/>
        </w:rPr>
        <w:t>Zákon č. 563/1991 Sb., o účetnictví, ve znění pozdějších předpisů</w:t>
      </w:r>
      <w:r>
        <w:rPr/>
        <w:t>.</w:t>
      </w:r>
    </w:p>
    <w:p>
      <w:pPr>
        <w:pStyle w:val="Reference"/>
        <w:widowControl/>
        <w:rPr/>
      </w:pPr>
      <w:r>
        <w:rPr/>
        <w:t xml:space="preserve">Česká republika. (2023). </w:t>
      </w:r>
      <w:r>
        <w:rPr>
          <w:i/>
        </w:rPr>
        <w:t>Zákon č. 349/2023 Sb., kterým se mění některé zákony v souvislosti s konsolidací veřejných rozpočtů</w:t>
      </w:r>
      <w:r>
        <w:rPr/>
        <w:t>.</w:t>
      </w:r>
    </w:p>
    <w:p>
      <w:pPr>
        <w:pStyle w:val="Reference"/>
        <w:widowControl/>
        <w:rPr/>
      </w:pPr>
      <w:r>
        <w:rPr/>
        <w:t xml:space="preserve">Evropská komise. (2021). </w:t>
      </w:r>
      <w:r>
        <w:rPr>
          <w:i/>
        </w:rPr>
        <w:t>Nařízení Komise v přenesené pravomoci (EU) 2021/2178 ze dne 6. července 2021, kterým se doplňuje nařízení (EU) 2020/852 upřesněním obsahu a informací zveřejňovaných podniky podle článku 8 Taxonomie</w:t>
      </w:r>
      <w:r>
        <w:rPr/>
        <w:t>. Úřední věstník Evropské unie, L 443, 9–67. https://eur-lex.europa.eu/eli/reg_del/2021/2178/oj</w:t>
      </w:r>
    </w:p>
    <w:p>
      <w:pPr>
        <w:pStyle w:val="Reference"/>
        <w:widowControl/>
        <w:rPr/>
      </w:pPr>
      <w:r>
        <w:rPr/>
        <w:t xml:space="preserve">Evropská komise. (2023). </w:t>
      </w:r>
      <w:r>
        <w:rPr>
          <w:i/>
        </w:rPr>
        <w:t>Nařízení Komise v přenesené pravomoci (EU) 2023/2772 ze dne 31. července 2023, kterým se doplňuje směrnice 2013/34/EU, pokud jde o standardy pro podávání zpráv o udržitelnosti</w:t>
      </w:r>
      <w:r>
        <w:rPr/>
        <w:t>. Úřední věstník Evropské unie. https://eur-lex.europa.eu/eli/reg_del/2023/2772/oj</w:t>
      </w:r>
    </w:p>
    <w:p>
      <w:pPr>
        <w:pStyle w:val="Reference"/>
        <w:widowControl/>
        <w:rPr/>
      </w:pPr>
      <w:r>
        <w:rPr/>
        <w:t xml:space="preserve">Evropský parlament a Rada EU. (2020). </w:t>
      </w:r>
      <w:r>
        <w:rPr>
          <w:i/>
        </w:rPr>
        <w:t>Nařízení (EU) 2020/852 ze dne 18. června 2020 o zřízení rámce pro usnadnění udržitelných investic</w:t>
      </w:r>
      <w:r>
        <w:rPr/>
        <w:t>. Úřední věstník Evropské unie, L 198, 13–43. https://eur-lex.europa.eu/eli/reg/2020/852/oj</w:t>
      </w:r>
    </w:p>
    <w:p>
      <w:pPr>
        <w:pStyle w:val="Reference"/>
        <w:widowControl/>
        <w:rPr/>
      </w:pPr>
      <w:r>
        <w:rPr/>
        <w:t xml:space="preserve">Evropský parlament a Rada EU. (2022). </w:t>
      </w:r>
      <w:r>
        <w:rPr>
          <w:i/>
        </w:rPr>
        <w:t>Směrnice (EU) 2022/2464 ze dne 14. prosince 2022, pokud jde o podávání zpráv podniků o udržitelnosti</w:t>
      </w:r>
      <w:r>
        <w:rPr/>
        <w:t>. Úřední věstník Evropské unie, L 322, 15–80. https://eur-lex.europa.eu/eli/dir/2022/2464/oj</w:t>
      </w:r>
    </w:p>
    <w:p>
      <w:pPr>
        <w:pStyle w:val="Reference"/>
        <w:widowControl/>
        <w:rPr/>
      </w:pPr>
      <w:r>
        <w:rPr/>
        <w:t xml:space="preserve">Evropský parlament a Rada EU. (2025). </w:t>
      </w:r>
      <w:r>
        <w:rPr>
          <w:i/>
        </w:rPr>
        <w:t>Směrnice (EU) 2025/794 ze dne 14. dubna 2025, kterou se mění směrnice (EU) 2022/2464 a (EU) 2024/1760, pokud jde o data, od nichž mají členské státy uplatňovat některé požadavky na podávání zpráv podniků o udržitelnosti a náležitou péči podniků v oblasti udržitelnosti</w:t>
      </w:r>
      <w:r>
        <w:rPr/>
        <w:t>. Úřední věstník Evropské unie. https://eur-lex.europa.eu/eli/dir/2025/794/oj</w:t>
      </w:r>
    </w:p>
    <w:p>
      <w:pPr>
        <w:pStyle w:val="Reference"/>
        <w:widowControl/>
        <w:rPr/>
      </w:pPr>
      <w:r>
        <w:rPr/>
        <w:t xml:space="preserve">Evropský parlament a Rada EU. (2026). </w:t>
      </w:r>
      <w:r>
        <w:rPr>
          <w:i/>
        </w:rPr>
        <w:t>Směrnice (EU) 2026/470 ze dne 24. února 2026, kterou se mění směrnice 2006/43/ES, 2013/34/EU, (EU) 2022/2464 a (EU) 2024/1760, pokud jde o některé požadavky na podávání zpráv podniků o udržitelnosti a náležitou péči podniků v oblasti udržitelnosti</w:t>
      </w:r>
      <w:r>
        <w:rPr/>
        <w:t>. Úřední věstník Evropské unie. https://eur-lex.europa.eu/eli/dir/2026/470/oj</w:t>
      </w:r>
    </w:p>
    <w:p>
      <w:pPr>
        <w:pStyle w:val="Heading2"/>
        <w:keepNext w:val="true"/>
        <w:widowControl/>
        <w:ind w:hanging="0"/>
        <w:rPr/>
      </w:pPr>
      <w:bookmarkStart w:id="123" w:name="__RefHeading___Toc2250_516823210"/>
      <w:bookmarkEnd w:id="123"/>
      <w:r>
        <w:rPr/>
        <w:t>Analyzované firemní dokumenty</w:t>
      </w:r>
    </w:p>
    <w:p>
      <w:pPr>
        <w:pStyle w:val="Reference"/>
        <w:widowControl/>
        <w:rPr/>
      </w:pPr>
      <w:r>
        <w:rPr/>
        <w:t xml:space="preserve">ČEZ Group. (2025). </w:t>
      </w:r>
      <w:r>
        <w:rPr>
          <w:i/>
        </w:rPr>
        <w:t>CEZ Group Annual Financial Report 2024</w:t>
      </w:r>
      <w:r>
        <w:rPr/>
        <w:t>. https://www.cez.cz/webpublic/file/edee/ospol/fileexport/investori/vz-2024/cez-group-annual-financial-report-2024.pdf</w:t>
      </w:r>
    </w:p>
    <w:p>
      <w:pPr>
        <w:pStyle w:val="Reference"/>
        <w:widowControl/>
        <w:rPr/>
      </w:pPr>
      <w:r>
        <w:rPr/>
        <w:t xml:space="preserve">MONETA Money Bank. (2025). </w:t>
      </w:r>
      <w:r>
        <w:rPr>
          <w:i/>
        </w:rPr>
        <w:t>Sustainability at MONETA 2024</w:t>
      </w:r>
      <w:r>
        <w:rPr/>
        <w:t>. https://esg.moneta.cz/documents/19688341/19803994/mmb-sustainability-report-2024-en.pdf</w:t>
      </w:r>
    </w:p>
    <w:p>
      <w:pPr>
        <w:pStyle w:val="Reference"/>
        <w:widowControl/>
        <w:rPr/>
      </w:pPr>
      <w:r>
        <w:rPr/>
        <w:t xml:space="preserve">O2 Czech Republic. (2025). </w:t>
      </w:r>
      <w:r>
        <w:rPr>
          <w:i/>
        </w:rPr>
        <w:t>ESG Report 2024</w:t>
      </w:r>
      <w:r>
        <w:rPr/>
        <w:t>. https://spolecnost.o2.cz/-a344067?_linka=a1285401&amp;field=data</w:t>
      </w:r>
    </w:p>
    <w:p>
      <w:pPr>
        <w:pStyle w:val="Reference"/>
        <w:widowControl/>
        <w:rPr/>
      </w:pPr>
      <w:r>
        <w:rPr/>
        <w:t xml:space="preserve">Škoda Auto. (2025a). Sustainability strategy. In </w:t>
      </w:r>
      <w:r>
        <w:rPr>
          <w:i/>
        </w:rPr>
        <w:t>Škoda Annual Report 2024</w:t>
      </w:r>
      <w:r>
        <w:rPr/>
        <w:t>. https://reporting.skoda-auto.com/archive/2024/</w:t>
      </w:r>
    </w:p>
    <w:p>
      <w:pPr>
        <w:pStyle w:val="Reference"/>
        <w:widowControl/>
        <w:rPr/>
      </w:pPr>
      <w:r>
        <w:rPr/>
        <w:t xml:space="preserve">Škoda Auto. (2025b). Environment. In </w:t>
      </w:r>
      <w:r>
        <w:rPr>
          <w:i/>
        </w:rPr>
        <w:t>Škoda Annual Report 2024</w:t>
      </w:r>
      <w:r>
        <w:rPr/>
        <w:t>. https://reporting.skoda-auto.com/archive/2024/</w:t>
      </w:r>
    </w:p>
    <w:p>
      <w:pPr>
        <w:pStyle w:val="Reference"/>
        <w:widowControl/>
        <w:spacing w:before="0" w:after="100"/>
        <w:rPr/>
      </w:pPr>
      <w:r>
        <w:rPr/>
        <w:t xml:space="preserve">Škoda Auto. (2025c). Social. In </w:t>
      </w:r>
      <w:r>
        <w:rPr>
          <w:i/>
        </w:rPr>
        <w:t>Škoda Annual Report 2024</w:t>
      </w:r>
      <w:r>
        <w:rPr/>
        <w:t>. https://reporting.skoda-auto.com/archive/2024/</w:t>
      </w:r>
    </w:p>
    <w:sectPr>
      <w:headerReference w:type="default" r:id="rId2"/>
      <w:footerReference w:type="default" r:id="rId3"/>
      <w:type w:val="nextPage"/>
      <w:pgSz w:w="11906" w:h="16838"/>
      <w:pgMar w:left="1984" w:right="850" w:gutter="0" w:header="680"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66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end"/>
      <w:rPr/>
    </w:pPr>
    <w:r>
      <w:rPr>
        <w:color w:val="595959"/>
        <w:sz w:val="16"/>
      </w:rPr>
      <w:t>ESG-DP-2026-REVIEW  |  experimentální rukopis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709"/>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360" w:after="180"/>
      <w:ind w:hanging="0"/>
      <w:jc w:val="start"/>
      <w:outlineLvl w:val="0"/>
    </w:pPr>
    <w:rPr>
      <w:rFonts w:ascii="Calibri" w:hAnsi="Calibri" w:eastAsia="ＭＳ ゴシック"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widowControl/>
      <w:spacing w:before="240" w:after="120"/>
      <w:ind w:hanging="0"/>
      <w:jc w:val="start"/>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widowControl/>
      <w:spacing w:before="180" w:after="80"/>
      <w:ind w:hanging="0"/>
      <w:jc w:val="start"/>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widowControl/>
      <w:pBdr>
        <w:bottom w:val="single" w:sz="8" w:space="4" w:color="4F81BD" w:themeColor="accent1"/>
      </w:pBdr>
      <w:spacing w:lineRule="auto" w:line="240" w:before="0" w:after="240"/>
      <w:contextualSpacing/>
    </w:pPr>
    <w:rPr>
      <w:rFonts w:ascii="Calibri" w:hAnsi="Calibri" w:eastAsia="ＭＳ ゴシック" w:cs="" w:asciiTheme="majorHAnsi" w:cstheme="majorBidi" w:eastAsiaTheme="majorEastAsia" w:hAnsiTheme="majorHAnsi"/>
      <w:b/>
      <w:color w:val="000000"/>
      <w:spacing w:val="5"/>
      <w:kern w:val="2"/>
      <w:sz w:val="36"/>
      <w:szCs w:val="52"/>
    </w:rPr>
  </w:style>
  <w:style w:type="paragraph" w:styleId="Subtitle">
    <w:name w:val="Subtitle"/>
    <w:basedOn w:val="Normal"/>
    <w:next w:val="Normal"/>
    <w:link w:val="SubtitleChar"/>
    <w:uiPriority w:val="11"/>
    <w:qFormat/>
    <w:rsid w:val="00fc693f"/>
    <w:pPr>
      <w:keepNext w:val="true"/>
      <w:widowControl/>
      <w:spacing w:before="0" w:after="160"/>
    </w:pPr>
    <w:rPr>
      <w:rFonts w:ascii="Calibri" w:hAnsi="Calibri" w:eastAsia="ＭＳ ゴシック" w:cs="" w:asciiTheme="majorHAnsi" w:cstheme="majorBidi" w:eastAsiaTheme="majorEastAsia" w:hAnsiTheme="majorHAnsi"/>
      <w:b w:val="false"/>
      <w:i/>
      <w:iCs/>
      <w:color w:val="000000"/>
      <w:spacing w:val="15"/>
      <w:sz w:val="26"/>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e" w:customStyle="1">
    <w:name w:val="Block Quote"/>
    <w:qFormat/>
    <w:pPr>
      <w:widowControl/>
      <w:bidi w:val="0"/>
      <w:spacing w:lineRule="auto" w:line="276" w:before="120" w:after="120"/>
      <w:ind w:hanging="0" w:start="567" w:end="283"/>
      <w:jc w:val="start"/>
    </w:pPr>
    <w:rPr>
      <w:rFonts w:ascii="Times New Roman" w:hAnsi="Times New Roman" w:eastAsia="ＭＳ 明朝" w:cs="" w:cstheme="minorBidi" w:eastAsiaTheme="minorEastAsia"/>
      <w:i/>
      <w:color w:val="auto"/>
      <w:kern w:val="0"/>
      <w:sz w:val="22"/>
      <w:szCs w:val="22"/>
      <w:lang w:val="en-US" w:eastAsia="en-US" w:bidi="ar-SA"/>
    </w:rPr>
  </w:style>
  <w:style w:type="paragraph" w:styleId="Reference" w:customStyle="1">
    <w:name w:val="Reference"/>
    <w:qFormat/>
    <w:pPr>
      <w:widowControl/>
      <w:bidi w:val="0"/>
      <w:spacing w:lineRule="auto" w:line="240" w:before="0" w:after="100"/>
      <w:ind w:hanging="425" w:start="425"/>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CaptionThesis" w:customStyle="1">
    <w:name w:val="Caption Thesis"/>
    <w:qFormat/>
    <w:pPr>
      <w:keepNext w:val="true"/>
      <w:widowControl/>
      <w:bidi w:val="0"/>
      <w:spacing w:lineRule="auto" w:line="276" w:before="160" w:after="80"/>
      <w:ind w:hanging="0"/>
      <w:jc w:val="start"/>
    </w:pPr>
    <w:rPr>
      <w:rFonts w:ascii="Times New Roman" w:hAnsi="Times New Roman" w:eastAsia="ＭＳ 明朝" w:cs="" w:cstheme="minorBidi" w:eastAsiaTheme="minorEastAsia"/>
      <w:b/>
      <w:color w:val="auto"/>
      <w:kern w:val="0"/>
      <w:sz w:val="20"/>
      <w:szCs w:val="22"/>
      <w:lang w:val="en-US" w:eastAsia="en-US" w:bidi="ar-SA"/>
    </w:rPr>
  </w:style>
  <w:style w:type="paragraph" w:styleId="TOC1">
    <w:name w:val="TOC 1"/>
    <w:basedOn w:val="Index"/>
    <w:pPr>
      <w:tabs>
        <w:tab w:val="clear" w:pos="720"/>
        <w:tab w:val="right" w:pos="9072" w:leader="dot"/>
      </w:tabs>
      <w:ind w:hanging="0" w:start="0"/>
    </w:pPr>
    <w:rPr/>
  </w:style>
  <w:style w:type="paragraph" w:styleId="TOC2">
    <w:name w:val="TOC 2"/>
    <w:basedOn w:val="Index"/>
    <w:pPr>
      <w:tabs>
        <w:tab w:val="clear" w:pos="720"/>
        <w:tab w:val="right" w:pos="8789" w:leader="dot"/>
      </w:tabs>
      <w:ind w:hanging="0" w:start="283"/>
    </w:pPr>
    <w:rPr/>
  </w:style>
  <w:style w:type="paragraph" w:styleId="TOC3">
    <w:name w:val="TOC 3"/>
    <w:basedOn w:val="Index"/>
    <w:pPr>
      <w:tabs>
        <w:tab w:val="clear" w:pos="720"/>
        <w:tab w:val="right" w:pos="8505"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69</Pages>
  <Words>19989</Words>
  <Characters>126123</Characters>
  <CharactersWithSpaces>145272</CharactersWithSpaces>
  <Paragraphs>789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Anonymizováno pro účely hodnocení</dc:creator>
  <dc:description>generated by python-docx</dc:description>
  <cp:keywords>ESG CSRD ESRS dokumentová analýza</cp:keywords>
  <dc:language>en-US</dc:language>
  <cp:lastModifiedBy/>
  <dcterms:modified xsi:type="dcterms:W3CDTF">2026-09-01T23:14:32Z</dcterms:modified>
  <cp:revision>2</cp:revision>
  <dc:subject>Experimentální rukopis pro zaslepené odborné hodnocení</dc:subject>
  <dc:title>Veřejně vykazovaná implementace ESG ve vybraných velkých podnicích působících v České republice</dc:title>
</cp:coreProperties>
</file>

<file path=docProps/custom.xml><?xml version="1.0" encoding="utf-8"?>
<Properties xmlns="http://schemas.openxmlformats.org/officeDocument/2006/custom-properties" xmlns:vt="http://schemas.openxmlformats.org/officeDocument/2006/docPropsVTypes"/>
</file>