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jc w:val="center"/>
        <w:rPr/>
      </w:pPr>
      <w:r>
        <w:rPr/>
        <w:t>Odtajnění produkčního procesu</w:t>
      </w:r>
    </w:p>
    <w:p>
      <w:pPr>
        <w:pStyle w:val="BlockQuote"/>
        <w:rPr/>
      </w:pPr>
      <w:r>
        <w:rPr/>
        <w:t>Tento dokument předat hodnotiteli až po uzavření známky, doporučení k obhajobě a původního odhadu způsobu vzniku.</w:t>
      </w:r>
    </w:p>
    <w:p>
      <w:pPr>
        <w:pStyle w:val="Heading2"/>
        <w:keepNext w:val="true"/>
        <w:widowControl/>
        <w:ind w:hanging="0"/>
        <w:rPr/>
      </w:pPr>
      <w:r>
        <w:rPr/>
        <w:t>Co bylo testováno</w:t>
      </w:r>
    </w:p>
    <w:p>
      <w:pPr>
        <w:pStyle w:val="Normal"/>
        <w:widowControl/>
        <w:spacing w:lineRule="auto" w:line="360"/>
        <w:ind w:firstLine="709"/>
        <w:jc w:val="both"/>
        <w:rPr/>
      </w:pPr>
      <w:r>
        <w:rPr/>
        <w:t>Experiment ověřuje, zda workflow založené převážně na současném velkém jazykovém modelu dokáže pod lidským zadáním vytvořit kompletní a odborně hodnotitelný rukopis diplomové práce, který:</w:t>
      </w:r>
    </w:p>
    <w:p>
      <w:pPr>
        <w:pStyle w:val="ListBullet"/>
        <w:widowControl/>
        <w:numPr>
          <w:ilvl w:val="0"/>
          <w:numId w:val="1"/>
        </w:numPr>
        <w:spacing w:lineRule="auto" w:line="360" w:before="0" w:after="0"/>
        <w:ind w:hanging="142" w:start="425"/>
        <w:contextualSpacing/>
        <w:rPr/>
      </w:pPr>
      <w:r>
        <w:rPr/>
        <w:t>vymezuje výzkumný problém a otázky;</w:t>
      </w:r>
    </w:p>
    <w:p>
      <w:pPr>
        <w:pStyle w:val="ListBullet"/>
        <w:widowControl/>
        <w:numPr>
          <w:ilvl w:val="0"/>
          <w:numId w:val="1"/>
        </w:numPr>
        <w:spacing w:lineRule="auto" w:line="360" w:before="0" w:after="0"/>
        <w:ind w:hanging="142" w:start="425"/>
        <w:contextualSpacing/>
        <w:rPr/>
      </w:pPr>
      <w:r>
        <w:rPr/>
        <w:t>pracuje s dohledatelnou akademickou a regulatorní literaturou;</w:t>
      </w:r>
    </w:p>
    <w:p>
      <w:pPr>
        <w:pStyle w:val="ListBullet"/>
        <w:widowControl/>
        <w:numPr>
          <w:ilvl w:val="0"/>
          <w:numId w:val="1"/>
        </w:numPr>
        <w:spacing w:lineRule="auto" w:line="360" w:before="0" w:after="0"/>
        <w:ind w:hanging="142" w:start="425"/>
        <w:contextualSpacing/>
        <w:rPr/>
      </w:pPr>
      <w:r>
        <w:rPr/>
        <w:t>používá skutečný, veřejně ověřitelný empirický korpus;</w:t>
      </w:r>
    </w:p>
    <w:p>
      <w:pPr>
        <w:pStyle w:val="ListBullet"/>
        <w:widowControl/>
        <w:numPr>
          <w:ilvl w:val="0"/>
          <w:numId w:val="1"/>
        </w:numPr>
        <w:spacing w:lineRule="auto" w:line="360" w:before="0" w:after="0"/>
        <w:ind w:hanging="142" w:start="425"/>
        <w:contextualSpacing/>
        <w:rPr/>
      </w:pPr>
      <w:r>
        <w:rPr/>
        <w:t>provádí transparentní kvalitativní analýzu;</w:t>
      </w:r>
    </w:p>
    <w:p>
      <w:pPr>
        <w:pStyle w:val="ListBullet"/>
        <w:widowControl/>
        <w:numPr>
          <w:ilvl w:val="0"/>
          <w:numId w:val="1"/>
        </w:numPr>
        <w:spacing w:lineRule="auto" w:line="360" w:before="0" w:after="0"/>
        <w:ind w:hanging="142" w:start="425"/>
        <w:contextualSpacing/>
        <w:rPr/>
      </w:pPr>
      <w:r>
        <w:rPr/>
        <w:t>odděluje firemní tvrzení, metriku, interpretaci a omezení;</w:t>
      </w:r>
    </w:p>
    <w:p>
      <w:pPr>
        <w:pStyle w:val="ListBullet"/>
        <w:widowControl/>
        <w:numPr>
          <w:ilvl w:val="0"/>
          <w:numId w:val="1"/>
        </w:numPr>
        <w:spacing w:lineRule="auto" w:line="360" w:before="0" w:after="0"/>
        <w:ind w:hanging="142" w:start="425"/>
        <w:contextualSpacing/>
        <w:rPr/>
      </w:pPr>
      <w:r>
        <w:rPr/>
        <w:t>vytváří výsledky, diskusi a závěr;</w:t>
      </w:r>
    </w:p>
    <w:p>
      <w:pPr>
        <w:pStyle w:val="ListBullet"/>
        <w:widowControl/>
        <w:numPr>
          <w:ilvl w:val="0"/>
          <w:numId w:val="1"/>
        </w:numPr>
        <w:spacing w:lineRule="auto" w:line="360" w:before="0" w:after="0"/>
        <w:ind w:hanging="142" w:start="425"/>
        <w:contextualSpacing/>
        <w:rPr/>
      </w:pPr>
      <w:r>
        <w:rPr/>
        <w:t>umožňuje kontrolovat hlavní tvrzení proti evidenčnímu základu;</w:t>
      </w:r>
    </w:p>
    <w:p>
      <w:pPr>
        <w:pStyle w:val="ListBullet"/>
        <w:widowControl/>
        <w:numPr>
          <w:ilvl w:val="0"/>
          <w:numId w:val="1"/>
        </w:numPr>
        <w:spacing w:lineRule="auto" w:line="360" w:before="0" w:after="0"/>
        <w:ind w:hanging="142" w:start="425"/>
        <w:contextualSpacing/>
        <w:rPr/>
      </w:pPr>
      <w:r>
        <w:rPr/>
        <w:t>po úplné redakci působí jako soudržný akademický text, nikoli jako soubor izolovaných modelových výstupů.</w:t>
      </w:r>
    </w:p>
    <w:p>
      <w:pPr>
        <w:pStyle w:val="Normal"/>
        <w:widowControl/>
        <w:spacing w:lineRule="auto" w:line="360"/>
        <w:ind w:firstLine="709"/>
        <w:jc w:val="both"/>
        <w:rPr/>
      </w:pPr>
      <w:r>
        <w:rPr/>
        <w:t>Nešlo o pokus získat akademický titul nebo vydávat rukopis za práci konkrétního studenta. Dokument nebyl vložen do STAG, neobsahuje falešné čestné prohlášení a na titulní straně je označen jako experimentální artefakt pro odborné hodnocení.</w:t>
      </w:r>
    </w:p>
    <w:p>
      <w:pPr>
        <w:pStyle w:val="Heading2"/>
        <w:keepNext w:val="true"/>
        <w:widowControl/>
        <w:ind w:hanging="0"/>
        <w:rPr/>
      </w:pPr>
      <w:r>
        <w:rPr/>
        <w:t>Způsob vzniku</w:t>
      </w:r>
    </w:p>
    <w:p>
      <w:pPr>
        <w:pStyle w:val="Normal"/>
        <w:widowControl/>
        <w:spacing w:lineRule="auto" w:line="360"/>
        <w:ind w:firstLine="709"/>
        <w:jc w:val="both"/>
        <w:rPr/>
      </w:pPr>
      <w:r>
        <w:rPr/>
        <w:t xml:space="preserve">Hlavní produkční práci provedl model </w:t>
      </w:r>
      <w:r>
        <w:rPr>
          <w:b/>
        </w:rPr>
        <w:t>GPT-5.6 Pro</w:t>
      </w:r>
      <w:r>
        <w:rPr/>
        <w:t xml:space="preserve"> v rozhraní ChatGPT během 1. a 2. září 2026. Model se podílel na:</w:t>
      </w:r>
    </w:p>
    <w:p>
      <w:pPr>
        <w:pStyle w:val="ListBullet"/>
        <w:widowControl/>
        <w:numPr>
          <w:ilvl w:val="0"/>
          <w:numId w:val="1"/>
        </w:numPr>
        <w:spacing w:lineRule="auto" w:line="360" w:before="0" w:after="0"/>
        <w:ind w:hanging="142" w:start="425"/>
        <w:contextualSpacing/>
        <w:rPr/>
      </w:pPr>
      <w:r>
        <w:rPr/>
        <w:t>zpřesnění výzkumného problému;</w:t>
      </w:r>
    </w:p>
    <w:p>
      <w:pPr>
        <w:pStyle w:val="ListBullet"/>
        <w:widowControl/>
        <w:numPr>
          <w:ilvl w:val="0"/>
          <w:numId w:val="1"/>
        </w:numPr>
        <w:spacing w:lineRule="auto" w:line="360" w:before="0" w:after="0"/>
        <w:ind w:hanging="142" w:start="425"/>
        <w:contextualSpacing/>
        <w:rPr/>
      </w:pPr>
      <w:r>
        <w:rPr/>
        <w:t>změně výzkumného designu;</w:t>
      </w:r>
    </w:p>
    <w:p>
      <w:pPr>
        <w:pStyle w:val="ListBullet"/>
        <w:widowControl/>
        <w:numPr>
          <w:ilvl w:val="0"/>
          <w:numId w:val="1"/>
        </w:numPr>
        <w:spacing w:lineRule="auto" w:line="360" w:before="0" w:after="0"/>
        <w:ind w:hanging="142" w:start="425"/>
        <w:contextualSpacing/>
        <w:rPr/>
      </w:pPr>
      <w:r>
        <w:rPr/>
        <w:t>rešerši a registraci zdrojů;</w:t>
      </w:r>
    </w:p>
    <w:p>
      <w:pPr>
        <w:pStyle w:val="ListBullet"/>
        <w:widowControl/>
        <w:numPr>
          <w:ilvl w:val="0"/>
          <w:numId w:val="1"/>
        </w:numPr>
        <w:spacing w:lineRule="auto" w:line="360" w:before="0" w:after="0"/>
        <w:ind w:hanging="142" w:start="425"/>
        <w:contextualSpacing/>
        <w:rPr/>
      </w:pPr>
      <w:r>
        <w:rPr/>
        <w:t>konstrukci dokumentového korpusu;</w:t>
      </w:r>
    </w:p>
    <w:p>
      <w:pPr>
        <w:pStyle w:val="ListBullet"/>
        <w:widowControl/>
        <w:numPr>
          <w:ilvl w:val="0"/>
          <w:numId w:val="1"/>
        </w:numPr>
        <w:spacing w:lineRule="auto" w:line="360" w:before="0" w:after="0"/>
        <w:ind w:hanging="142" w:start="425"/>
        <w:contextualSpacing/>
        <w:rPr/>
      </w:pPr>
      <w:r>
        <w:rPr/>
        <w:t>návrhu kódovacího rámce;</w:t>
      </w:r>
    </w:p>
    <w:p>
      <w:pPr>
        <w:pStyle w:val="ListBullet"/>
        <w:widowControl/>
        <w:numPr>
          <w:ilvl w:val="0"/>
          <w:numId w:val="1"/>
        </w:numPr>
        <w:spacing w:lineRule="auto" w:line="360" w:before="0" w:after="0"/>
        <w:ind w:hanging="142" w:start="425"/>
        <w:contextualSpacing/>
        <w:rPr/>
      </w:pPr>
      <w:r>
        <w:rPr/>
        <w:t>klasifikaci a syntéze důkazních segmentů;</w:t>
      </w:r>
    </w:p>
    <w:p>
      <w:pPr>
        <w:pStyle w:val="ListBullet"/>
        <w:widowControl/>
        <w:numPr>
          <w:ilvl w:val="0"/>
          <w:numId w:val="1"/>
        </w:numPr>
        <w:spacing w:lineRule="auto" w:line="360" w:before="0" w:after="0"/>
        <w:ind w:hanging="142" w:start="425"/>
        <w:contextualSpacing/>
        <w:rPr/>
      </w:pPr>
      <w:r>
        <w:rPr/>
        <w:t>formulaci kapitol;</w:t>
      </w:r>
    </w:p>
    <w:p>
      <w:pPr>
        <w:pStyle w:val="ListBullet"/>
        <w:widowControl/>
        <w:numPr>
          <w:ilvl w:val="0"/>
          <w:numId w:val="1"/>
        </w:numPr>
        <w:spacing w:lineRule="auto" w:line="360" w:before="0" w:after="0"/>
        <w:ind w:hanging="142" w:start="425"/>
        <w:contextualSpacing/>
        <w:rPr/>
      </w:pPr>
      <w:r>
        <w:rPr/>
        <w:t>tvorbě kontrolních a auditních souborů;</w:t>
      </w:r>
    </w:p>
    <w:p>
      <w:pPr>
        <w:pStyle w:val="ListBullet"/>
        <w:widowControl/>
        <w:numPr>
          <w:ilvl w:val="0"/>
          <w:numId w:val="1"/>
        </w:numPr>
        <w:spacing w:lineRule="auto" w:line="360" w:before="0" w:after="0"/>
        <w:ind w:hanging="142" w:start="425"/>
        <w:contextualSpacing/>
        <w:rPr/>
      </w:pPr>
      <w:r>
        <w:rPr/>
        <w:t>programování validačního a sazebního workflow;</w:t>
      </w:r>
    </w:p>
    <w:p>
      <w:pPr>
        <w:pStyle w:val="ListBullet"/>
        <w:widowControl/>
        <w:numPr>
          <w:ilvl w:val="0"/>
          <w:numId w:val="1"/>
        </w:numPr>
        <w:spacing w:lineRule="auto" w:line="360" w:before="0" w:after="0"/>
        <w:ind w:hanging="142" w:start="425"/>
        <w:contextualSpacing/>
        <w:rPr/>
      </w:pPr>
      <w:r>
        <w:rPr/>
        <w:t>závěrečné autorské a jazykové redakci celého rukopisu.</w:t>
      </w:r>
    </w:p>
    <w:p>
      <w:pPr>
        <w:pStyle w:val="Normal"/>
        <w:widowControl/>
        <w:spacing w:lineRule="auto" w:line="360"/>
        <w:ind w:firstLine="709"/>
        <w:jc w:val="both"/>
        <w:rPr/>
      </w:pPr>
      <w:r>
        <w:rPr/>
        <w:t>Lidský iniciátor experimentu:</w:t>
      </w:r>
    </w:p>
    <w:p>
      <w:pPr>
        <w:pStyle w:val="ListBullet"/>
        <w:widowControl/>
        <w:numPr>
          <w:ilvl w:val="0"/>
          <w:numId w:val="1"/>
        </w:numPr>
        <w:spacing w:lineRule="auto" w:line="360" w:before="0" w:after="0"/>
        <w:ind w:hanging="142" w:start="425"/>
        <w:contextualSpacing/>
        <w:rPr/>
      </w:pPr>
      <w:r>
        <w:rPr/>
        <w:t>určil praktický cíl testu;</w:t>
      </w:r>
    </w:p>
    <w:p>
      <w:pPr>
        <w:pStyle w:val="ListBullet"/>
        <w:widowControl/>
        <w:numPr>
          <w:ilvl w:val="0"/>
          <w:numId w:val="1"/>
        </w:numPr>
        <w:spacing w:lineRule="auto" w:line="360" w:before="0" w:after="0"/>
        <w:ind w:hanging="142" w:start="425"/>
        <w:contextualSpacing/>
        <w:rPr/>
      </w:pPr>
      <w:r>
        <w:rPr/>
        <w:t>poskytl původní projekt a průběžnou zpětnou vazbu;</w:t>
      </w:r>
    </w:p>
    <w:p>
      <w:pPr>
        <w:pStyle w:val="ListBullet"/>
        <w:widowControl/>
        <w:numPr>
          <w:ilvl w:val="0"/>
          <w:numId w:val="1"/>
        </w:numPr>
        <w:spacing w:lineRule="auto" w:line="360" w:before="0" w:after="0"/>
        <w:ind w:hanging="142" w:start="425"/>
        <w:contextualSpacing/>
        <w:rPr/>
      </w:pPr>
      <w:r>
        <w:rPr/>
        <w:t>rozhodl, že práce bude posuzována nezávislými vedoucími závěrečných prací;</w:t>
      </w:r>
    </w:p>
    <w:p>
      <w:pPr>
        <w:pStyle w:val="ListBullet"/>
        <w:widowControl/>
        <w:numPr>
          <w:ilvl w:val="0"/>
          <w:numId w:val="1"/>
        </w:numPr>
        <w:spacing w:lineRule="auto" w:line="360" w:before="0" w:after="0"/>
        <w:ind w:hanging="142" w:start="425"/>
        <w:contextualSpacing/>
        <w:rPr/>
      </w:pPr>
      <w:r>
        <w:rPr/>
        <w:t>odmítl použití fingovaných rozhovorů jako empirických dat;</w:t>
      </w:r>
    </w:p>
    <w:p>
      <w:pPr>
        <w:pStyle w:val="ListBullet"/>
        <w:widowControl/>
        <w:numPr>
          <w:ilvl w:val="0"/>
          <w:numId w:val="1"/>
        </w:numPr>
        <w:spacing w:lineRule="auto" w:line="360" w:before="0" w:after="0"/>
        <w:ind w:hanging="142" w:start="425"/>
        <w:contextualSpacing/>
        <w:rPr/>
      </w:pPr>
      <w:r>
        <w:rPr/>
        <w:t>porovnal styl prvního úplného sestavení s reálnou diplomovou prací;</w:t>
      </w:r>
    </w:p>
    <w:p>
      <w:pPr>
        <w:pStyle w:val="ListBullet"/>
        <w:widowControl/>
        <w:numPr>
          <w:ilvl w:val="0"/>
          <w:numId w:val="1"/>
        </w:numPr>
        <w:spacing w:lineRule="auto" w:line="360" w:before="0" w:after="0"/>
        <w:ind w:hanging="142" w:start="425"/>
        <w:contextualSpacing/>
        <w:rPr/>
      </w:pPr>
      <w:r>
        <w:rPr/>
        <w:t>provedl orientační test vybraného úryvku v několika automatických detektorech;</w:t>
      </w:r>
    </w:p>
    <w:p>
      <w:pPr>
        <w:pStyle w:val="ListBullet"/>
        <w:widowControl/>
        <w:numPr>
          <w:ilvl w:val="0"/>
          <w:numId w:val="1"/>
        </w:numPr>
        <w:spacing w:lineRule="auto" w:line="360" w:before="0" w:after="0"/>
        <w:ind w:hanging="142" w:start="425"/>
        <w:contextualSpacing/>
        <w:rPr/>
      </w:pPr>
      <w:r>
        <w:rPr/>
        <w:t>schválil závěrečnou redakci a zajistil hodnotitele.</w:t>
      </w:r>
    </w:p>
    <w:p>
      <w:pPr>
        <w:pStyle w:val="Normal"/>
        <w:widowControl/>
        <w:spacing w:lineRule="auto" w:line="360"/>
        <w:ind w:firstLine="709"/>
        <w:jc w:val="both"/>
        <w:rPr/>
      </w:pPr>
      <w:r>
        <w:rPr/>
        <w:t xml:space="preserve">Model pracoval s repozitářem prostřednictvím GitHub konektoru a s veřejnými zdroji prostřednictvím webového vyhledávání. Pracovní historie je zachována v systému verzování, zatímco hodnotitelé dostali pouze jeden kanonický rukopis </w:t>
      </w:r>
      <w:r>
        <w:rPr>
          <w:rFonts w:ascii="Liberation Mono" w:hAnsi="Liberation Mono"/>
          <w:sz w:val="20"/>
        </w:rPr>
        <w:t>ESG-DP-2026-REVIEW</w:t>
      </w:r>
      <w:r>
        <w:rPr/>
        <w:t>.</w:t>
      </w:r>
    </w:p>
    <w:p>
      <w:pPr>
        <w:pStyle w:val="Heading2"/>
        <w:keepNext w:val="true"/>
        <w:widowControl/>
        <w:ind w:hanging="0"/>
        <w:rPr/>
      </w:pPr>
      <w:r>
        <w:rPr/>
        <w:t>Změna proti původnímu návrhu</w:t>
      </w:r>
    </w:p>
    <w:p>
      <w:pPr>
        <w:pStyle w:val="Normal"/>
        <w:widowControl/>
        <w:spacing w:lineRule="auto" w:line="360"/>
        <w:ind w:firstLine="709"/>
        <w:jc w:val="both"/>
        <w:rPr/>
      </w:pPr>
      <w:r>
        <w:rPr/>
        <w:t>Výchozí demonstrační projekt počítal s rozhovorovým výzkumem a obsahoval výrazně označený syntetický pilot. Takový materiál nebyl použit jako empirický výsledek. Design byl změněn na komparativní analýzu veřejných firemních dokumentů za rok 2024, čímž vznikl reálný a znovu dohledatelný korpus bez fingovaného sběru dat.</w:t>
      </w:r>
    </w:p>
    <w:p>
      <w:pPr>
        <w:pStyle w:val="Normal"/>
        <w:widowControl/>
        <w:spacing w:lineRule="auto" w:line="360"/>
        <w:ind w:firstLine="709"/>
        <w:jc w:val="both"/>
        <w:rPr/>
      </w:pPr>
      <w:r>
        <w:rPr/>
        <w:t>Analyzovány byly oficiální reporty ČEZ Group, MONETA Money Bank, O2 Czech Republic a Škoda Auto.</w:t>
      </w:r>
    </w:p>
    <w:p>
      <w:pPr>
        <w:pStyle w:val="Heading2"/>
        <w:keepNext w:val="true"/>
        <w:widowControl/>
        <w:ind w:hanging="0"/>
        <w:rPr/>
      </w:pPr>
      <w:r>
        <w:rPr/>
        <w:t>Závěrečná redakce</w:t>
      </w:r>
    </w:p>
    <w:p>
      <w:pPr>
        <w:pStyle w:val="Normal"/>
        <w:widowControl/>
        <w:spacing w:lineRule="auto" w:line="360"/>
        <w:ind w:firstLine="709"/>
        <w:jc w:val="both"/>
        <w:rPr/>
      </w:pPr>
      <w:r>
        <w:rPr/>
        <w:t>První úplné sestavení bylo obsahově soudržné, ale vykazovalo příliš pravidelný rytmus, opakované argumentační šablony a málo viditelných autorských voleb. Tento problém byl patrný při lidském čtení a projevil se také v orientačním testu automatických detektorů.</w:t>
      </w:r>
    </w:p>
    <w:p>
      <w:pPr>
        <w:pStyle w:val="Normal"/>
        <w:widowControl/>
        <w:spacing w:lineRule="auto" w:line="360"/>
        <w:ind w:firstLine="709"/>
        <w:jc w:val="both"/>
        <w:rPr/>
      </w:pPr>
      <w:r>
        <w:rPr/>
        <w:t>Proto byly všechny narativní kapitoly znovu vystavěny po významových blocích. Nešlo o synonymický spinner ani o mechanické nahrazování slov. Před redakcí byly uzamčeny:</w:t>
      </w:r>
    </w:p>
    <w:p>
      <w:pPr>
        <w:pStyle w:val="ListBullet"/>
        <w:widowControl/>
        <w:numPr>
          <w:ilvl w:val="0"/>
          <w:numId w:val="1"/>
        </w:numPr>
        <w:spacing w:lineRule="auto" w:line="360" w:before="0" w:after="0"/>
        <w:ind w:hanging="142" w:start="425"/>
        <w:contextualSpacing/>
        <w:rPr/>
      </w:pPr>
      <w:r>
        <w:rPr/>
        <w:t>výzkumné otázky;</w:t>
      </w:r>
    </w:p>
    <w:p>
      <w:pPr>
        <w:pStyle w:val="ListBullet"/>
        <w:widowControl/>
        <w:numPr>
          <w:ilvl w:val="0"/>
          <w:numId w:val="1"/>
        </w:numPr>
        <w:spacing w:lineRule="auto" w:line="360" w:before="0" w:after="0"/>
        <w:ind w:hanging="142" w:start="425"/>
        <w:contextualSpacing/>
        <w:rPr/>
      </w:pPr>
      <w:r>
        <w:rPr/>
        <w:t>nosná tvrzení a jejich síla;</w:t>
      </w:r>
    </w:p>
    <w:p>
      <w:pPr>
        <w:pStyle w:val="ListBullet"/>
        <w:widowControl/>
        <w:numPr>
          <w:ilvl w:val="0"/>
          <w:numId w:val="1"/>
        </w:numPr>
        <w:spacing w:lineRule="auto" w:line="360" w:before="0" w:after="0"/>
        <w:ind w:hanging="142" w:start="425"/>
        <w:contextualSpacing/>
        <w:rPr/>
      </w:pPr>
      <w:r>
        <w:rPr/>
        <w:t>citace a zdrojové kotvy;</w:t>
      </w:r>
    </w:p>
    <w:p>
      <w:pPr>
        <w:pStyle w:val="ListBullet"/>
        <w:widowControl/>
        <w:numPr>
          <w:ilvl w:val="0"/>
          <w:numId w:val="1"/>
        </w:numPr>
        <w:spacing w:lineRule="auto" w:line="360" w:before="0" w:after="0"/>
        <w:ind w:hanging="142" w:start="425"/>
        <w:contextualSpacing/>
        <w:rPr/>
      </w:pPr>
      <w:r>
        <w:rPr/>
        <w:t>číselné údaje a lokátory;</w:t>
      </w:r>
    </w:p>
    <w:p>
      <w:pPr>
        <w:pStyle w:val="ListBullet"/>
        <w:widowControl/>
        <w:numPr>
          <w:ilvl w:val="0"/>
          <w:numId w:val="1"/>
        </w:numPr>
        <w:spacing w:lineRule="auto" w:line="360" w:before="0" w:after="0"/>
        <w:ind w:hanging="142" w:start="425"/>
        <w:contextualSpacing/>
        <w:rPr/>
      </w:pPr>
      <w:r>
        <w:rPr/>
        <w:t>význam evidenčních tříd;</w:t>
      </w:r>
    </w:p>
    <w:p>
      <w:pPr>
        <w:pStyle w:val="ListBullet"/>
        <w:widowControl/>
        <w:numPr>
          <w:ilvl w:val="0"/>
          <w:numId w:val="1"/>
        </w:numPr>
        <w:spacing w:lineRule="auto" w:line="360" w:before="0" w:after="0"/>
        <w:ind w:hanging="142" w:start="425"/>
        <w:contextualSpacing/>
        <w:rPr/>
      </w:pPr>
      <w:r>
        <w:rPr/>
        <w:t>hranice assurance a dokumentového designu.</w:t>
      </w:r>
    </w:p>
    <w:p>
      <w:pPr>
        <w:pStyle w:val="Normal"/>
        <w:widowControl/>
        <w:spacing w:lineRule="auto" w:line="360"/>
        <w:ind w:firstLine="709"/>
        <w:jc w:val="both"/>
        <w:rPr/>
      </w:pPr>
      <w:r>
        <w:rPr/>
        <w:t>Redakce změnila kompozici odstavců, rytmus, přechody a způsob vysvětlení autorských rozhodnutí. Nebyly přidávány pravopisné chyby, neviditelné znaky, překlady tam a zpět ani jiné technické prostředky. Výsledek detektorů nebyl použit jako akademické kritérium a jeden z testovaných nástrojů nadále označoval pilotní úryvek jako pravděpodobně generovaný.</w:t>
      </w:r>
    </w:p>
    <w:p>
      <w:pPr>
        <w:pStyle w:val="Normal"/>
        <w:widowControl/>
        <w:spacing w:lineRule="auto" w:line="360"/>
        <w:ind w:firstLine="709"/>
        <w:jc w:val="both"/>
        <w:rPr/>
      </w:pPr>
      <w:r>
        <w:rPr/>
        <w:t>Po redakci byly kapitoly znovu kontrolovány proti zdrojům, datům a claim-evidence ledgeru. Hodnoticí balíček neobsahoval pracovní meziverze ani jejich označení.</w:t>
      </w:r>
    </w:p>
    <w:p>
      <w:pPr>
        <w:pStyle w:val="Heading2"/>
        <w:keepNext w:val="true"/>
        <w:widowControl/>
        <w:ind w:hanging="0"/>
        <w:rPr/>
      </w:pPr>
      <w:r>
        <w:rPr/>
        <w:t>Zdrojová a analytická kontrola</w:t>
      </w:r>
    </w:p>
    <w:p>
      <w:pPr>
        <w:pStyle w:val="Normal"/>
        <w:widowControl/>
        <w:spacing w:lineRule="auto" w:line="360"/>
        <w:ind w:firstLine="709"/>
        <w:jc w:val="both"/>
        <w:rPr/>
      </w:pPr>
      <w:r>
        <w:rPr/>
        <w:t>Korpus obsahuje 45 klíčových segmentů. U každého je uloženo:</w:t>
      </w:r>
    </w:p>
    <w:p>
      <w:pPr>
        <w:pStyle w:val="ListBullet"/>
        <w:widowControl/>
        <w:numPr>
          <w:ilvl w:val="0"/>
          <w:numId w:val="1"/>
        </w:numPr>
        <w:spacing w:lineRule="auto" w:line="360" w:before="0" w:after="0"/>
        <w:ind w:hanging="142" w:start="425"/>
        <w:contextualSpacing/>
        <w:rPr/>
      </w:pPr>
      <w:r>
        <w:rPr/>
        <w:t>ID případu a dokumentu;</w:t>
      </w:r>
    </w:p>
    <w:p>
      <w:pPr>
        <w:pStyle w:val="ListBullet"/>
        <w:widowControl/>
        <w:numPr>
          <w:ilvl w:val="0"/>
          <w:numId w:val="1"/>
        </w:numPr>
        <w:spacing w:lineRule="auto" w:line="360" w:before="0" w:after="0"/>
        <w:ind w:hanging="142" w:start="425"/>
        <w:contextualSpacing/>
        <w:rPr/>
      </w:pPr>
      <w:r>
        <w:rPr/>
        <w:t>přesný lokátor;</w:t>
      </w:r>
    </w:p>
    <w:p>
      <w:pPr>
        <w:pStyle w:val="ListBullet"/>
        <w:widowControl/>
        <w:numPr>
          <w:ilvl w:val="0"/>
          <w:numId w:val="1"/>
        </w:numPr>
        <w:spacing w:lineRule="auto" w:line="360" w:before="0" w:after="0"/>
        <w:ind w:hanging="142" w:start="425"/>
        <w:contextualSpacing/>
        <w:rPr/>
      </w:pPr>
      <w:r>
        <w:rPr/>
        <w:t>neutrální parafráze;</w:t>
      </w:r>
    </w:p>
    <w:p>
      <w:pPr>
        <w:pStyle w:val="ListBullet"/>
        <w:widowControl/>
        <w:numPr>
          <w:ilvl w:val="0"/>
          <w:numId w:val="1"/>
        </w:numPr>
        <w:spacing w:lineRule="auto" w:line="360" w:before="0" w:after="0"/>
        <w:ind w:hanging="142" w:start="425"/>
        <w:contextualSpacing/>
        <w:rPr/>
      </w:pPr>
      <w:r>
        <w:rPr/>
        <w:t>tematické kódy;</w:t>
      </w:r>
    </w:p>
    <w:p>
      <w:pPr>
        <w:pStyle w:val="ListBullet"/>
        <w:widowControl/>
        <w:numPr>
          <w:ilvl w:val="0"/>
          <w:numId w:val="1"/>
        </w:numPr>
        <w:spacing w:lineRule="auto" w:line="360" w:before="0" w:after="0"/>
        <w:ind w:hanging="142" w:start="425"/>
        <w:contextualSpacing/>
        <w:rPr/>
      </w:pPr>
      <w:r>
        <w:rPr/>
        <w:t>evidenční třída E0–E4;</w:t>
      </w:r>
    </w:p>
    <w:p>
      <w:pPr>
        <w:pStyle w:val="ListBullet"/>
        <w:widowControl/>
        <w:numPr>
          <w:ilvl w:val="0"/>
          <w:numId w:val="1"/>
        </w:numPr>
        <w:spacing w:lineRule="auto" w:line="360" w:before="0" w:after="0"/>
        <w:ind w:hanging="142" w:start="425"/>
        <w:contextualSpacing/>
        <w:rPr/>
      </w:pPr>
      <w:r>
        <w:rPr/>
        <w:t>status tvrzení;</w:t>
      </w:r>
    </w:p>
    <w:p>
      <w:pPr>
        <w:pStyle w:val="ListBullet"/>
        <w:widowControl/>
        <w:numPr>
          <w:ilvl w:val="0"/>
          <w:numId w:val="1"/>
        </w:numPr>
        <w:spacing w:lineRule="auto" w:line="360" w:before="0" w:after="0"/>
        <w:ind w:hanging="142" w:start="425"/>
        <w:contextualSpacing/>
        <w:rPr/>
      </w:pPr>
      <w:r>
        <w:rPr/>
        <w:t>zamýšlené analytické použití;</w:t>
      </w:r>
    </w:p>
    <w:p>
      <w:pPr>
        <w:pStyle w:val="ListBullet"/>
        <w:widowControl/>
        <w:numPr>
          <w:ilvl w:val="0"/>
          <w:numId w:val="1"/>
        </w:numPr>
        <w:spacing w:lineRule="auto" w:line="360" w:before="0" w:after="0"/>
        <w:ind w:hanging="142" w:start="425"/>
        <w:contextualSpacing/>
        <w:rPr/>
      </w:pPr>
      <w:r>
        <w:rPr/>
        <w:t>omezení nebo alternativní výklad.</w:t>
      </w:r>
    </w:p>
    <w:p>
      <w:pPr>
        <w:pStyle w:val="Normal"/>
        <w:widowControl/>
        <w:spacing w:lineRule="auto" w:line="360"/>
        <w:ind w:firstLine="709"/>
        <w:jc w:val="both"/>
        <w:rPr/>
      </w:pPr>
      <w:r>
        <w:rPr/>
        <w:t xml:space="preserve">Hlavní tvrzení rukopisu jsou napojena na </w:t>
      </w:r>
      <w:r>
        <w:rPr>
          <w:rFonts w:ascii="Liberation Mono" w:hAnsi="Liberation Mono"/>
          <w:sz w:val="20"/>
        </w:rPr>
        <w:t>audit/claim-evidence-ledger.csv</w:t>
      </w:r>
      <w:r>
        <w:rPr/>
        <w:t>. Všech devět položek E3/E4 prošlo samostatnou kontrolou originálního lokátoru a hranice tvrzení. Přibližně desetiprocentní kontrolní vzorek byl znovu klasifikován bez původního hodnocení; jedna položka byla snížena z E3 na E2, protože omezené ujištění nad celou zprávou samo nepředstavovalo rozhodovací vazbu.</w:t>
      </w:r>
    </w:p>
    <w:p>
      <w:pPr>
        <w:pStyle w:val="Heading2"/>
        <w:keepNext w:val="true"/>
        <w:widowControl/>
        <w:ind w:hanging="0"/>
        <w:rPr/>
      </w:pPr>
      <w:r>
        <w:rPr/>
        <w:t>Co kontrola zahrnovala</w:t>
      </w:r>
    </w:p>
    <w:p>
      <w:pPr>
        <w:pStyle w:val="ListBullet"/>
        <w:widowControl/>
        <w:numPr>
          <w:ilvl w:val="0"/>
          <w:numId w:val="1"/>
        </w:numPr>
        <w:spacing w:lineRule="auto" w:line="360" w:before="0" w:after="0"/>
        <w:ind w:hanging="142" w:start="425"/>
        <w:contextualSpacing/>
        <w:rPr/>
      </w:pPr>
      <w:r>
        <w:rPr/>
        <w:t>ověření DOI a bibliografických metadat;</w:t>
      </w:r>
    </w:p>
    <w:p>
      <w:pPr>
        <w:pStyle w:val="ListBullet"/>
        <w:widowControl/>
        <w:numPr>
          <w:ilvl w:val="0"/>
          <w:numId w:val="1"/>
        </w:numPr>
        <w:spacing w:lineRule="auto" w:line="360" w:before="0" w:after="0"/>
        <w:ind w:hanging="142" w:start="425"/>
        <w:contextualSpacing/>
        <w:rPr/>
      </w:pPr>
      <w:r>
        <w:rPr/>
        <w:t>práci s oficiálními firemními dokumenty;</w:t>
      </w:r>
    </w:p>
    <w:p>
      <w:pPr>
        <w:pStyle w:val="ListBullet"/>
        <w:widowControl/>
        <w:numPr>
          <w:ilvl w:val="0"/>
          <w:numId w:val="1"/>
        </w:numPr>
        <w:spacing w:lineRule="auto" w:line="360" w:before="0" w:after="0"/>
        <w:ind w:hanging="142" w:start="425"/>
        <w:contextualSpacing/>
        <w:rPr/>
      </w:pPr>
      <w:r>
        <w:rPr/>
        <w:t>práci s primárními právními prameny EUR-Lex a českou legislativou;</w:t>
      </w:r>
    </w:p>
    <w:p>
      <w:pPr>
        <w:pStyle w:val="ListBullet"/>
        <w:widowControl/>
        <w:numPr>
          <w:ilvl w:val="0"/>
          <w:numId w:val="1"/>
        </w:numPr>
        <w:spacing w:lineRule="auto" w:line="360" w:before="0" w:after="0"/>
        <w:ind w:hanging="142" w:start="425"/>
        <w:contextualSpacing/>
        <w:rPr/>
      </w:pPr>
      <w:r>
        <w:rPr/>
        <w:t>přesné stránkové nebo sekční lokátory;</w:t>
      </w:r>
    </w:p>
    <w:p>
      <w:pPr>
        <w:pStyle w:val="ListBullet"/>
        <w:widowControl/>
        <w:numPr>
          <w:ilvl w:val="0"/>
          <w:numId w:val="1"/>
        </w:numPr>
        <w:spacing w:lineRule="auto" w:line="360" w:before="0" w:after="0"/>
        <w:ind w:hanging="142" w:start="425"/>
        <w:contextualSpacing/>
        <w:rPr/>
      </w:pPr>
      <w:r>
        <w:rPr/>
        <w:t>negativní případy a proti-důkazy;</w:t>
      </w:r>
    </w:p>
    <w:p>
      <w:pPr>
        <w:pStyle w:val="ListBullet"/>
        <w:widowControl/>
        <w:numPr>
          <w:ilvl w:val="0"/>
          <w:numId w:val="1"/>
        </w:numPr>
        <w:spacing w:lineRule="auto" w:line="360" w:before="0" w:after="0"/>
        <w:ind w:hanging="142" w:start="425"/>
        <w:contextualSpacing/>
        <w:rPr/>
      </w:pPr>
      <w:r>
        <w:rPr/>
        <w:t>oddělení output, outcome a impact claimu;</w:t>
      </w:r>
    </w:p>
    <w:p>
      <w:pPr>
        <w:pStyle w:val="ListBullet"/>
        <w:widowControl/>
        <w:numPr>
          <w:ilvl w:val="0"/>
          <w:numId w:val="1"/>
        </w:numPr>
        <w:spacing w:lineRule="auto" w:line="360" w:before="0" w:after="0"/>
        <w:ind w:hanging="142" w:start="425"/>
        <w:contextualSpacing/>
        <w:rPr/>
      </w:pPr>
      <w:r>
        <w:rPr/>
        <w:t>oddělení assurance od hloubky manažerské integrace;</w:t>
      </w:r>
    </w:p>
    <w:p>
      <w:pPr>
        <w:pStyle w:val="ListBullet"/>
        <w:widowControl/>
        <w:numPr>
          <w:ilvl w:val="0"/>
          <w:numId w:val="1"/>
        </w:numPr>
        <w:spacing w:lineRule="auto" w:line="360" w:before="0" w:after="0"/>
        <w:ind w:hanging="142" w:start="425"/>
        <w:contextualSpacing/>
        <w:rPr/>
      </w:pPr>
      <w:r>
        <w:rPr/>
        <w:t>kontrolní překódování a druhou kontrolu nejsilnějších položek;</w:t>
      </w:r>
    </w:p>
    <w:p>
      <w:pPr>
        <w:pStyle w:val="ListBullet"/>
        <w:widowControl/>
        <w:numPr>
          <w:ilvl w:val="0"/>
          <w:numId w:val="1"/>
        </w:numPr>
        <w:spacing w:lineRule="auto" w:line="360" w:before="0" w:after="0"/>
        <w:ind w:hanging="142" w:start="425"/>
        <w:contextualSpacing/>
        <w:rPr/>
      </w:pPr>
      <w:r>
        <w:rPr/>
        <w:t>technickou kontrolu struktury, tabulek a exportu;</w:t>
      </w:r>
    </w:p>
    <w:p>
      <w:pPr>
        <w:pStyle w:val="ListBullet"/>
        <w:widowControl/>
        <w:numPr>
          <w:ilvl w:val="0"/>
          <w:numId w:val="1"/>
        </w:numPr>
        <w:spacing w:lineRule="auto" w:line="360" w:before="0" w:after="0"/>
        <w:ind w:hanging="142" w:start="425"/>
        <w:contextualSpacing/>
        <w:rPr/>
      </w:pPr>
      <w:r>
        <w:rPr/>
        <w:t>úplnou redakci narativních kapitol se zachováním evidenčního základu.</w:t>
      </w:r>
    </w:p>
    <w:p>
      <w:pPr>
        <w:pStyle w:val="Heading2"/>
        <w:keepNext w:val="true"/>
        <w:widowControl/>
        <w:ind w:hanging="0"/>
        <w:rPr/>
      </w:pPr>
      <w:r>
        <w:rPr/>
        <w:t>Co kontrola nezahrnovala</w:t>
      </w:r>
    </w:p>
    <w:p>
      <w:pPr>
        <w:pStyle w:val="ListBullet"/>
        <w:widowControl/>
        <w:numPr>
          <w:ilvl w:val="0"/>
          <w:numId w:val="1"/>
        </w:numPr>
        <w:spacing w:lineRule="auto" w:line="360" w:before="0" w:after="0"/>
        <w:ind w:hanging="142" w:start="425"/>
        <w:contextualSpacing/>
        <w:rPr/>
      </w:pPr>
      <w:r>
        <w:rPr/>
        <w:t>přečtení všech citovaných akademických článků druhým lidským odborníkem v plném textu;</w:t>
      </w:r>
    </w:p>
    <w:p>
      <w:pPr>
        <w:pStyle w:val="ListBullet"/>
        <w:widowControl/>
        <w:numPr>
          <w:ilvl w:val="0"/>
          <w:numId w:val="1"/>
        </w:numPr>
        <w:spacing w:lineRule="auto" w:line="360" w:before="0" w:after="0"/>
        <w:ind w:hanging="142" w:start="425"/>
        <w:contextualSpacing/>
        <w:rPr/>
      </w:pPr>
      <w:r>
        <w:rPr/>
        <w:t>nezávislé opakování kódování druhým lidským analytikem;</w:t>
      </w:r>
    </w:p>
    <w:p>
      <w:pPr>
        <w:pStyle w:val="ListBullet"/>
        <w:widowControl/>
        <w:numPr>
          <w:ilvl w:val="0"/>
          <w:numId w:val="1"/>
        </w:numPr>
        <w:spacing w:lineRule="auto" w:line="360" w:before="0" w:after="0"/>
        <w:ind w:hanging="142" w:start="425"/>
        <w:contextualSpacing/>
        <w:rPr/>
      </w:pPr>
      <w:r>
        <w:rPr/>
        <w:t>rozhovory se zaměstnanci, managementem, dodavateli nebo komunitami;</w:t>
      </w:r>
    </w:p>
    <w:p>
      <w:pPr>
        <w:pStyle w:val="ListBullet"/>
        <w:widowControl/>
        <w:numPr>
          <w:ilvl w:val="0"/>
          <w:numId w:val="1"/>
        </w:numPr>
        <w:spacing w:lineRule="auto" w:line="360" w:before="0" w:after="0"/>
        <w:ind w:hanging="142" w:start="425"/>
        <w:contextualSpacing/>
        <w:rPr/>
      </w:pPr>
      <w:r>
        <w:rPr/>
        <w:t>ověření interních investičních dokumentů a skutečné provozní praxe;</w:t>
      </w:r>
    </w:p>
    <w:p>
      <w:pPr>
        <w:pStyle w:val="ListBullet"/>
        <w:widowControl/>
        <w:numPr>
          <w:ilvl w:val="0"/>
          <w:numId w:val="1"/>
        </w:numPr>
        <w:spacing w:lineRule="auto" w:line="360" w:before="0" w:after="0"/>
        <w:ind w:hanging="142" w:start="425"/>
        <w:contextualSpacing/>
        <w:rPr/>
      </w:pPr>
      <w:r>
        <w:rPr/>
        <w:t>skutečnou ústní obhajobu autorem-studentem;</w:t>
      </w:r>
    </w:p>
    <w:p>
      <w:pPr>
        <w:pStyle w:val="ListBullet"/>
        <w:widowControl/>
        <w:numPr>
          <w:ilvl w:val="0"/>
          <w:numId w:val="1"/>
        </w:numPr>
        <w:spacing w:lineRule="auto" w:line="360" w:before="0" w:after="0"/>
        <w:ind w:hanging="142" w:start="425"/>
        <w:contextualSpacing/>
        <w:rPr/>
      </w:pPr>
      <w:r>
        <w:rPr/>
        <w:t>posouzení oficiální komisí nebo podání do studijního systému.</w:t>
      </w:r>
    </w:p>
    <w:p>
      <w:pPr>
        <w:pStyle w:val="Normal"/>
        <w:widowControl/>
        <w:spacing w:lineRule="auto" w:line="360"/>
        <w:ind w:firstLine="709"/>
        <w:jc w:val="both"/>
        <w:rPr/>
      </w:pPr>
      <w:r>
        <w:rPr/>
        <w:t>Experiment tedy dokládá schopnost vytvořit auditovatelný akademický artefakt. Neprokazuje nezávisle pravdivost všech firemních tvrzení ani schopnost konkrétního studenta práci obhájit.</w:t>
      </w:r>
    </w:p>
    <w:p>
      <w:pPr>
        <w:pStyle w:val="Heading2"/>
        <w:keepNext w:val="true"/>
        <w:widowControl/>
        <w:ind w:hanging="0"/>
        <w:rPr/>
      </w:pPr>
      <w:r>
        <w:rPr/>
        <w:t>Jak číst výsledek posudku</w:t>
      </w:r>
    </w:p>
    <w:p>
      <w:pPr>
        <w:pStyle w:val="Normal"/>
        <w:widowControl/>
        <w:spacing w:lineRule="auto" w:line="360"/>
        <w:ind w:firstLine="709"/>
        <w:jc w:val="both"/>
        <w:rPr/>
      </w:pPr>
      <w:r>
        <w:rPr/>
        <w:t>Vysoké hodnocení by ukazovalo, že samotný dokument může dosáhnout kvality, kterou zkušený hodnotitel považuje za obhajitelnou. Neznamenalo by, že je přijatelné nahradit studentskou práci modelem nebo zatajit jeho použití.</w:t>
      </w:r>
    </w:p>
    <w:p>
      <w:pPr>
        <w:pStyle w:val="Normal"/>
        <w:widowControl/>
        <w:spacing w:lineRule="auto" w:line="360"/>
        <w:ind w:firstLine="709"/>
        <w:jc w:val="both"/>
        <w:rPr/>
      </w:pPr>
      <w:r>
        <w:rPr/>
        <w:t>Nízké hodnocení je vhodné rozdělit podle konkrétních příčin: nedostatek teorie, nevhodný design, malý či selektivní korpus, slabá analýza, chyby ve zdrojích, nepřiměřené závěry, stylistické problémy nebo absence možnosti ověřit porozumění při obhajobě.</w:t>
      </w:r>
    </w:p>
    <w:p>
      <w:pPr>
        <w:pStyle w:val="Normal"/>
        <w:widowControl/>
        <w:spacing w:lineRule="auto" w:line="360"/>
        <w:ind w:firstLine="709"/>
        <w:jc w:val="both"/>
        <w:rPr/>
      </w:pPr>
      <w:r>
        <w:rPr/>
        <w:t>Největší vzdělávací hodnotu má přesný popis toho, které části obstály a které selhaly bez ohledu na produkční původ textu.</w:t>
      </w:r>
    </w:p>
    <w:p>
      <w:pPr>
        <w:pStyle w:val="Heading2"/>
        <w:keepNext w:val="true"/>
        <w:widowControl/>
        <w:ind w:hanging="0"/>
        <w:rPr/>
      </w:pPr>
      <w:r>
        <w:rPr/>
        <w:t>Otázky pro reflexi hodnotitele</w:t>
      </w:r>
    </w:p>
    <w:p>
      <w:pPr>
        <w:pStyle w:val="Normal"/>
        <w:widowControl/>
        <w:spacing w:lineRule="auto" w:line="360" w:before="0" w:after="0"/>
        <w:ind w:hanging="255" w:start="425"/>
        <w:jc w:val="both"/>
        <w:rPr/>
      </w:pPr>
      <w:r>
        <w:rPr/>
        <w:t>1. Které části posudku by byly stejné, kdyby text napsal známý student?</w:t>
      </w:r>
    </w:p>
    <w:p>
      <w:pPr>
        <w:pStyle w:val="Normal"/>
        <w:widowControl/>
        <w:spacing w:lineRule="auto" w:line="360" w:before="0" w:after="0"/>
        <w:ind w:hanging="255" w:start="425"/>
        <w:jc w:val="both"/>
        <w:rPr/>
      </w:pPr>
      <w:r>
        <w:rPr/>
        <w:t>2. Které indicie vedly k odhadu způsobu vzniku a byly skutečně spolehlivé?</w:t>
      </w:r>
    </w:p>
    <w:p>
      <w:pPr>
        <w:pStyle w:val="Normal"/>
        <w:widowControl/>
        <w:spacing w:lineRule="auto" w:line="360" w:before="0" w:after="0"/>
        <w:ind w:hanging="255" w:start="425"/>
        <w:jc w:val="both"/>
        <w:rPr/>
      </w:pPr>
      <w:r>
        <w:rPr/>
        <w:t>3. Změnila informace o procesu hodnocení odborné správnosti, nebo spíše úsudek o autorství a integritě?</w:t>
      </w:r>
    </w:p>
    <w:p>
      <w:pPr>
        <w:pStyle w:val="Normal"/>
        <w:widowControl/>
        <w:spacing w:lineRule="auto" w:line="360" w:before="0" w:after="0"/>
        <w:ind w:hanging="255" w:start="425"/>
        <w:jc w:val="both"/>
        <w:rPr/>
      </w:pPr>
      <w:r>
        <w:rPr/>
        <w:t>4. Které kompetence lze ověřit pouze při průběžném vedení, práci se zdrojem nebo ústní obhajobě?</w:t>
      </w:r>
    </w:p>
    <w:p>
      <w:pPr>
        <w:pStyle w:val="Normal"/>
        <w:widowControl/>
        <w:spacing w:lineRule="auto" w:line="360" w:before="0" w:after="0"/>
        <w:ind w:hanging="255" w:start="425"/>
        <w:jc w:val="both"/>
        <w:rPr/>
      </w:pPr>
      <w:r>
        <w:rPr/>
        <w:t>5. Co by měl vedoucí vyžadovat jako procesní důkaz vedle výsledného PDF?</w:t>
      </w:r>
    </w:p>
    <w:p>
      <w:pPr>
        <w:pStyle w:val="Heading2"/>
        <w:keepNext w:val="true"/>
        <w:widowControl/>
        <w:ind w:hanging="0"/>
        <w:rPr/>
      </w:pPr>
      <w:r>
        <w:rPr/>
        <w:t>Hlavní pedagogická teze experimentu</w:t>
      </w:r>
    </w:p>
    <w:p>
      <w:pPr>
        <w:pStyle w:val="Normal"/>
        <w:widowControl/>
        <w:spacing w:lineRule="auto" w:line="360"/>
        <w:ind w:firstLine="709"/>
        <w:jc w:val="both"/>
        <w:rPr/>
      </w:pPr>
      <w:r>
        <w:rPr/>
        <w:t>Hotový text už nelze považovat za dostatečný důkaz toho, kdo vykonal intelektuální práci a čemu autor rozumí. To není důvod rezignovat na kvalifikační práce. Je to důvod posílit průběžnou práci s rozhodnutími, zdrojovou stopou, verzemi, nečekanými daty a obhajobou.</w:t>
      </w:r>
    </w:p>
    <w:sectPr>
      <w:type w:val="nextPage"/>
      <w:pgSz w:w="11906" w:h="16838"/>
      <w:pgMar w:left="1417" w:right="1417" w:gutter="0" w:header="0" w:top="1417" w:footer="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mbria">
    <w:charset w:val="01" w:characterSet="utf-8"/>
    <w:family w:val="roman"/>
    <w:pitch w:val="variable"/>
  </w:font>
  <w:font w:name="Times New Roman"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  <w:font w:name="Courier">
    <w:altName w:val="Courier New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Liberation Mono">
    <w:altName w:val="Courier New"/>
    <w:charset w:val="01" w:characterSet="utf-8"/>
    <w:family w:val="roman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360"/>
        </w:tabs>
        <w:ind w:star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1080"/>
        </w:tabs>
        <w:ind w:start="108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7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bidi w:val="0"/>
      <w:spacing w:lineRule="auto" w:line="360" w:before="0" w:after="0"/>
      <w:ind w:firstLine="709"/>
      <w:jc w:val="both"/>
    </w:pPr>
    <w:rPr>
      <w:rFonts w:ascii="Times New Roman" w:hAnsi="Times New Roman" w:eastAsia="Times New Roman" w:cs="" w:cstheme="minorBidi"/>
      <w:color w:val="auto"/>
      <w:kern w:val="0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widowControl/>
      <w:spacing w:before="360" w:after="180"/>
      <w:ind w:hanging="0"/>
      <w:jc w:val="start"/>
      <w:outlineLvl w:val="0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widowControl/>
      <w:spacing w:before="240" w:after="120"/>
      <w:ind w:hanging="0"/>
      <w:jc w:val="start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widowControl/>
      <w:spacing w:before="180" w:after="80"/>
      <w:ind w:hanging="0"/>
      <w:jc w:val="start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DejaVu Sans" w:cs="DejaVu Sans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0"/>
      <w:ind w:hanging="360" w:star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/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bidi w:val="0"/>
      <w:spacing w:lineRule="auto" w:line="240" w:before="0" w:after="0"/>
      <w:jc w:val="star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 w:val="true"/>
      <w:widowControl/>
      <w:pBdr>
        <w:bottom w:val="single" w:sz="8" w:space="4" w:color="4F81BD" w:themeColor="accent1"/>
      </w:pBdr>
      <w:spacing w:lineRule="auto" w:line="240" w:before="0" w:after="240"/>
      <w:contextualSpacing/>
    </w:pPr>
    <w:rPr>
      <w:rFonts w:ascii="Calibri" w:hAnsi="Calibri" w:eastAsia="ＭＳ ゴシック" w:cs="" w:asciiTheme="majorHAnsi" w:cstheme="majorBidi" w:eastAsiaTheme="majorEastAsia" w:hAnsiTheme="majorHAnsi"/>
      <w:b/>
      <w:color w:val="000000"/>
      <w:spacing w:val="5"/>
      <w:kern w:val="2"/>
      <w:sz w:val="36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 w:val="true"/>
      <w:widowControl/>
      <w:spacing w:before="0" w:after="160"/>
    </w:pPr>
    <w:rPr>
      <w:rFonts w:ascii="Calibri" w:hAnsi="Calibri" w:eastAsia="ＭＳ ゴシック" w:cs="" w:asciiTheme="majorHAnsi" w:cstheme="majorBidi" w:eastAsiaTheme="majorEastAsia" w:hAnsiTheme="majorHAnsi"/>
      <w:b w:val="false"/>
      <w:i/>
      <w:iCs/>
      <w:color w:val="000000"/>
      <w:spacing w:val="15"/>
      <w:sz w:val="26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0"/>
      <w:ind w:star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0"/>
      <w:ind w:hanging="360" w:star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0"/>
      <w:ind w:hanging="360" w:star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star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star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start="108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bidi w:val="0"/>
      <w:spacing w:lineRule="auto" w:line="276" w:before="0" w:after="200"/>
      <w:jc w:val="star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start="936" w:end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paragraph" w:styleId="BlockQuote" w:customStyle="1">
    <w:name w:val="Block Quote"/>
    <w:qFormat/>
    <w:pPr>
      <w:widowControl/>
      <w:bidi w:val="0"/>
      <w:spacing w:lineRule="auto" w:line="276" w:before="120" w:after="120"/>
      <w:ind w:hanging="0" w:start="567" w:end="283"/>
      <w:jc w:val="start"/>
    </w:pPr>
    <w:rPr>
      <w:rFonts w:ascii="Times New Roman" w:hAnsi="Times New Roman" w:eastAsia="ＭＳ 明朝" w:cs="" w:cstheme="minorBidi" w:eastAsiaTheme="minorEastAsia"/>
      <w:i/>
      <w:color w:val="auto"/>
      <w:kern w:val="0"/>
      <w:sz w:val="22"/>
      <w:szCs w:val="22"/>
      <w:lang w:val="en-US" w:eastAsia="en-US" w:bidi="ar-SA"/>
    </w:rPr>
  </w:style>
  <w:style w:type="paragraph" w:styleId="Reference" w:customStyle="1">
    <w:name w:val="Reference"/>
    <w:qFormat/>
    <w:pPr>
      <w:widowControl/>
      <w:bidi w:val="0"/>
      <w:spacing w:lineRule="auto" w:line="240" w:before="0" w:after="100"/>
      <w:ind w:hanging="425" w:start="425"/>
      <w:jc w:val="start"/>
    </w:pPr>
    <w:rPr>
      <w:rFonts w:ascii="Times New Roman" w:hAnsi="Times New Roman" w:eastAsia="ＭＳ 明朝" w:cs="" w:cstheme="minorBidi" w:eastAsiaTheme="minorEastAsia"/>
      <w:color w:val="auto"/>
      <w:kern w:val="0"/>
      <w:sz w:val="22"/>
      <w:szCs w:val="22"/>
      <w:lang w:val="en-US" w:eastAsia="en-US" w:bidi="ar-SA"/>
    </w:rPr>
  </w:style>
  <w:style w:type="paragraph" w:styleId="CaptionThesis" w:customStyle="1">
    <w:name w:val="Caption Thesis"/>
    <w:qFormat/>
    <w:pPr>
      <w:keepNext w:val="true"/>
      <w:widowControl/>
      <w:bidi w:val="0"/>
      <w:spacing w:lineRule="auto" w:line="276" w:before="160" w:after="80"/>
      <w:ind w:hanging="0"/>
      <w:jc w:val="start"/>
    </w:pPr>
    <w:rPr>
      <w:rFonts w:ascii="Times New Roman" w:hAnsi="Times New Roman" w:eastAsia="ＭＳ 明朝" w:cs="" w:cstheme="minorBidi" w:eastAsiaTheme="minorEastAsia"/>
      <w:b/>
      <w:color w:val="auto"/>
      <w:kern w:val="0"/>
      <w:sz w:val="20"/>
      <w:szCs w:val="22"/>
      <w:lang w:val="en-US" w:eastAsia="en-US" w:bidi="ar-SA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Application>LibreOffice/24.2.7.2$Linux_X86_64 LibreOffice_project/420$Build-2</Application>
  <AppVersion>15.0000</AppVersion>
  <Pages>1</Pages>
  <Words>0</Words>
  <Characters>0</Characters>
  <CharactersWithSpaces>0</CharactersWithSpaces>
  <Paragraphs>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Anonymizováno pro účely experimentu</dc:creator>
  <dc:description>generated by python-docx</dc:description>
  <cp:keywords>ESG CSRD ESRS dokumentová analýza</cp:keywords>
  <dc:language>en-US</dc:language>
  <cp:lastModifiedBy>Anonymizováno</cp:lastModifiedBy>
  <dcterms:modified xsi:type="dcterms:W3CDTF">2013-12-23T23:15:00Z</dcterms:modified>
  <cp:revision>1</cp:revision>
  <dc:subject>Experimentální rukopis pro zaslepené odborné hodnocení</dc:subject>
  <dc:title>Odtajnění produkčního procesu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