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Pokyny pro nezávislé zaslepené hodnocení</w:t>
      </w:r>
    </w:p>
    <w:p>
      <w:pPr>
        <w:pStyle w:val="Heading2"/>
        <w:keepNext w:val="true"/>
        <w:widowControl/>
        <w:ind w:hanging="0"/>
        <w:rPr/>
      </w:pPr>
      <w:r>
        <w:rPr/>
        <w:t>Účel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Cílem je zjistit, jakou akademickou kvalitu má předložený rukopis při běžném odborném posouzení, pokud hodnotitel před uzavřením posudku nezná podrobnosti jeho produkčního procesu.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Nejde o skutečné odevzdání kvalifikační práce a žádná osoba na základě hodnocení neusiluje o získání akademického titulu. Rukopis neobsahuje falešné studentské prohlášení, podpis ani údaje o skutečném studentovi.</w:t>
      </w:r>
    </w:p>
    <w:p>
      <w:pPr>
        <w:pStyle w:val="Heading2"/>
        <w:keepNext w:val="true"/>
        <w:widowControl/>
        <w:ind w:hanging="0"/>
        <w:rPr/>
      </w:pPr>
      <w:r>
        <w:rPr/>
        <w:t>Co hodnotitel obdrží</w:t>
      </w:r>
    </w:p>
    <w:p>
      <w:pPr>
        <w:pStyle w:val="Normal"/>
        <w:widowControl/>
        <w:spacing w:lineRule="auto" w:line="360" w:before="0" w:after="0"/>
        <w:ind w:hanging="255" w:start="425"/>
        <w:jc w:val="both"/>
        <w:rPr/>
      </w:pPr>
      <w:r>
        <w:rPr/>
        <w:t>1. zaslepený rukopis v PDF nebo DOCX;</w:t>
      </w:r>
    </w:p>
    <w:p>
      <w:pPr>
        <w:pStyle w:val="Normal"/>
        <w:widowControl/>
        <w:spacing w:lineRule="auto" w:line="360" w:before="0" w:after="0"/>
        <w:ind w:hanging="255" w:start="425"/>
        <w:jc w:val="both"/>
        <w:rPr/>
      </w:pPr>
      <w:r>
        <w:rPr/>
        <w:t>2. hodnoticí formulář;</w:t>
      </w:r>
    </w:p>
    <w:p>
      <w:pPr>
        <w:pStyle w:val="Normal"/>
        <w:widowControl/>
        <w:spacing w:lineRule="auto" w:line="360" w:before="0" w:after="0"/>
        <w:ind w:hanging="255" w:start="425"/>
        <w:jc w:val="both"/>
        <w:rPr/>
      </w:pPr>
      <w:r>
        <w:rPr/>
        <w:t>3. identifikátor zmrazené verze rukopisu.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Před uzavřením hodnocení nemá obdržet historii repozitáře, prompty, auditní log, seznam použitých nástrojů, názory jiných hodnotitelů ani souhrn očekávaných slabin.</w:t>
      </w:r>
    </w:p>
    <w:p>
      <w:pPr>
        <w:pStyle w:val="Heading2"/>
        <w:keepNext w:val="true"/>
        <w:widowControl/>
        <w:ind w:hanging="0"/>
        <w:rPr/>
      </w:pPr>
      <w:r>
        <w:rPr/>
        <w:t>Doporučený postup</w:t>
      </w:r>
    </w:p>
    <w:p>
      <w:pPr>
        <w:pStyle w:val="Normal"/>
        <w:widowControl/>
        <w:spacing w:lineRule="auto" w:line="360" w:before="0" w:after="0"/>
        <w:ind w:hanging="255" w:start="425"/>
        <w:jc w:val="both"/>
        <w:rPr/>
      </w:pPr>
      <w:r>
        <w:rPr/>
        <w:t>1. Posuďte rukopis stejně, jako by šlo o diplomovou práci předloženou k odbornému hodnocení; administrativní části byly záměrně omezeny kvůli zaslepení.</w:t>
      </w:r>
    </w:p>
    <w:p>
      <w:pPr>
        <w:pStyle w:val="Normal"/>
        <w:widowControl/>
        <w:spacing w:lineRule="auto" w:line="360" w:before="0" w:after="0"/>
        <w:ind w:hanging="255" w:start="425"/>
        <w:jc w:val="both"/>
        <w:rPr/>
      </w:pPr>
      <w:r>
        <w:rPr/>
        <w:t>2. Použijte vlastní institucionální kritéria nebo přiložený formulář.</w:t>
      </w:r>
    </w:p>
    <w:p>
      <w:pPr>
        <w:pStyle w:val="Normal"/>
        <w:widowControl/>
        <w:spacing w:lineRule="auto" w:line="360" w:before="0" w:after="0"/>
        <w:ind w:hanging="255" w:start="425"/>
        <w:jc w:val="both"/>
        <w:rPr/>
      </w:pPr>
      <w:r>
        <w:rPr/>
        <w:t>3. Nejprve uzavřete věcný posudek, známku a doporučení k obhajobě.</w:t>
      </w:r>
    </w:p>
    <w:p>
      <w:pPr>
        <w:pStyle w:val="Normal"/>
        <w:widowControl/>
        <w:spacing w:lineRule="auto" w:line="360" w:before="0" w:after="0"/>
        <w:ind w:hanging="255" w:start="425"/>
        <w:jc w:val="both"/>
        <w:rPr/>
      </w:pPr>
      <w:r>
        <w:rPr/>
        <w:t>4. Teprve poté vyplňte odhad způsobu vzniku textu a jistotu odhadu.</w:t>
      </w:r>
    </w:p>
    <w:p>
      <w:pPr>
        <w:pStyle w:val="Normal"/>
        <w:widowControl/>
        <w:spacing w:lineRule="auto" w:line="360" w:before="0" w:after="0"/>
        <w:ind w:hanging="255" w:start="425"/>
        <w:jc w:val="both"/>
        <w:rPr/>
      </w:pPr>
      <w:r>
        <w:rPr/>
        <w:t>5. Původní posudek po odtajnění neměňte; případnou novou reflexi zaznamenejte odděleně.</w:t>
      </w:r>
    </w:p>
    <w:p>
      <w:pPr>
        <w:pStyle w:val="Heading2"/>
        <w:keepNext w:val="true"/>
        <w:widowControl/>
        <w:ind w:hanging="0"/>
        <w:rPr/>
      </w:pPr>
      <w:r>
        <w:rPr/>
        <w:t>Hranice hodnocení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Nehodnoťte chybějící skutečné jméno studenta, administrativní proces zadání, fyzickou vazbu, podpisy ani výkon při ústní obhajobě. Tvrzení, že jde o reálně odevzdanou studentskou práci, rukopis neobsahuje.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Výsledek automatického AI detektoru nepoužívejte jako podklad pro akademickou známku. Případné použití detektoru zaznamenejte až po uzavření odborného hodnocení, odděleně od známky.</w:t>
      </w:r>
    </w:p>
    <w:p>
      <w:pPr>
        <w:pStyle w:val="Heading2"/>
        <w:keepNext w:val="true"/>
        <w:widowControl/>
        <w:ind w:hanging="0"/>
        <w:rPr/>
      </w:pPr>
      <w:r>
        <w:rPr/>
        <w:t>Ověření zdrojů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Citované články, právní akty a firemní reporty lze běžným způsobem otevřít a kontrolovat včetně DOI, stránek, metodiky a výpočtů. Před odtajněním naopak neprocházejte historii pracovního repozitáře.</w:t>
      </w:r>
    </w:p>
    <w:p>
      <w:pPr>
        <w:pStyle w:val="Heading2"/>
        <w:keepNext w:val="true"/>
        <w:widowControl/>
        <w:ind w:hanging="0"/>
        <w:rPr/>
      </w:pPr>
      <w:r>
        <w:rPr/>
        <w:t>Co zmrazit před odtajněním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datum a délku hodnocení;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celkovou známku a doporučení k obhajobě;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tři nejsilnější a tři nejslabší stránky;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nejzávažnější podmínku opravy;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odhad způsobu vzniku textu a jistotu odhadu.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Formulář lze vrátit jako PDF, DOCX nebo podepsaný sken. Původní odpovědi je vhodné archivovat beze změny.</w:t>
      </w:r>
    </w:p>
    <w:p>
      <w:pPr>
        <w:pStyle w:val="Heading2"/>
        <w:keepNext w:val="true"/>
        <w:widowControl/>
        <w:ind w:hanging="0"/>
        <w:rPr/>
      </w:pPr>
      <w:r>
        <w:rPr/>
        <w:t>Odtajnění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Po přijetí všech uzavřených posudků obdrží hodnotitel popis produkčního procesu, seznam nástrojů, historii verzí, kódovací a evidenční soubory, claim-evidence ledger a známá omezení. Následná reflexe může samostatně zachytit, zda se po odtajnění změnil jeho pohled na kvalitu nebo autorství textu.</w:t>
      </w:r>
    </w:p>
    <w:sectPr>
      <w:type w:val="nextPage"/>
      <w:pgSz w:w="11906" w:h="16838"/>
      <w:pgMar w:left="1417" w:right="1417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60" w:before="0" w:after="0"/>
      <w:ind w:firstLine="709"/>
      <w:jc w:val="both"/>
    </w:pPr>
    <w:rPr>
      <w:rFonts w:ascii="Times New Roman" w:hAnsi="Times New Roman" w:eastAsia="Times New Roman" w:cs="" w:cstheme="minorBidi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widowControl/>
      <w:spacing w:before="360" w:after="180"/>
      <w:ind w:hanging="0"/>
      <w:jc w:val="start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widowControl/>
      <w:spacing w:before="240" w:after="120"/>
      <w:ind w:hanging="0"/>
      <w:jc w:val="start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widowControl/>
      <w:spacing w:before="180" w:after="80"/>
      <w:ind w:hanging="0"/>
      <w:jc w:val="start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widowControl/>
      <w:pBdr>
        <w:bottom w:val="single" w:sz="8" w:space="4" w:color="4F81BD" w:themeColor="accent1"/>
      </w:pBdr>
      <w:spacing w:lineRule="auto" w:line="240" w:before="0" w:after="240"/>
      <w:contextualSpacing/>
    </w:pPr>
    <w:rPr>
      <w:rFonts w:ascii="Calibri" w:hAnsi="Calibri" w:eastAsia="ＭＳ ゴシック" w:cs="" w:asciiTheme="majorHAnsi" w:cstheme="majorBidi" w:eastAsiaTheme="majorEastAsia" w:hAnsiTheme="majorHAnsi"/>
      <w:b/>
      <w:color w:val="000000"/>
      <w:spacing w:val="5"/>
      <w:kern w:val="2"/>
      <w:sz w:val="3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widowControl/>
      <w:spacing w:before="0" w:after="160"/>
    </w:pPr>
    <w:rPr>
      <w:rFonts w:ascii="Calibri" w:hAnsi="Calibri" w:eastAsia="ＭＳ ゴシック" w:cs="" w:asciiTheme="majorHAnsi" w:cstheme="majorBidi" w:eastAsiaTheme="majorEastAsia" w:hAnsiTheme="majorHAnsi"/>
      <w:b w:val="false"/>
      <w:i/>
      <w:iCs/>
      <w:color w:val="000000"/>
      <w:spacing w:val="15"/>
      <w:sz w:val="26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BlockQuote" w:customStyle="1">
    <w:name w:val="Block Quote"/>
    <w:qFormat/>
    <w:pPr>
      <w:widowControl/>
      <w:bidi w:val="0"/>
      <w:spacing w:lineRule="auto" w:line="276" w:before="120" w:after="120"/>
      <w:ind w:hanging="0" w:start="567" w:end="283"/>
      <w:jc w:val="start"/>
    </w:pPr>
    <w:rPr>
      <w:rFonts w:ascii="Times New Roman" w:hAnsi="Times New Roman" w:eastAsia="ＭＳ 明朝" w:cs="" w:cstheme="minorBidi" w:eastAsiaTheme="minorEastAsia"/>
      <w:i/>
      <w:color w:val="auto"/>
      <w:kern w:val="0"/>
      <w:sz w:val="22"/>
      <w:szCs w:val="22"/>
      <w:lang w:val="en-US" w:eastAsia="en-US" w:bidi="ar-SA"/>
    </w:rPr>
  </w:style>
  <w:style w:type="paragraph" w:styleId="Reference" w:customStyle="1">
    <w:name w:val="Reference"/>
    <w:qFormat/>
    <w:pPr>
      <w:widowControl/>
      <w:bidi w:val="0"/>
      <w:spacing w:lineRule="auto" w:line="240" w:before="0" w:after="100"/>
      <w:ind w:hanging="425" w:start="425"/>
      <w:jc w:val="start"/>
    </w:pPr>
    <w:rPr>
      <w:rFonts w:ascii="Times New Roman" w:hAnsi="Times New Roman" w:eastAsia="ＭＳ 明朝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CaptionThesis" w:customStyle="1">
    <w:name w:val="Caption Thesis"/>
    <w:qFormat/>
    <w:pPr>
      <w:keepNext w:val="true"/>
      <w:widowControl/>
      <w:bidi w:val="0"/>
      <w:spacing w:lineRule="auto" w:line="276" w:before="160" w:after="80"/>
      <w:ind w:hanging="0"/>
      <w:jc w:val="start"/>
    </w:pPr>
    <w:rPr>
      <w:rFonts w:ascii="Times New Roman" w:hAnsi="Times New Roman" w:eastAsia="ＭＳ 明朝" w:cs="" w:cstheme="minorBidi" w:eastAsiaTheme="minorEastAsia"/>
      <w:b/>
      <w:color w:val="auto"/>
      <w:kern w:val="0"/>
      <w:sz w:val="20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Anonymizováno pro účely experimentu</dc:creator>
  <dc:description>generated by python-docx</dc:description>
  <cp:keywords>ESG CSRD ESRS dokumentová analýza</cp:keywords>
  <dc:language>en-US</dc:language>
  <cp:lastModifiedBy>Anonymizováno</cp:lastModifiedBy>
  <dcterms:modified xsi:type="dcterms:W3CDTF">2013-12-23T23:15:00Z</dcterms:modified>
  <cp:revision>1</cp:revision>
  <dc:subject>Experimentální rukopis pro zaslepené odborné hodnocení</dc:subject>
  <dc:title>Pokyny pro nezávislé zaslepené hodnocení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