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Odtajnění produkčního procesu</w:t>
      </w:r>
    </w:p>
    <w:p>
      <w:pPr>
        <w:pStyle w:val="BlockQuote"/>
        <w:rPr/>
      </w:pPr>
      <w:r>
        <w:rPr/>
        <w:t>Tento dokument předat hodnotiteli až po uzavření známky, doporučení a původního odhadu autorství.</w:t>
      </w:r>
    </w:p>
    <w:p>
      <w:pPr>
        <w:pStyle w:val="Heading2"/>
        <w:keepNext w:val="true"/>
        <w:widowControl/>
        <w:ind w:hanging="0"/>
        <w:rPr/>
      </w:pPr>
      <w:r>
        <w:rPr/>
        <w:t>Co bylo testováno</w:t>
      </w:r>
    </w:p>
    <w:p>
      <w:pPr>
        <w:pStyle w:val="Normal"/>
        <w:widowControl/>
        <w:spacing w:lineRule="auto" w:line="360"/>
        <w:ind w:firstLine="709"/>
        <w:jc w:val="both"/>
        <w:rPr/>
      </w:pPr>
      <w:r>
        <w:rPr/>
        <w:t>Experiment testoval, zda současný velký jazykový model dokáže pod lidským zadáním vytvořit kompletní a formálně hodnotitelný rukopis diplomové práce, který: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vymezuje výzkumný problém a otázky;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pracuje s dohledatelnou akademickou a regulatorní literaturou;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používá skutečný, veřejně ověřitelný empirický korpus;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provádí transparentní kvalitativní analýzu;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odděluje firemní tvrzení, metriku, interpretaci a omezení;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vytváří výsledky, diskusi a závěr;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umožňuje nezávislou kontrolu každého klíčového tvrzení.</w:t>
      </w:r>
    </w:p>
    <w:p>
      <w:pPr>
        <w:pStyle w:val="Normal"/>
        <w:widowControl/>
        <w:spacing w:lineRule="auto" w:line="360"/>
        <w:ind w:firstLine="709"/>
        <w:jc w:val="both"/>
        <w:rPr/>
      </w:pPr>
      <w:r>
        <w:rPr/>
        <w:t>Nešlo o test, zda lze podvodně odevzdat práci za konkrétního studenta. Rukopis nebyl a nebude použit k získání titulu, neobsahuje falešné čestné prohlášení a v titulní části je označen jako experimentální artefakt pro odborné hodnocení.</w:t>
      </w:r>
    </w:p>
    <w:p>
      <w:pPr>
        <w:pStyle w:val="Heading2"/>
        <w:keepNext w:val="true"/>
        <w:widowControl/>
        <w:ind w:hanging="0"/>
        <w:rPr/>
      </w:pPr>
      <w:r>
        <w:rPr/>
        <w:t>Způsob vzniku</w:t>
      </w:r>
    </w:p>
    <w:p>
      <w:pPr>
        <w:pStyle w:val="Normal"/>
        <w:widowControl/>
        <w:spacing w:lineRule="auto" w:line="360"/>
        <w:ind w:firstLine="709"/>
        <w:jc w:val="both"/>
        <w:rPr/>
      </w:pPr>
      <w:r>
        <w:rPr/>
        <w:t xml:space="preserve">Obsahová produkce rukopisu, návrh metodiky, kódovacího rámce, extrakce důkazních segmentů, syntéza, formulace kapitol a kontrolní dokumentace byly provedeny prostřednictvím velkého jazykového modelu </w:t>
      </w:r>
      <w:r>
        <w:rPr>
          <w:b/>
        </w:rPr>
        <w:t>GPT-5.6 Pro</w:t>
      </w:r>
      <w:r>
        <w:rPr/>
        <w:t xml:space="preserve"> v rozhraní ChatGPT dne 1. září 2026.</w:t>
      </w:r>
    </w:p>
    <w:p>
      <w:pPr>
        <w:pStyle w:val="Normal"/>
        <w:widowControl/>
        <w:spacing w:lineRule="auto" w:line="360"/>
        <w:ind w:firstLine="709"/>
        <w:jc w:val="both"/>
        <w:rPr/>
      </w:pPr>
      <w:r>
        <w:rPr/>
        <w:t>Lidský iniciátor experimentu: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formuloval výzkumný cíl;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poskytl původní demonstrační repozitář;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rozhodl o účelu nezávislého hodnocení;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zajistil hodnotitele;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nenahrazoval v průběhu této verze autora odborných pasáží ani analytika jednotlivých segmentů.</w:t>
      </w:r>
    </w:p>
    <w:p>
      <w:pPr>
        <w:pStyle w:val="Normal"/>
        <w:widowControl/>
        <w:spacing w:lineRule="auto" w:line="360"/>
        <w:ind w:firstLine="709"/>
        <w:jc w:val="both"/>
        <w:rPr/>
      </w:pPr>
      <w:r>
        <w:rPr/>
        <w:t xml:space="preserve">Model měl přístup k soukromému GitHub repozitáři prostřednictvím konektoru a k veřejnému webu. Produkce probíhala po souborech na samostatné větvi </w:t>
      </w:r>
      <w:r>
        <w:rPr>
          <w:rFonts w:ascii="Liberation Mono" w:hAnsi="Liberation Mono"/>
          <w:sz w:val="20"/>
        </w:rPr>
        <w:t>experiment/complete-document-analysis</w:t>
      </w:r>
      <w:r>
        <w:rPr/>
        <w:t>.</w:t>
      </w:r>
    </w:p>
    <w:p>
      <w:pPr>
        <w:pStyle w:val="Heading2"/>
        <w:keepNext w:val="true"/>
        <w:widowControl/>
        <w:ind w:hanging="0"/>
        <w:rPr/>
      </w:pPr>
      <w:r>
        <w:rPr/>
        <w:t>Proč nebyly použity původní rozhovory</w:t>
      </w:r>
    </w:p>
    <w:p>
      <w:pPr>
        <w:pStyle w:val="Normal"/>
        <w:widowControl/>
        <w:spacing w:lineRule="auto" w:line="360"/>
        <w:ind w:firstLine="709"/>
        <w:jc w:val="both"/>
        <w:rPr/>
      </w:pPr>
      <w:r>
        <w:rPr/>
        <w:t>Výchozí demonstrační projekt obsahoval syntetické rozhovory. Ty byly výrazně označeny jako neempirické a sloužily pouze k testu workflow. Pro hodnotitelný rukopis nebyly použity jako výzkumná data.</w:t>
      </w:r>
    </w:p>
    <w:p>
      <w:pPr>
        <w:pStyle w:val="Normal"/>
        <w:widowControl/>
        <w:spacing w:lineRule="auto" w:line="360"/>
        <w:ind w:firstLine="709"/>
        <w:jc w:val="both"/>
        <w:rPr/>
      </w:pPr>
      <w:r>
        <w:rPr/>
        <w:t>Model změnil design na komparativní analýzu veřejných firemních dokumentů za rok 2024. Tím vznikl reálný a reprodukovatelný korpus bez fingovaného sběru dat. Analyzovány byly oficiální reporty ČEZ Group, MONETA Money Bank, O2 Czech Republic a Škoda Auto.</w:t>
      </w:r>
    </w:p>
    <w:p>
      <w:pPr>
        <w:pStyle w:val="Heading2"/>
        <w:keepNext w:val="true"/>
        <w:widowControl/>
        <w:ind w:hanging="0"/>
        <w:rPr/>
      </w:pPr>
      <w:r>
        <w:rPr/>
        <w:t>Zdrojová a analytická kontrola</w:t>
      </w:r>
    </w:p>
    <w:p>
      <w:pPr>
        <w:pStyle w:val="Normal"/>
        <w:widowControl/>
        <w:spacing w:lineRule="auto" w:line="360"/>
        <w:ind w:firstLine="709"/>
        <w:jc w:val="both"/>
        <w:rPr/>
      </w:pPr>
      <w:r>
        <w:rPr/>
        <w:t>Korpus obsahuje 45 klíčových segmentů. U každého je uloženo: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ID případu a dokumentu;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přesný lokátor;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neutrální parafráze;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tematické kódy;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evidenční třída E0–E4;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status tvrzení;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zamýšlené analytické použití;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omezení nebo alternativní výklad.</w:t>
      </w:r>
    </w:p>
    <w:p>
      <w:pPr>
        <w:pStyle w:val="Normal"/>
        <w:widowControl/>
        <w:spacing w:lineRule="auto" w:line="360"/>
        <w:ind w:firstLine="709"/>
        <w:jc w:val="both"/>
        <w:rPr/>
      </w:pPr>
      <w:r>
        <w:rPr/>
        <w:t xml:space="preserve">Každé hlavní tvrzení rukopisu je napojeno na </w:t>
      </w:r>
      <w:r>
        <w:rPr>
          <w:rFonts w:ascii="Liberation Mono" w:hAnsi="Liberation Mono"/>
          <w:sz w:val="20"/>
        </w:rPr>
        <w:t>audit/claim-evidence-ledger.csv</w:t>
      </w:r>
      <w:r>
        <w:rPr/>
        <w:t>. Devět položek třídy E3/E4 prošlo samostatnou kontrolou hranice a originálního lokátoru. Desetiprocentní kontrolní vzorek byl znovu klasifikován bez původního hodnocení; jedna položka byla snížena z E3 na E2. Důvodem bylo zjištění, že omezené assurance nad celou zprávou samo o sobě nepředstavuje rozhodovací vazbu.</w:t>
      </w:r>
    </w:p>
    <w:p>
      <w:pPr>
        <w:pStyle w:val="Heading2"/>
        <w:keepNext w:val="true"/>
        <w:widowControl/>
        <w:ind w:hanging="0"/>
        <w:rPr/>
      </w:pPr>
      <w:r>
        <w:rPr/>
        <w:t>Co kontrola zahrnovala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ověření DOI a bibliografických metadat;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práci s oficiálními firemními dokumenty;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práci s primárními právními prameny EUR-Lex a českou legislativou;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přesné stránkové nebo sekční lokátory;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negativní případy a proti-důkazy;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oddělení output, outcome a impact claimu;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oddělení assurance od hloubky manažerské integrace;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technickou kontrolu struktury, citací, tabulek a exportu.</w:t>
      </w:r>
    </w:p>
    <w:p>
      <w:pPr>
        <w:pStyle w:val="Heading2"/>
        <w:keepNext w:val="true"/>
        <w:widowControl/>
        <w:ind w:hanging="0"/>
        <w:rPr/>
      </w:pPr>
      <w:r>
        <w:rPr/>
        <w:t>Co kontrola nezahrnovala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přečtení všech citovaných akademických článků lidským odborníkem v plném textu;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nezávislé opakování kódování druhým lidským analytikem;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rozhovory se zaměstnanci, managementem, dodavateli nebo komunitami;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ověření interních investičních dokumentů a skutečné praxe v provozu;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skutečnou ústní obhajobu autorem-studentem;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posouzení práce oficiální komisí nebo její podání do STAG.</w:t>
      </w:r>
    </w:p>
    <w:p>
      <w:pPr>
        <w:pStyle w:val="Normal"/>
        <w:widowControl/>
        <w:spacing w:lineRule="auto" w:line="360"/>
        <w:ind w:firstLine="709"/>
        <w:jc w:val="both"/>
        <w:rPr/>
      </w:pPr>
      <w:r>
        <w:rPr/>
        <w:t>Tato omezení jsou podstatná. Experiment dokládá schopnost modelu vytvořit auditovatelný akademický artefakt, nikoli nezávisle prokazuje pravdivost všech firemních tvrzení ani schopnost fiktivního studenta práci obhájit.</w:t>
      </w:r>
    </w:p>
    <w:p>
      <w:pPr>
        <w:pStyle w:val="Heading2"/>
        <w:keepNext w:val="true"/>
        <w:widowControl/>
        <w:ind w:hanging="0"/>
        <w:rPr/>
      </w:pPr>
      <w:r>
        <w:rPr/>
        <w:t>Jak číst výsledek posudku</w:t>
      </w:r>
    </w:p>
    <w:p>
      <w:pPr>
        <w:pStyle w:val="Normal"/>
        <w:widowControl/>
        <w:spacing w:lineRule="auto" w:line="360"/>
        <w:ind w:firstLine="709"/>
        <w:jc w:val="both"/>
        <w:rPr/>
      </w:pPr>
      <w:r>
        <w:rPr/>
        <w:t>Vysoké hodnocení by ukazovalo, že samotný dokument může dosáhnout kvality, kterou zkušený hodnotitel považuje za obhajitelnou. Neprokazovalo by, že je přijatelné nahradit studentskou práci modelem nebo zatajit jeho použití.</w:t>
      </w:r>
    </w:p>
    <w:p>
      <w:pPr>
        <w:pStyle w:val="Normal"/>
        <w:widowControl/>
        <w:spacing w:lineRule="auto" w:line="360"/>
        <w:ind w:firstLine="709"/>
        <w:jc w:val="both"/>
        <w:rPr/>
      </w:pPr>
      <w:r>
        <w:rPr/>
        <w:t>Nízké hodnocení je třeba rozdělit podle příčin: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nedostatek teorie nebo zdrojů;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slabý či nevhodný design;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malý nebo selektivní korpus;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nedostatečná analýza;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stylistická uniformita či opakování;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chyby ve zdrojích;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absence skutečné obhajoby;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indicie strojového původu.</w:t>
      </w:r>
    </w:p>
    <w:p>
      <w:pPr>
        <w:pStyle w:val="Normal"/>
        <w:widowControl/>
        <w:spacing w:lineRule="auto" w:line="360"/>
        <w:ind w:firstLine="709"/>
        <w:jc w:val="both"/>
        <w:rPr/>
      </w:pPr>
      <w:r>
        <w:rPr/>
        <w:t>Největší vzdělávací hodnotu má konkrétní popis, které části obstály a které selhaly bez ohledu na původ textu.</w:t>
      </w:r>
    </w:p>
    <w:p>
      <w:pPr>
        <w:pStyle w:val="Heading2"/>
        <w:keepNext w:val="true"/>
        <w:widowControl/>
        <w:ind w:hanging="0"/>
        <w:rPr/>
      </w:pPr>
      <w:r>
        <w:rPr/>
        <w:t>Otázky pro reflexi hodnotitele</w:t>
      </w:r>
    </w:p>
    <w:p>
      <w:pPr>
        <w:pStyle w:val="Normal"/>
        <w:widowControl/>
        <w:spacing w:lineRule="auto" w:line="360" w:before="0" w:after="0"/>
        <w:ind w:hanging="255" w:start="425"/>
        <w:jc w:val="both"/>
        <w:rPr/>
      </w:pPr>
      <w:r>
        <w:rPr/>
        <w:t>1. Které části posudku by byly stejné, kdyby text napsal známý student?</w:t>
      </w:r>
    </w:p>
    <w:p>
      <w:pPr>
        <w:pStyle w:val="Normal"/>
        <w:widowControl/>
        <w:spacing w:lineRule="auto" w:line="360" w:before="0" w:after="0"/>
        <w:ind w:hanging="255" w:start="425"/>
        <w:jc w:val="both"/>
        <w:rPr/>
      </w:pPr>
      <w:r>
        <w:rPr/>
        <w:t>2. Které indicie vedly k odhadu původu a byly skutečně spolehlivé?</w:t>
      </w:r>
    </w:p>
    <w:p>
      <w:pPr>
        <w:pStyle w:val="Normal"/>
        <w:widowControl/>
        <w:spacing w:lineRule="auto" w:line="360" w:before="0" w:after="0"/>
        <w:ind w:hanging="255" w:start="425"/>
        <w:jc w:val="both"/>
        <w:rPr/>
      </w:pPr>
      <w:r>
        <w:rPr/>
        <w:t>3. Změnila informace o původu hodnocení odborné správnosti, nebo spíše hodnocení autorství a integrity?</w:t>
      </w:r>
    </w:p>
    <w:p>
      <w:pPr>
        <w:pStyle w:val="Normal"/>
        <w:widowControl/>
        <w:spacing w:lineRule="auto" w:line="360" w:before="0" w:after="0"/>
        <w:ind w:hanging="255" w:start="425"/>
        <w:jc w:val="both"/>
        <w:rPr/>
      </w:pPr>
      <w:r>
        <w:rPr/>
        <w:t>4. Které kompetence lze ověřit pouze při průběžném vedení, práci se zdrojem nebo ústní obhajobě?</w:t>
      </w:r>
    </w:p>
    <w:p>
      <w:pPr>
        <w:pStyle w:val="Normal"/>
        <w:widowControl/>
        <w:spacing w:lineRule="auto" w:line="360" w:before="0" w:after="0"/>
        <w:ind w:hanging="255" w:start="425"/>
        <w:jc w:val="both"/>
        <w:rPr/>
      </w:pPr>
      <w:r>
        <w:rPr/>
        <w:t>5. Co by měl vedoucí vyžadovat jako procesní důkaz vedle výsledného PDF?</w:t>
      </w:r>
    </w:p>
    <w:p>
      <w:pPr>
        <w:pStyle w:val="Heading2"/>
        <w:keepNext w:val="true"/>
        <w:widowControl/>
        <w:ind w:hanging="0"/>
        <w:rPr/>
      </w:pPr>
      <w:r>
        <w:rPr/>
        <w:t>Hlavní pedagogická teze experimentu</w:t>
      </w:r>
    </w:p>
    <w:p>
      <w:pPr>
        <w:pStyle w:val="Normal"/>
        <w:widowControl/>
        <w:spacing w:lineRule="auto" w:line="360"/>
        <w:ind w:firstLine="709"/>
        <w:jc w:val="both"/>
        <w:rPr/>
      </w:pPr>
      <w:r>
        <w:rPr/>
        <w:t>Hotový text již nelze považovat za dostatečný důkaz toho, kdo vykonal intelektuální práci a čemu autor rozumí. To neznamená rezignovat na kvalifikační práce. Znamená to posílit průběžnou práci s rozhodnutími, zdrojovou stopou, verzemi, nečekanými daty a obhajobou.</w:t>
      </w:r>
    </w:p>
    <w:sectPr>
      <w:type w:val="nextPage"/>
      <w:pgSz w:w="11906" w:h="16838"/>
      <w:pgMar w:left="1417" w:right="1417" w:gutter="0" w:header="0" w:top="1417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Liberation Mono">
    <w:altName w:val="Courier New"/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360" w:before="0" w:after="0"/>
      <w:ind w:firstLine="709"/>
      <w:jc w:val="both"/>
    </w:pPr>
    <w:rPr>
      <w:rFonts w:ascii="Times New Roman" w:hAnsi="Times New Roman" w:eastAsia="Times New Roman" w:cs="" w:cstheme="minorBidi"/>
      <w:color w:val="auto"/>
      <w:kern w:val="0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widowControl/>
      <w:spacing w:before="360" w:after="180"/>
      <w:ind w:hanging="0"/>
      <w:jc w:val="start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widowControl/>
      <w:spacing w:before="240" w:after="120"/>
      <w:ind w:hanging="0"/>
      <w:jc w:val="start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widowControl/>
      <w:spacing w:before="180" w:after="80"/>
      <w:ind w:hanging="0"/>
      <w:jc w:val="start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widowControl/>
      <w:pBdr>
        <w:bottom w:val="single" w:sz="8" w:space="4" w:color="4F81BD" w:themeColor="accent1"/>
      </w:pBdr>
      <w:spacing w:lineRule="auto" w:line="240" w:before="0" w:after="240"/>
      <w:contextualSpacing/>
    </w:pPr>
    <w:rPr>
      <w:rFonts w:ascii="Calibri" w:hAnsi="Calibri" w:eastAsia="ＭＳ ゴシック" w:cs="" w:asciiTheme="majorHAnsi" w:cstheme="majorBidi" w:eastAsiaTheme="majorEastAsia" w:hAnsiTheme="majorHAnsi"/>
      <w:b/>
      <w:color w:val="000000"/>
      <w:spacing w:val="5"/>
      <w:kern w:val="2"/>
      <w:sz w:val="36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widowControl/>
      <w:spacing w:before="0" w:after="160"/>
    </w:pPr>
    <w:rPr>
      <w:rFonts w:ascii="Calibri" w:hAnsi="Calibri" w:eastAsia="ＭＳ ゴシック" w:cs="" w:asciiTheme="majorHAnsi" w:cstheme="majorBidi" w:eastAsiaTheme="majorEastAsia" w:hAnsiTheme="majorHAnsi"/>
      <w:b w:val="false"/>
      <w:i/>
      <w:iCs/>
      <w:color w:val="000000"/>
      <w:spacing w:val="15"/>
      <w:sz w:val="26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BlockQuote" w:customStyle="1">
    <w:name w:val="Block Quote"/>
    <w:qFormat/>
    <w:pPr>
      <w:widowControl/>
      <w:bidi w:val="0"/>
      <w:spacing w:lineRule="auto" w:line="276" w:before="120" w:after="120"/>
      <w:ind w:hanging="0" w:start="567" w:end="283"/>
      <w:jc w:val="start"/>
    </w:pPr>
    <w:rPr>
      <w:rFonts w:ascii="Times New Roman" w:hAnsi="Times New Roman" w:eastAsia="ＭＳ 明朝" w:cs="" w:cstheme="minorBidi" w:eastAsiaTheme="minorEastAsia"/>
      <w:i/>
      <w:color w:val="auto"/>
      <w:kern w:val="0"/>
      <w:sz w:val="22"/>
      <w:szCs w:val="22"/>
      <w:lang w:val="en-US" w:eastAsia="en-US" w:bidi="ar-SA"/>
    </w:rPr>
  </w:style>
  <w:style w:type="paragraph" w:styleId="Reference" w:customStyle="1">
    <w:name w:val="Reference"/>
    <w:qFormat/>
    <w:pPr>
      <w:widowControl/>
      <w:bidi w:val="0"/>
      <w:spacing w:lineRule="auto" w:line="240" w:before="0" w:after="100"/>
      <w:ind w:hanging="425" w:start="425"/>
      <w:jc w:val="start"/>
    </w:pPr>
    <w:rPr>
      <w:rFonts w:ascii="Times New Roman" w:hAnsi="Times New Roman" w:eastAsia="ＭＳ 明朝" w:cs="" w:cstheme="minorBidi" w:eastAsiaTheme="minorEastAsia"/>
      <w:color w:val="auto"/>
      <w:kern w:val="0"/>
      <w:sz w:val="22"/>
      <w:szCs w:val="22"/>
      <w:lang w:val="en-US" w:eastAsia="en-US" w:bidi="ar-SA"/>
    </w:rPr>
  </w:style>
  <w:style w:type="paragraph" w:styleId="CaptionThesis" w:customStyle="1">
    <w:name w:val="Caption Thesis"/>
    <w:qFormat/>
    <w:pPr>
      <w:keepNext w:val="true"/>
      <w:widowControl/>
      <w:bidi w:val="0"/>
      <w:spacing w:lineRule="auto" w:line="276" w:before="160" w:after="80"/>
      <w:ind w:hanging="0"/>
      <w:jc w:val="start"/>
    </w:pPr>
    <w:rPr>
      <w:rFonts w:ascii="Times New Roman" w:hAnsi="Times New Roman" w:eastAsia="ＭＳ 明朝" w:cs="" w:cstheme="minorBidi" w:eastAsiaTheme="minorEastAsia"/>
      <w:b/>
      <w:color w:val="auto"/>
      <w:kern w:val="0"/>
      <w:sz w:val="20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Anonymizováno pro účely experimentu</dc:creator>
  <dc:description>generated by python-docx</dc:description>
  <cp:keywords>ESG CSRD ESRS dokumentová analýza</cp:keywords>
  <dc:language>en-US</dc:language>
  <cp:lastModifiedBy>Anonymizováno</cp:lastModifiedBy>
  <dcterms:modified xsi:type="dcterms:W3CDTF">2013-12-23T23:15:00Z</dcterms:modified>
  <cp:revision>1</cp:revision>
  <dc:subject>Experimentální rukopis pro zaslepené odborné hodnocení</dc:subject>
  <dc:title>Odtajnění produkčního procesu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