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864"/>
          <w:sz w:val="48"/>
        </w:rPr>
        <w:t>COVENTRY UNIVERSITY</w:t>
      </w:r>
    </w:p>
    <w:p>
      <w:pPr>
        <w:jc w:val="center"/>
      </w:pPr>
      <w:r>
        <w:rPr>
          <w:color w:val="333333"/>
          <w:sz w:val="28"/>
        </w:rPr>
        <w:t>School of Computing, Mathematics and Data Sciences</w:t>
      </w:r>
    </w:p>
    <w:p/>
    <w:p>
      <w:pPr>
        <w:jc w:val="center"/>
      </w:pPr>
      <w:r>
        <w:rPr>
          <w:b/>
          <w:sz w:val="32"/>
        </w:rPr>
        <w:t>ST7071CEM — Information Retrieval</w:t>
      </w:r>
    </w:p>
    <w:p/>
    <w:p>
      <w:pPr>
        <w:jc w:val="center"/>
      </w:pPr>
      <w:r>
        <w:rPr>
          <w:b/>
          <w:color w:val="1F3864"/>
          <w:sz w:val="28"/>
        </w:rPr>
        <w:t>March Intake 2026</w:t>
        <w:br/>
        <w:t>Coursework CW (Regular)</w:t>
      </w:r>
    </w:p>
    <w:p/>
    <w:p>
      <w:pPr>
        <w:jc w:val="center"/>
      </w:pPr>
      <w:r>
        <w:rPr>
          <w:sz w:val="24"/>
        </w:rPr>
        <w:t>Vertical Search Engine &amp; Document Clustering System</w:t>
      </w:r>
    </w:p>
    <w:p/>
    <w:p/>
    <w:p/>
    <w:p>
      <w:pPr>
        <w:jc w:val="center"/>
      </w:pPr>
      <w:r>
        <w:rPr>
          <w:b/>
          <w:sz w:val="24"/>
        </w:rPr>
        <w:t xml:space="preserve">Student Name:  </w:t>
      </w:r>
      <w:r>
        <w:rPr>
          <w:sz w:val="24"/>
        </w:rPr>
        <w:t>Rohit Jha</w:t>
      </w:r>
    </w:p>
    <w:p>
      <w:pPr>
        <w:jc w:val="center"/>
      </w:pPr>
      <w:r>
        <w:rPr>
          <w:b/>
          <w:sz w:val="24"/>
        </w:rPr>
        <w:t xml:space="preserve">Student ID:  </w:t>
      </w:r>
      <w:r>
        <w:rPr>
          <w:sz w:val="24"/>
        </w:rPr>
        <w:t>11782276</w:t>
      </w:r>
    </w:p>
    <w:p>
      <w:pPr>
        <w:jc w:val="center"/>
      </w:pPr>
      <w:r>
        <w:rPr>
          <w:b/>
          <w:sz w:val="24"/>
        </w:rPr>
        <w:t xml:space="preserve">Programme:  </w:t>
      </w:r>
      <w:r>
        <w:rPr>
          <w:sz w:val="24"/>
        </w:rPr>
        <w:t>MSc Data Science</w:t>
      </w:r>
    </w:p>
    <w:p>
      <w:pPr>
        <w:jc w:val="center"/>
      </w:pPr>
      <w:r>
        <w:rPr>
          <w:b/>
          <w:sz w:val="24"/>
        </w:rPr>
        <w:t xml:space="preserve">Academic Year:  </w:t>
      </w:r>
      <w:r>
        <w:rPr>
          <w:sz w:val="24"/>
        </w:rPr>
        <w:t>2025/2026</w:t>
      </w:r>
    </w:p>
    <w:p>
      <w:pPr>
        <w:jc w:val="center"/>
      </w:pPr>
      <w:r>
        <w:rPr>
          <w:b/>
          <w:sz w:val="24"/>
        </w:rPr>
        <w:t xml:space="preserve">Module Code:  </w:t>
      </w:r>
      <w:r>
        <w:rPr>
          <w:sz w:val="24"/>
        </w:rPr>
        <w:t>ST7071CEM</w:t>
      </w:r>
    </w:p>
    <w:p>
      <w:r>
        <w:br w:type="page"/>
      </w:r>
    </w:p>
    <w:p>
      <w:pPr>
        <w:pStyle w:val="Heading1"/>
      </w:pPr>
      <w:r>
        <w:t>Table of Contents</w:t>
      </w:r>
    </w:p>
    <w:p>
      <w:r/>
      <w:r>
        <w:fldChar w:fldCharType="begin"/>
      </w:r>
      <w:r>
        <w:instrText xml:space="preserve"> TOC \o "1-3" \h \z \u </w:instrText>
      </w:r>
      <w:r>
        <w:fldChar w:fldCharType="separate"/>
      </w:r>
      <w:r>
        <w:t>[Right-click and select "Update Field"]</w:t>
      </w:r>
      <w:r>
        <w:fldChar w:fldCharType="end"/>
      </w:r>
    </w:p>
    <w:p>
      <w:r>
        <w:br w:type="page"/>
      </w:r>
    </w:p>
    <w:p>
      <w:pPr>
        <w:pStyle w:val="Heading1"/>
      </w:pPr>
      <w:r>
        <w:t>List of Figures</w:t>
      </w:r>
    </w:p>
    <w:p>
      <w:r/>
      <w:r>
        <w:fldChar w:fldCharType="begin"/>
      </w:r>
      <w:r>
        <w:instrText xml:space="preserve"> TOC \h \z \c "Figure" </w:instrText>
      </w:r>
      <w:r>
        <w:fldChar w:fldCharType="separate"/>
      </w:r>
      <w:r>
        <w:t>[Right-click and select "Update Field"]</w:t>
      </w:r>
      <w:r>
        <w:fldChar w:fldCharType="end"/>
      </w:r>
    </w:p>
    <w:p>
      <w:r>
        <w:br w:type="page"/>
      </w:r>
    </w:p>
    <w:p>
      <w:pPr>
        <w:pStyle w:val="Heading1"/>
      </w:pPr>
      <w:r>
        <w:t>1. Introduction</w:t>
      </w:r>
    </w:p>
    <w:p>
      <w:r>
        <w:t>Information Retrieval (IR) is the discipline concerned with the representation, storage, organisation, and provision of access to information items. The fundamental objective of an IR system is to satisfy a user's information need by locating and ranking documents according to their estimated relevance to a given query. Modern search engines — from web-scale systems such as Google to specialised academic repositories such as Google Scholar — are practical instantiations of IR principles.</w:t>
      </w:r>
    </w:p>
    <w:p>
      <w:r>
        <w:t>This project establishes a comprehensive information retrieval solution comprising two distinct but complementary tasks. The first task is the development of a vertical search engine that is comparable to Google Scholar, but strictly specialised in retrieving publications authored by members of Coventry University's Centre for Healthcare and Community Transformation. Vertical search engines focus their crawling and indexing scope on a specific domain, allowing for higher precision and the exploitation of domain-specific metadata. This component crawls the Coventry University PurePortal, gathers profiles and publications, processes the text, and provides a Vector Space Model (VSM) using TF-IDF and cosine similarity to rank search results.</w:t>
      </w:r>
    </w:p>
    <w:p>
      <w:r>
        <w:t>The second task complements the retrieval system by implementing a document clustering and classification system. Document clustering is an unsupervised machine learning technique that groups a collection of documents into clusters based on content similarity. Using the established BBC News dataset, this component processes text into TF-IDF vectors and applies K-Means clustering (K=3) to automatically categorise documents into Economics, Entertainment, and Politics. A trained classifier allows users to submit new documents and assigns them to the appropriate cluster based on Euclidean distance.</w:t>
      </w:r>
    </w:p>
    <w:p>
      <w:r>
        <w:t>Both systems are fully integrated into a unified Graphical User Interface (GUI) built with modern web technologies, providing a seamless experience for searching academic literature and classifying news documents. The following sections detail the implementation of the individual components that make up this architecture, including the crawler, indexer, query processor, and classification models.</w:t>
      </w:r>
    </w:p>
    <w:p>
      <w:r>
        <w:br w:type="page"/>
      </w:r>
    </w:p>
    <w:p>
      <w:pPr>
        <w:pStyle w:val="Heading1"/>
      </w:pPr>
      <w:r>
        <w:t>2. Conceptual Architecture</w:t>
      </w:r>
    </w:p>
    <w:p>
      <w:pPr>
        <w:jc w:val="center"/>
      </w:pPr>
      <w:r>
        <w:drawing>
          <wp:inline xmlns:a="http://schemas.openxmlformats.org/drawingml/2006/main" xmlns:pic="http://schemas.openxmlformats.org/drawingml/2006/picture">
            <wp:extent cx="4572000" cy="9144000"/>
            <wp:docPr id="1" name="Picture 1"/>
            <wp:cNvGraphicFramePr>
              <a:graphicFrameLocks noChangeAspect="1"/>
            </wp:cNvGraphicFramePr>
            <a:graphic>
              <a:graphicData uri="http://schemas.openxmlformats.org/drawingml/2006/picture">
                <pic:pic>
                  <pic:nvPicPr>
                    <pic:cNvPr id="0" name="figure_01_task1_conceptual_architecture.png"/>
                    <pic:cNvPicPr/>
                  </pic:nvPicPr>
                  <pic:blipFill>
                    <a:blip r:embed="rId9"/>
                    <a:stretch>
                      <a:fillRect/>
                    </a:stretch>
                  </pic:blipFill>
                  <pic:spPr>
                    <a:xfrm>
                      <a:off x="0" y="0"/>
                      <a:ext cx="4572000" cy="9144000"/>
                    </a:xfrm>
                    <a:prstGeom prst="rect"/>
                  </pic:spPr>
                </pic:pic>
              </a:graphicData>
            </a:graphic>
          </wp:inline>
        </w:drawing>
      </w:r>
    </w:p>
    <w:p>
      <w:pPr>
        <w:pStyle w:val="Caption"/>
        <w:jc w:val="center"/>
      </w:pPr>
      <w:r>
        <w:t>Figure 1. IR Architecture: Vertical Search Engine Pipeline.</w:t>
      </w:r>
    </w:p>
    <w:p>
      <w:r>
        <w:t>The vertical search engine pipeline begins at the PurePortal seed URL, where a polite web crawler discovers research-output and academic-profile pages. Extracted metadata is persisted to a MongoDB database. The stored content undergoes text preprocessing, followed by TF-IDF vectorisation to form the Vector Space Model index. User queries are preprocessed similarly and compared against the index using cosine similarity. The results are returned via a REST API to the frontend interface.</w:t>
      </w:r>
    </w:p>
    <w:p>
      <w:pPr>
        <w:jc w:val="center"/>
      </w:pPr>
      <w:r>
        <w:drawing>
          <wp:inline xmlns:a="http://schemas.openxmlformats.org/drawingml/2006/main" xmlns:pic="http://schemas.openxmlformats.org/drawingml/2006/picture">
            <wp:extent cx="4572000" cy="9144000"/>
            <wp:docPr id="2" name="Picture 2"/>
            <wp:cNvGraphicFramePr>
              <a:graphicFrameLocks noChangeAspect="1"/>
            </wp:cNvGraphicFramePr>
            <a:graphic>
              <a:graphicData uri="http://schemas.openxmlformats.org/drawingml/2006/picture">
                <pic:pic>
                  <pic:nvPicPr>
                    <pic:cNvPr id="0" name="figure_02_task2_conceptual_architecture.png"/>
                    <pic:cNvPicPr/>
                  </pic:nvPicPr>
                  <pic:blipFill>
                    <a:blip r:embed="rId10"/>
                    <a:stretch>
                      <a:fillRect/>
                    </a:stretch>
                  </pic:blipFill>
                  <pic:spPr>
                    <a:xfrm>
                      <a:off x="0" y="0"/>
                      <a:ext cx="4572000" cy="9144000"/>
                    </a:xfrm>
                    <a:prstGeom prst="rect"/>
                  </pic:spPr>
                </pic:pic>
              </a:graphicData>
            </a:graphic>
          </wp:inline>
        </w:drawing>
      </w:r>
    </w:p>
    <w:p>
      <w:pPr>
        <w:pStyle w:val="Caption"/>
        <w:jc w:val="center"/>
      </w:pPr>
      <w:r>
        <w:t>Figure 2. Document Clustering Pipeline.</w:t>
      </w:r>
    </w:p>
    <w:p>
      <w:r>
        <w:t>The document clustering pipeline processes the BBC News dataset through comprehensive preprocessing (including stemming) to construct a TF-IDF matrix. K-Means clustering (K=3) groups the documents, and cluster IDs are mapped to category labels (Economics, Entertainment, Politics) using majority voting. The trained model classifies new user documents by calculating the distance to the established centroids.</w:t>
      </w:r>
    </w:p>
    <w:p>
      <w:r>
        <w:br w:type="page"/>
      </w:r>
    </w:p>
    <w:p>
      <w:pPr>
        <w:pStyle w:val="Heading1"/>
      </w:pPr>
      <w:r>
        <w:t>3. Crawler Component</w:t>
      </w:r>
    </w:p>
    <w:p>
      <w:r>
        <w:t>A web crawler, often known as a spider, is a software script that browses the internet in a systematic manner to identify and index web pages. In this system, the crawler component is specifically designed to target the Coventry University PurePortal. It is a focused crawler that begins its traversal at the Centre for Healthcare and Community Transformation seed page.</w:t>
      </w:r>
    </w:p>
    <w:p>
      <w:r>
        <w:t>The crawler implements a breadth-first search (BFS) strategy. It identifies links to individual research outputs and academic profiles, verifying that the target page belongs to the correct department before extraction. The script utilizes the requests and BeautifulSoup libraries to fetch and parse HTML content.</w:t>
      </w:r>
    </w:p>
    <w:p>
      <w:r>
        <w:t>To ensure ethical and responsible crawling, the component rigorously adheres to the rules specified in the robots.txt file of the target domain. It utilizes Python's RobotFileParser to verify whether a URL path is permissible. Furthermore, a strict crawl delay of 5 seconds is enforced between consecutive requests to the same host, preventing the crawler from overwhelming the university's servers.</w:t>
      </w:r>
    </w:p>
    <w:p>
      <w:pPr>
        <w:jc w:val="center"/>
      </w:pPr>
      <w:r>
        <w:drawing>
          <wp:inline xmlns:a="http://schemas.openxmlformats.org/drawingml/2006/main" xmlns:pic="http://schemas.openxmlformats.org/drawingml/2006/picture">
            <wp:extent cx="5029200" cy="1833828"/>
            <wp:docPr id="3" name="Picture 3"/>
            <wp:cNvGraphicFramePr>
              <a:graphicFrameLocks noChangeAspect="1"/>
            </wp:cNvGraphicFramePr>
            <a:graphic>
              <a:graphicData uri="http://schemas.openxmlformats.org/drawingml/2006/picture">
                <pic:pic>
                  <pic:nvPicPr>
                    <pic:cNvPr id="0" name="term_task1_crawl.png"/>
                    <pic:cNvPicPr/>
                  </pic:nvPicPr>
                  <pic:blipFill>
                    <a:blip r:embed="rId11"/>
                    <a:stretch>
                      <a:fillRect/>
                    </a:stretch>
                  </pic:blipFill>
                  <pic:spPr>
                    <a:xfrm>
                      <a:off x="0" y="0"/>
                      <a:ext cx="5029200" cy="1833828"/>
                    </a:xfrm>
                    <a:prstGeom prst="rect"/>
                  </pic:spPr>
                </pic:pic>
              </a:graphicData>
            </a:graphic>
          </wp:inline>
        </w:drawing>
      </w:r>
    </w:p>
    <w:p>
      <w:pPr>
        <w:pStyle w:val="Caption"/>
        <w:jc w:val="center"/>
      </w:pPr>
      <w:r>
        <w:t>Figure 3. Terminal output of the crawler execution.</w:t>
      </w:r>
    </w:p>
    <w:p>
      <w:r>
        <w:t>The execution logs confirm that the crawler correctly traverses the pages, extracts the relevant publication and author information, and successfully processes the records without generating HTTP 429 (Too Many Requests) errors.</w:t>
      </w:r>
    </w:p>
    <w:p>
      <w:pPr>
        <w:pStyle w:val="Heading2"/>
      </w:pPr>
      <w:r>
        <w:t>3.1 Automated Scheduling</w:t>
      </w:r>
    </w:p>
    <w:p>
      <w:r>
        <w:t>To ensure the search index remains up-to-date with newly published research, the crawler incorporates an automated scheduling component using the APScheduler library. The schedule is configured to execute a full crawl every three months, running entirely in the background. This interval strikes a balance between maintaining an updated repository and minimizing unnecessary network traffic for data that updates infrequently.</w:t>
      </w:r>
    </w:p>
    <w:p>
      <w:r>
        <w:br w:type="page"/>
      </w:r>
    </w:p>
    <w:p>
      <w:pPr>
        <w:pStyle w:val="Heading1"/>
      </w:pPr>
      <w:r>
        <w:t>4. Database &amp; Storage Component</w:t>
      </w:r>
    </w:p>
    <w:p>
      <w:r>
        <w:t>Once data is scraped by the crawler, it must be durably stored for indexing. The system utilizes MongoDB Atlas, a NoSQL document database, which is highly suited for the flexible schema requirements of scraped web data. Research outputs can have varying numbers of authors, missing abstracts, or different publication formats, making MongoDB's JSON-like document structure ideal.</w:t>
      </w:r>
    </w:p>
    <w:p>
      <w:r>
        <w:t>The database maintains separate collections for research_outputs, profiles, and crawl_logs. To prevent data duplication during subsequent crawls, unique indexes are enforced on the document URLs. When the crawler encounters an existing URL, it performs an 'upsert' operation, updating the existing record rather than creating a duplicate entry.</w:t>
      </w:r>
    </w:p>
    <w:p>
      <w:pPr>
        <w:jc w:val="center"/>
      </w:pPr>
      <w:r>
        <w:drawing>
          <wp:inline xmlns:a="http://schemas.openxmlformats.org/drawingml/2006/main" xmlns:pic="http://schemas.openxmlformats.org/drawingml/2006/picture">
            <wp:extent cx="4572000" cy="2857500"/>
            <wp:docPr id="4" name="Picture 4"/>
            <wp:cNvGraphicFramePr>
              <a:graphicFrameLocks noChangeAspect="1"/>
            </wp:cNvGraphicFramePr>
            <a:graphic>
              <a:graphicData uri="http://schemas.openxmlformats.org/drawingml/2006/picture">
                <pic:pic>
                  <pic:nvPicPr>
                    <pic:cNvPr id="0" name="new_02_crawler_status.png"/>
                    <pic:cNvPicPr/>
                  </pic:nvPicPr>
                  <pic:blipFill>
                    <a:blip r:embed="rId12"/>
                    <a:stretch>
                      <a:fillRect/>
                    </a:stretch>
                  </pic:blipFill>
                  <pic:spPr>
                    <a:xfrm>
                      <a:off x="0" y="0"/>
                      <a:ext cx="4572000" cy="2857500"/>
                    </a:xfrm>
                    <a:prstGeom prst="rect"/>
                  </pic:spPr>
                </pic:pic>
              </a:graphicData>
            </a:graphic>
          </wp:inline>
        </w:drawing>
      </w:r>
    </w:p>
    <w:p>
      <w:pPr>
        <w:pStyle w:val="Caption"/>
        <w:jc w:val="center"/>
      </w:pPr>
      <w:r>
        <w:t>Figure 4. Database storage status showing indexed documents.</w:t>
      </w:r>
    </w:p>
    <w:p>
      <w:r>
        <w:br w:type="page"/>
      </w:r>
    </w:p>
    <w:p>
      <w:pPr>
        <w:pStyle w:val="Heading1"/>
      </w:pPr>
      <w:r>
        <w:t>5. Text Preprocessing Component</w:t>
      </w:r>
    </w:p>
    <w:p>
      <w:r>
        <w:t>Raw text extracted from web pages contains noise that degrades the quality of an information retrieval system. The preprocessing component standardises the text before it is passed to the indexing component. The pipeline executes the following steps on both the stored documents and incoming user queries:</w:t>
      </w:r>
    </w:p>
    <w:p>
      <w:r>
        <w:t>1. Lowercasing: All characters are converted to lowercase to ensure case-insensitive matching.</w:t>
      </w:r>
    </w:p>
    <w:p>
      <w:r>
        <w:t>2. Tokenisation: The text is split into discrete alphanumeric tokens, simultaneously removing punctuation and special characters.</w:t>
      </w:r>
    </w:p>
    <w:p>
      <w:r>
        <w:t>3. Stop-word removal: High-frequency, low-semantic-value words (e.g., 'the', 'is', 'and') are filtered out using standard English stop-word lists.</w:t>
      </w:r>
    </w:p>
    <w:p>
      <w:r>
        <w:t>For the vertical search engine (Task 1), the preprocessing intentionally stops here. Stemming and lemmatisation are omitted because the search engine must support precise author name retrieval (e.g., 'Deborah Lycett'). Aggressive stemming alters proper nouns and degrades the precision of these targeted searches.</w:t>
      </w:r>
    </w:p>
    <w:p>
      <w:r>
        <w:br w:type="page"/>
      </w:r>
    </w:p>
    <w:p>
      <w:pPr>
        <w:pStyle w:val="Heading1"/>
      </w:pPr>
      <w:r>
        <w:t>6. Indexing Component &amp; Vector Space Model</w:t>
      </w:r>
    </w:p>
    <w:p>
      <w:r>
        <w:t>The core of the retrieval system is the Vector Space Model (VSM), where documents are represented as mathematical vectors in a multidimensional space. The indexing component transforms the preprocessed text from the MongoDB database into this format.</w:t>
      </w:r>
    </w:p>
    <w:p>
      <w:r>
        <w:t>The implementation utilizes Term Frequency-Inverse Document Frequency (TF-IDF) weighting via the scikit-learn library. TF-IDF evaluates how relevant a word is to a document in a collection. It increases proportionally to the number of times a word appears in the document but is offset by the number of documents that contain the word, thereby adjusting for the fact that some words appear more frequently in general.</w:t>
      </w:r>
    </w:p>
    <w:p>
      <w:r>
        <w:t>The index construction creates a sparse matrix where each row represents a research output and each column represents a unique term in the vocabulary. The resulting TF-IDF matrix for the vertical search engine encompasses 2,154 unique vocabulary terms across the indexed publications.</w:t>
      </w:r>
    </w:p>
    <w:p>
      <w:r>
        <w:br w:type="page"/>
      </w:r>
    </w:p>
    <w:p>
      <w:pPr>
        <w:pStyle w:val="Heading1"/>
      </w:pPr>
      <w:r>
        <w:t>7. Query Processor &amp; Relevance Ranking</w:t>
      </w:r>
    </w:p>
    <w:p>
      <w:r>
        <w:t>When a user submits a search, the query processor reads the input and prepares it for matching against the indexed data. The query string undergoes the exact same preprocessing pipeline as the documents (lowercasing, tokenisation, stop-word removal) and is then transformed into a TF-IDF vector using the previously fitted vocabulary.</w:t>
      </w:r>
    </w:p>
    <w:p>
      <w:r>
        <w:t>Relevance ranking is performed by calculating the cosine similarity between the query vector and every document vector in the index. Cosine similarity measures the cosine of the angle between two vectors, resulting in a score between 0 (no shared terms) and 1 (identical representation).</w:t>
      </w:r>
    </w:p>
    <w:p>
      <w:r>
        <w:t>The search function sorts the documents in descending order based on this score, filtering out any documents with a score of zero. The API enforces pagination by slicing the ranked list to return the top K = 10 results per page, minimizing payload size and improving frontend rendering speeds.</w:t>
      </w:r>
    </w:p>
    <w:p>
      <w:r>
        <w:br w:type="page"/>
      </w:r>
    </w:p>
    <w:p>
      <w:pPr>
        <w:pStyle w:val="Heading1"/>
      </w:pPr>
      <w:r>
        <w:t>8. Graphical User Interface (GUI)</w:t>
      </w:r>
    </w:p>
    <w:p>
      <w:r>
        <w:t>A graphical user interface (GUI) has been implemented to allow users to interact with the search engine without requiring command-line knowledge. The frontend is built as a web application that communicates asynchronously with the Python REST APIs.</w:t>
      </w:r>
    </w:p>
    <w:p>
      <w:pPr>
        <w:jc w:val="center"/>
      </w:pPr>
      <w:r>
        <w:drawing>
          <wp:inline xmlns:a="http://schemas.openxmlformats.org/drawingml/2006/main" xmlns:pic="http://schemas.openxmlformats.org/drawingml/2006/picture">
            <wp:extent cx="5029200" cy="2454344"/>
            <wp:docPr id="5" name="Picture 5"/>
            <wp:cNvGraphicFramePr>
              <a:graphicFrameLocks noChangeAspect="1"/>
            </wp:cNvGraphicFramePr>
            <a:graphic>
              <a:graphicData uri="http://schemas.openxmlformats.org/drawingml/2006/picture">
                <pic:pic>
                  <pic:nvPicPr>
                    <pic:cNvPr id="0" name="01_unified_search_home.png"/>
                    <pic:cNvPicPr/>
                  </pic:nvPicPr>
                  <pic:blipFill>
                    <a:blip r:embed="rId13"/>
                    <a:stretch>
                      <a:fillRect/>
                    </a:stretch>
                  </pic:blipFill>
                  <pic:spPr>
                    <a:xfrm>
                      <a:off x="0" y="0"/>
                      <a:ext cx="5029200" cy="2454344"/>
                    </a:xfrm>
                    <a:prstGeom prst="rect"/>
                  </pic:spPr>
                </pic:pic>
              </a:graphicData>
            </a:graphic>
          </wp:inline>
        </w:drawing>
      </w:r>
    </w:p>
    <w:p>
      <w:pPr>
        <w:pStyle w:val="Caption"/>
        <w:jc w:val="center"/>
      </w:pPr>
      <w:r>
        <w:t>Figure 5. Vertical Search Engine GUI.</w:t>
      </w:r>
    </w:p>
    <w:p>
      <w:r>
        <w:t>The interface provides a clean, prominent search bar with placeholder text and clickable auto-suggestions. When a search is executed, the results are presented as clearly formatted cards. Each result displays the publication title, the authors (with clickable links routing back to the original PurePortal profiles), the publication date, and the calculated cosine similarity score. Pagination controls at the bottom of the screen allow users to navigate through large result sets.</w:t>
      </w:r>
    </w:p>
    <w:p>
      <w:pPr>
        <w:jc w:val="center"/>
      </w:pPr>
      <w:r>
        <w:drawing>
          <wp:inline xmlns:a="http://schemas.openxmlformats.org/drawingml/2006/main" xmlns:pic="http://schemas.openxmlformats.org/drawingml/2006/picture">
            <wp:extent cx="5029200" cy="2454344"/>
            <wp:docPr id="6" name="Picture 6"/>
            <wp:cNvGraphicFramePr>
              <a:graphicFrameLocks noChangeAspect="1"/>
            </wp:cNvGraphicFramePr>
            <a:graphic>
              <a:graphicData uri="http://schemas.openxmlformats.org/drawingml/2006/picture">
                <pic:pic>
                  <pic:nvPicPr>
                    <pic:cNvPr id="0" name="02_unified_search_results.png"/>
                    <pic:cNvPicPr/>
                  </pic:nvPicPr>
                  <pic:blipFill>
                    <a:blip r:embed="rId14"/>
                    <a:stretch>
                      <a:fillRect/>
                    </a:stretch>
                  </pic:blipFill>
                  <pic:spPr>
                    <a:xfrm>
                      <a:off x="0" y="0"/>
                      <a:ext cx="5029200" cy="2454344"/>
                    </a:xfrm>
                    <a:prstGeom prst="rect"/>
                  </pic:spPr>
                </pic:pic>
              </a:graphicData>
            </a:graphic>
          </wp:inline>
        </w:drawing>
      </w:r>
    </w:p>
    <w:p>
      <w:pPr>
        <w:pStyle w:val="Caption"/>
        <w:jc w:val="center"/>
      </w:pPr>
      <w:r>
        <w:t>Figure 6. Search results displaying cosine similarity rankings.</w:t>
      </w:r>
    </w:p>
    <w:p>
      <w:r>
        <w:br w:type="page"/>
      </w:r>
    </w:p>
    <w:p>
      <w:pPr>
        <w:pStyle w:val="Heading1"/>
      </w:pPr>
      <w:r>
        <w:t>9. Document Classifier Component</w:t>
      </w:r>
    </w:p>
    <w:p>
      <w:r>
        <w:t>The second phase of the assignment involves clustering and classifying documents using unsupervised machine learning. While the retrieval system finds documents based on a query, the classifier groups documents based on their inherent topical similarity.</w:t>
      </w:r>
    </w:p>
    <w:p>
      <w:pPr>
        <w:pStyle w:val="Heading2"/>
      </w:pPr>
      <w:r>
        <w:t>9.1 Dataset Preparation</w:t>
      </w:r>
    </w:p>
    <w:p>
      <w:r>
        <w:t>The system utilizes the Greene and Cunningham (2006) BBC News full-text dataset. To meet the classification objectives, the corpus is filtered to three specific categories: Economics (mapped from 'business'), Entertainment, and Politics. Exactly 180 documents are loaded for each category, yielding a balanced dataset of 540 documents. This significantly exceeds the minimum requirement of 150 documents per category.</w:t>
      </w:r>
    </w:p>
    <w:p>
      <w:pPr>
        <w:pStyle w:val="Heading2"/>
      </w:pPr>
      <w:r>
        <w:t>9.2 Text Preprocessing (Stemming)</w:t>
      </w:r>
    </w:p>
    <w:p>
      <w:r>
        <w:t>Unlike the search engine, the classifier's preprocessing pipeline includes Porter Stemming. Provided by the NLTK library, the stemmer reduces words to their root forms (e.g., 'economic', 'economy', 'economics' all become 'econom'). This aggressive normalization is crucial for clustering, as it dramatically reduces the dimensionality of the vocabulary and consolidates topical features.</w:t>
      </w:r>
    </w:p>
    <w:p>
      <w:pPr>
        <w:pStyle w:val="Heading2"/>
      </w:pPr>
      <w:r>
        <w:t>9.3 K-Means Clustering Model</w:t>
      </w:r>
    </w:p>
    <w:p>
      <w:r>
        <w:t>The preprocessed dataset is vectorized using TF-IDF, producing a 540 × 6,072 dimensional matrix. K-Means clustering is then applied with K = 3. The algorithm iteratively minimizes the variance within clusters by assigning documents to the nearest centroid. Once converged, the integer cluster IDs (0, 1, 2) are mapped to the human-readable category names (Economics, Entertainment, Politics) using majority voting against the ground-truth labels.</w:t>
      </w:r>
    </w:p>
    <w:p>
      <w:pPr>
        <w:jc w:val="center"/>
      </w:pPr>
      <w:r>
        <w:drawing>
          <wp:inline xmlns:a="http://schemas.openxmlformats.org/drawingml/2006/main" xmlns:pic="http://schemas.openxmlformats.org/drawingml/2006/picture">
            <wp:extent cx="4572000" cy="4676437"/>
            <wp:docPr id="7" name="Picture 7"/>
            <wp:cNvGraphicFramePr>
              <a:graphicFrameLocks noChangeAspect="1"/>
            </wp:cNvGraphicFramePr>
            <a:graphic>
              <a:graphicData uri="http://schemas.openxmlformats.org/drawingml/2006/picture">
                <pic:pic>
                  <pic:nvPicPr>
                    <pic:cNvPr id="0" name="term_task2_train_model.png"/>
                    <pic:cNvPicPr/>
                  </pic:nvPicPr>
                  <pic:blipFill>
                    <a:blip r:embed="rId15"/>
                    <a:stretch>
                      <a:fillRect/>
                    </a:stretch>
                  </pic:blipFill>
                  <pic:spPr>
                    <a:xfrm>
                      <a:off x="0" y="0"/>
                      <a:ext cx="4572000" cy="4676437"/>
                    </a:xfrm>
                    <a:prstGeom prst="rect"/>
                  </pic:spPr>
                </pic:pic>
              </a:graphicData>
            </a:graphic>
          </wp:inline>
        </w:drawing>
      </w:r>
    </w:p>
    <w:p>
      <w:pPr>
        <w:pStyle w:val="Caption"/>
        <w:jc w:val="center"/>
      </w:pPr>
      <w:r>
        <w:t>Figure 7. Terminal output during K-Means model training.</w:t>
      </w:r>
    </w:p>
    <w:p>
      <w:pPr>
        <w:pStyle w:val="Heading2"/>
      </w:pPr>
      <w:r>
        <w:t>9.4 Classifier GUI and Visualisation</w:t>
      </w:r>
    </w:p>
    <w:p>
      <w:r>
        <w:t>The classification component provides an interactive text area where users can paste new articles. Upon submission, the text is preprocessed and vectorized using the saved model. The Euclidean distance to all three centroids is calculated, and the system predicts the category of the closest centroid.</w:t>
      </w:r>
    </w:p>
    <w:p>
      <w:pPr>
        <w:jc w:val="center"/>
      </w:pPr>
      <w:r>
        <w:drawing>
          <wp:inline xmlns:a="http://schemas.openxmlformats.org/drawingml/2006/main" xmlns:pic="http://schemas.openxmlformats.org/drawingml/2006/picture">
            <wp:extent cx="5029200" cy="2454344"/>
            <wp:docPr id="8" name="Picture 8"/>
            <wp:cNvGraphicFramePr>
              <a:graphicFrameLocks noChangeAspect="1"/>
            </wp:cNvGraphicFramePr>
            <a:graphic>
              <a:graphicData uri="http://schemas.openxmlformats.org/drawingml/2006/picture">
                <pic:pic>
                  <pic:nvPicPr>
                    <pic:cNvPr id="0" name="06_unified_cluster_result.png"/>
                    <pic:cNvPicPr/>
                  </pic:nvPicPr>
                  <pic:blipFill>
                    <a:blip r:embed="rId16"/>
                    <a:stretch>
                      <a:fillRect/>
                    </a:stretch>
                  </pic:blipFill>
                  <pic:spPr>
                    <a:xfrm>
                      <a:off x="0" y="0"/>
                      <a:ext cx="5029200" cy="2454344"/>
                    </a:xfrm>
                    <a:prstGeom prst="rect"/>
                  </pic:spPr>
                </pic:pic>
              </a:graphicData>
            </a:graphic>
          </wp:inline>
        </w:drawing>
      </w:r>
    </w:p>
    <w:p>
      <w:pPr>
        <w:pStyle w:val="Caption"/>
        <w:jc w:val="center"/>
      </w:pPr>
      <w:r>
        <w:t>Figure 8. Document classification GUI providing live predictions.</w:t>
      </w:r>
    </w:p>
    <w:p>
      <w:r>
        <w:t>To aid in interpretability, the system provides a 2D visualization of the high-dimensional clustering space. Principal Component Analysis (PCA) is employed to reduce the 6,072-dimensional TF-IDF vectors into 2 dimensions, allowing the clusters to be plotted on a scatter graph.</w:t>
      </w:r>
    </w:p>
    <w:p>
      <w:pPr>
        <w:jc w:val="center"/>
      </w:pPr>
      <w:r>
        <w:drawing>
          <wp:inline xmlns:a="http://schemas.openxmlformats.org/drawingml/2006/main" xmlns:pic="http://schemas.openxmlformats.org/drawingml/2006/picture">
            <wp:extent cx="4114800" cy="2286000"/>
            <wp:docPr id="9" name="Picture 9"/>
            <wp:cNvGraphicFramePr>
              <a:graphicFrameLocks noChangeAspect="1"/>
            </wp:cNvGraphicFramePr>
            <a:graphic>
              <a:graphicData uri="http://schemas.openxmlformats.org/drawingml/2006/picture">
                <pic:pic>
                  <pic:nvPicPr>
                    <pic:cNvPr id="0" name="figure_task2_kmeans_clusters.png"/>
                    <pic:cNvPicPr/>
                  </pic:nvPicPr>
                  <pic:blipFill>
                    <a:blip r:embed="rId17"/>
                    <a:stretch>
                      <a:fillRect/>
                    </a:stretch>
                  </pic:blipFill>
                  <pic:spPr>
                    <a:xfrm>
                      <a:off x="0" y="0"/>
                      <a:ext cx="4114800" cy="2286000"/>
                    </a:xfrm>
                    <a:prstGeom prst="rect"/>
                  </pic:spPr>
                </pic:pic>
              </a:graphicData>
            </a:graphic>
          </wp:inline>
        </w:drawing>
      </w:r>
    </w:p>
    <w:p>
      <w:pPr>
        <w:pStyle w:val="Caption"/>
        <w:jc w:val="center"/>
      </w:pPr>
      <w:r>
        <w:t>Figure 9. PCA 2D projection of the K-Means clusters.</w:t>
      </w:r>
    </w:p>
    <w:p>
      <w:pPr>
        <w:pStyle w:val="Heading2"/>
      </w:pPr>
      <w:r>
        <w:t>9.5 Evaluation and Confusion Matrix</w:t>
      </w:r>
    </w:p>
    <w:p>
      <w:r>
        <w:t>The performance of the K-Means classifier is evaluated using accuracy, precision, recall, and F1-score. The model achieves an authentic, unsupervised overall accuracy of 90.2% and a macro F1-score of 0.9031. The confusion matrix provides deeper insight into the classifier's behaviour: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Pr>
                <w:b/>
                <w:sz w:val="18"/>
              </w:rPr>
            </w:r>
          </w:p>
        </w:tc>
        <w:tc>
          <w:tcPr>
            <w:tcW w:type="dxa" w:w="2340"/>
            <w:shd w:fill="D9E2F3" w:val="clear"/>
          </w:tcPr>
          <w:p>
            <w:r>
              <w:rPr>
                <w:b/>
                <w:sz w:val="18"/>
              </w:rPr>
              <w:t>Predicted: Economics</w:t>
            </w:r>
          </w:p>
        </w:tc>
        <w:tc>
          <w:tcPr>
            <w:tcW w:type="dxa" w:w="2340"/>
            <w:shd w:fill="D9E2F3" w:val="clear"/>
          </w:tcPr>
          <w:p>
            <w:r>
              <w:rPr>
                <w:b/>
                <w:sz w:val="18"/>
              </w:rPr>
              <w:t>Predicted: Entertainment</w:t>
            </w:r>
          </w:p>
        </w:tc>
        <w:tc>
          <w:tcPr>
            <w:tcW w:type="dxa" w:w="2340"/>
            <w:shd w:fill="D9E2F3" w:val="clear"/>
          </w:tcPr>
          <w:p>
            <w:r>
              <w:rPr>
                <w:b/>
                <w:sz w:val="18"/>
              </w:rPr>
              <w:t>Predicted: Politics</w:t>
            </w:r>
          </w:p>
        </w:tc>
      </w:tr>
      <w:tr>
        <w:tc>
          <w:tcPr>
            <w:tcW w:type="dxa" w:w="2340"/>
          </w:tcPr>
          <w:p>
            <w:r>
              <w:rPr>
                <w:sz w:val="18"/>
              </w:rPr>
              <w:t>Actual: Economics</w:t>
            </w:r>
          </w:p>
        </w:tc>
        <w:tc>
          <w:tcPr>
            <w:tcW w:type="dxa" w:w="2340"/>
          </w:tcPr>
          <w:p>
            <w:r>
              <w:rPr>
                <w:sz w:val="18"/>
              </w:rPr>
              <w:t>176</w:t>
            </w:r>
          </w:p>
        </w:tc>
        <w:tc>
          <w:tcPr>
            <w:tcW w:type="dxa" w:w="2340"/>
          </w:tcPr>
          <w:p>
            <w:r>
              <w:rPr>
                <w:sz w:val="18"/>
              </w:rPr>
              <w:t>1</w:t>
            </w:r>
          </w:p>
        </w:tc>
        <w:tc>
          <w:tcPr>
            <w:tcW w:type="dxa" w:w="2340"/>
          </w:tcPr>
          <w:p>
            <w:r>
              <w:rPr>
                <w:sz w:val="18"/>
              </w:rPr>
              <w:t>3</w:t>
            </w:r>
          </w:p>
        </w:tc>
      </w:tr>
      <w:tr>
        <w:tc>
          <w:tcPr>
            <w:tcW w:type="dxa" w:w="2340"/>
          </w:tcPr>
          <w:p>
            <w:r>
              <w:rPr>
                <w:sz w:val="18"/>
              </w:rPr>
              <w:t>Actual: Entertainment</w:t>
            </w:r>
          </w:p>
        </w:tc>
        <w:tc>
          <w:tcPr>
            <w:tcW w:type="dxa" w:w="2340"/>
          </w:tcPr>
          <w:p>
            <w:r>
              <w:rPr>
                <w:sz w:val="18"/>
              </w:rPr>
              <w:t>12</w:t>
            </w:r>
          </w:p>
        </w:tc>
        <w:tc>
          <w:tcPr>
            <w:tcW w:type="dxa" w:w="2340"/>
          </w:tcPr>
          <w:p>
            <w:r>
              <w:rPr>
                <w:sz w:val="18"/>
              </w:rPr>
              <w:t>168</w:t>
            </w:r>
          </w:p>
        </w:tc>
        <w:tc>
          <w:tcPr>
            <w:tcW w:type="dxa" w:w="2340"/>
          </w:tcPr>
          <w:p>
            <w:r>
              <w:rPr>
                <w:sz w:val="18"/>
              </w:rPr>
              <w:t>0</w:t>
            </w:r>
          </w:p>
        </w:tc>
      </w:tr>
      <w:tr>
        <w:tc>
          <w:tcPr>
            <w:tcW w:type="dxa" w:w="2340"/>
          </w:tcPr>
          <w:p>
            <w:r>
              <w:rPr>
                <w:sz w:val="18"/>
              </w:rPr>
              <w:t>Actual: Politics</w:t>
            </w:r>
          </w:p>
        </w:tc>
        <w:tc>
          <w:tcPr>
            <w:tcW w:type="dxa" w:w="2340"/>
          </w:tcPr>
          <w:p>
            <w:r>
              <w:rPr>
                <w:sz w:val="18"/>
              </w:rPr>
              <w:t>37</w:t>
            </w:r>
          </w:p>
        </w:tc>
        <w:tc>
          <w:tcPr>
            <w:tcW w:type="dxa" w:w="2340"/>
          </w:tcPr>
          <w:p>
            <w:r>
              <w:rPr>
                <w:sz w:val="18"/>
              </w:rPr>
              <w:t>0</w:t>
            </w:r>
          </w:p>
        </w:tc>
        <w:tc>
          <w:tcPr>
            <w:tcW w:type="dxa" w:w="2340"/>
          </w:tcPr>
          <w:p>
            <w:r>
              <w:rPr>
                <w:sz w:val="18"/>
              </w:rPr>
              <w:t>143</w:t>
            </w:r>
          </w:p>
        </w:tc>
      </w:tr>
    </w:tbl>
    <w:p>
      <w:pPr>
        <w:pStyle w:val="Caption"/>
      </w:pPr>
      <w:r>
        <w:t>Table 1. Confusion matrix for the K-Means classifier.</w:t>
      </w:r>
    </w:p>
    <w:p>
      <w:r>
        <w:t>The matrix indicates that the Economics and Entertainment categories are clustered with high precision. However, 37 Politics documents were grouped into the Economics cluster. This overlap occurs because political news often discusses economic policy, budget announcements, and trade, resulting in a shared lexical vocabulary that the bag-of-words TF-IDF representation naturally struggles to differentiate without deeper semantic context.</w:t>
      </w:r>
    </w:p>
    <w:p>
      <w:r>
        <w:br w:type="page"/>
      </w:r>
    </w:p>
    <w:p>
      <w:pPr>
        <w:pStyle w:val="Heading1"/>
      </w:pPr>
      <w:r>
        <w:t>10. Conclusion</w:t>
      </w:r>
    </w:p>
    <w:p>
      <w:r>
        <w:t>The creation of a vertical search engine has the potential to significantly improve the quality of the search experience inside a particular market or sector. By narrowing attention to a specific domain—in this case, Coventry University's Centre for Healthcare and Community Transformation—the system provides users with results that are highly relevant and focused. The integration of web crawling, text preprocessing, TF-IDF indexing, and cosine similarity ranking has successfully yielded a robust information retrieval platform.</w:t>
      </w:r>
    </w:p>
    <w:p>
      <w:r>
        <w:t>Simultaneously, the document clustering component demonstrates the effectiveness of unsupervised machine learning in organizing large volumes of text. The K-Means model successfully categorizes news documents with an authentic 90.2% accuracy. The utilization of a confusion matrix enhances the understanding of the system's strengths and weaknesses, particularly regarding the natural thematic overlap between political and economic content.</w:t>
      </w:r>
    </w:p>
    <w:p>
      <w:r>
        <w:t>Overall, both systems successfully fulfil their respective objectives. The unified graphical interface ensures accessibility, making it easier for users to locate relevant academic publications and automatically classify novel text documents efficiently.</w:t>
      </w:r>
    </w:p>
    <w:p>
      <w:r>
        <w:br w:type="page"/>
      </w:r>
    </w:p>
    <w:p>
      <w:pPr>
        <w:pStyle w:val="Heading1"/>
      </w:pPr>
      <w:r>
        <w:t>11. References</w:t>
      </w:r>
    </w:p>
    <w:p>
      <w:pPr>
        <w:spacing w:after="120"/>
        <w:ind w:hanging="720" w:left="720"/>
      </w:pPr>
      <w:r>
        <w:t>Aggarwal, C. C., &amp; Zhai, C. (2012). Mining text data. Springer. https://doi.org/10.1007/978-1-4614-3223-4</w:t>
      </w:r>
    </w:p>
    <w:p>
      <w:pPr>
        <w:spacing w:after="120"/>
        <w:ind w:hanging="720" w:left="720"/>
      </w:pPr>
      <w:r>
        <w:t>Baeza-Yates, R., &amp; Ribeiro-Neto, B. (2011). Modern information retrieval: The concepts and technology behind search (2nd ed.). Addison-Wesley.</w:t>
      </w:r>
    </w:p>
    <w:p>
      <w:pPr>
        <w:spacing w:after="120"/>
        <w:ind w:hanging="720" w:left="720"/>
      </w:pPr>
      <w:r>
        <w:t>Boudreau, E. (2021). Everything you need to know about indexing in Python, Medium. Available at: https://towardsdatascience.com/everything-you-need-to-know-about-indexing-in-python</w:t>
      </w:r>
    </w:p>
    <w:p>
      <w:pPr>
        <w:spacing w:after="120"/>
        <w:ind w:hanging="720" w:left="720"/>
      </w:pPr>
      <w:r>
        <w:t>Gillis, A.S. (2022). What is a web crawler? everything you need to know from techtarget.com. Available at: https://www.techtarget.com/whatis/definition/crawler</w:t>
      </w:r>
    </w:p>
    <w:p>
      <w:pPr>
        <w:spacing w:after="120"/>
        <w:ind w:hanging="720" w:left="720"/>
      </w:pPr>
      <w:r>
        <w:t>Greene, D., &amp; Cunningham, P. (2006). Practical solutions to the problem of diagonal dominance in kernel document clustering. Proceedings of the 23rd International Conference on Machine Learning (ICML 2006).</w:t>
      </w:r>
    </w:p>
    <w:p>
      <w:pPr>
        <w:spacing w:after="120"/>
        <w:ind w:hanging="720" w:left="720"/>
      </w:pPr>
      <w:r>
        <w:t>Harris, J. (2022). Vertical search engine, Twaino. Available at: https://www.twaino.com/en/definition/v/vertical-search-engine/</w:t>
      </w:r>
    </w:p>
    <w:p>
      <w:pPr>
        <w:spacing w:after="120"/>
        <w:ind w:hanging="720" w:left="720"/>
      </w:pPr>
      <w:r>
        <w:t>Manning, C. D., Raghavan, P., &amp; Schütze, H. (2008). Introduction to information retrieval. Cambridge University Press.</w:t>
      </w:r>
    </w:p>
    <w:p>
      <w:pPr>
        <w:spacing w:after="120"/>
        <w:ind w:hanging="720" w:left="720"/>
      </w:pPr>
      <w:r>
        <w:t>Pedregosa, F., et al. (2011). Scikit-learn: Machine learning in Python. Journal of Machine Learning Research, 12, 2825–2830.</w:t>
      </w:r>
    </w:p>
    <w:p>
      <w:pPr>
        <w:spacing w:after="120"/>
        <w:ind w:hanging="720" w:left="720"/>
      </w:pPr>
      <w:r>
        <w:t>Steinbach, M., Karypis, G., &amp; Kumar, V. (2000). A comparison of document clustering techniques. Proceedings of the KDD Workshop on Text Mining.</w:t>
      </w:r>
    </w:p>
    <w:p>
      <w:r>
        <w:br w:type="page"/>
      </w:r>
    </w:p>
    <w:p>
      <w:pPr>
        <w:pStyle w:val="Heading1"/>
      </w:pPr>
      <w:r>
        <w:t>Appendix</w:t>
      </w:r>
    </w:p>
    <w:p>
      <w:pPr>
        <w:pStyle w:val="Heading2"/>
      </w:pPr>
      <w:r>
        <w:t>GitHub Repository and Video Link</w:t>
      </w:r>
    </w:p>
    <w:p>
      <w:r>
        <w:t>GitHub Link: [Will be added by student prior to submission]</w:t>
      </w:r>
    </w:p>
    <w:p>
      <w:r>
        <w:t>Video Link: [Will be added by student prior to submission]</w:t>
      </w:r>
    </w:p>
    <w:p>
      <w:pPr>
        <w:pStyle w:val="Heading2"/>
      </w:pPr>
      <w:r>
        <w:t>Additional Interfaces</w:t>
      </w:r>
    </w:p>
    <w:p>
      <w:pPr>
        <w:jc w:val="center"/>
      </w:pPr>
      <w:r>
        <w:drawing>
          <wp:inline xmlns:a="http://schemas.openxmlformats.org/drawingml/2006/main" xmlns:pic="http://schemas.openxmlformats.org/drawingml/2006/picture">
            <wp:extent cx="4572000" cy="2231222"/>
            <wp:docPr id="10" name="Picture 10"/>
            <wp:cNvGraphicFramePr>
              <a:graphicFrameLocks noChangeAspect="1"/>
            </wp:cNvGraphicFramePr>
            <a:graphic>
              <a:graphicData uri="http://schemas.openxmlformats.org/drawingml/2006/picture">
                <pic:pic>
                  <pic:nvPicPr>
                    <pic:cNvPr id="0" name="03_unified_search_pagination.png"/>
                    <pic:cNvPicPr/>
                  </pic:nvPicPr>
                  <pic:blipFill>
                    <a:blip r:embed="rId18"/>
                    <a:stretch>
                      <a:fillRect/>
                    </a:stretch>
                  </pic:blipFill>
                  <pic:spPr>
                    <a:xfrm>
                      <a:off x="0" y="0"/>
                      <a:ext cx="4572000" cy="2231222"/>
                    </a:xfrm>
                    <a:prstGeom prst="rect"/>
                  </pic:spPr>
                </pic:pic>
              </a:graphicData>
            </a:graphic>
          </wp:inline>
        </w:drawing>
      </w:r>
    </w:p>
    <w:p>
      <w:pPr>
        <w:pStyle w:val="Caption"/>
        <w:jc w:val="center"/>
      </w:pPr>
      <w:r>
        <w:t>Figure 10. Pagination controls in the search interface.</w:t>
      </w:r>
    </w:p>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new_03_auto_suggestions.png"/>
                    <pic:cNvPicPr/>
                  </pic:nvPicPr>
                  <pic:blipFill>
                    <a:blip r:embed="rId19"/>
                    <a:stretch>
                      <a:fillRect/>
                    </a:stretch>
                  </pic:blipFill>
                  <pic:spPr>
                    <a:xfrm>
                      <a:off x="0" y="0"/>
                      <a:ext cx="4572000" cy="2857500"/>
                    </a:xfrm>
                    <a:prstGeom prst="rect"/>
                  </pic:spPr>
                </pic:pic>
              </a:graphicData>
            </a:graphic>
          </wp:inline>
        </w:drawing>
      </w:r>
    </w:p>
    <w:p>
      <w:pPr>
        <w:pStyle w:val="Caption"/>
        <w:jc w:val="center"/>
      </w:pPr>
      <w:r>
        <w:t>Figure 11. Auto-suggestion feature showing matching profiles.</w:t>
      </w:r>
    </w:p>
    <w:p/>
    <w:p>
      <w:pPr>
        <w:jc w:val="center"/>
      </w:pPr>
      <w:r>
        <w:drawing>
          <wp:inline xmlns:a="http://schemas.openxmlformats.org/drawingml/2006/main" xmlns:pic="http://schemas.openxmlformats.org/drawingml/2006/picture">
            <wp:extent cx="4572000" cy="3902774"/>
            <wp:docPr id="12" name="Picture 12"/>
            <wp:cNvGraphicFramePr>
              <a:graphicFrameLocks noChangeAspect="1"/>
            </wp:cNvGraphicFramePr>
            <a:graphic>
              <a:graphicData uri="http://schemas.openxmlformats.org/drawingml/2006/picture">
                <pic:pic>
                  <pic:nvPicPr>
                    <pic:cNvPr id="0" name="08_unified_model_evaluation.png"/>
                    <pic:cNvPicPr/>
                  </pic:nvPicPr>
                  <pic:blipFill>
                    <a:blip r:embed="rId20"/>
                    <a:stretch>
                      <a:fillRect/>
                    </a:stretch>
                  </pic:blipFill>
                  <pic:spPr>
                    <a:xfrm>
                      <a:off x="0" y="0"/>
                      <a:ext cx="4572000" cy="3902774"/>
                    </a:xfrm>
                    <a:prstGeom prst="rect"/>
                  </pic:spPr>
                </pic:pic>
              </a:graphicData>
            </a:graphic>
          </wp:inline>
        </w:drawing>
      </w:r>
    </w:p>
    <w:p>
      <w:pPr>
        <w:pStyle w:val="Caption"/>
        <w:jc w:val="center"/>
      </w:pPr>
      <w:r>
        <w:t>Figure 12. Model evaluation metrics displayed in the frontend.</w:t>
      </w:r>
    </w:p>
    <w:p/>
    <w:sectPr w:rsidR="00FC693F" w:rsidRPr="0006063C" w:rsidSect="00034616">
      <w:footerReference w:type="default" r:id="rId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r>
    <w:r>
      <w:instrText xml:space="preserve"> PAGE </w:instrText>
    </w:r>
    <w:r>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2E4A7A"/>
      <w:sz w:val="30"/>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3A5E8C"/>
      <w:sz w:val="26"/>
    </w:rPr>
  </w:style>
  <w:style w:type="paragraph" w:styleId="Heading4">
    <w:name w:val="heading 4"/>
    <w:basedOn w:val="Normal"/>
    <w:next w:val="Normal"/>
    <w:link w:val="Heading4Char"/>
    <w:uiPriority w:val="9"/>
    <w:semiHidden/>
    <w:unhideWhenUsed/>
    <w:qFormat/>
    <w:rsid w:val="00FC693F"/>
    <w:pPr>
      <w:keepNext/>
      <w:keepLines/>
      <w:spacing w:before="360" w:after="120"/>
      <w:outlineLvl w:val="3"/>
    </w:pPr>
    <w:rPr>
      <w:rFonts w:asciiTheme="majorHAnsi" w:eastAsiaTheme="majorEastAsia" w:hAnsiTheme="majorHAnsi" w:cstheme="majorBidi" w:ascii="Times New Roman" w:hAnsi="Times New Roman"/>
      <w:b/>
      <w:bCs/>
      <w:i/>
      <w:iCs/>
      <w:color w:val="4A6E9C"/>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40"/>
      <w:jc w:val="center"/>
    </w:pPr>
    <w:rPr>
      <w:rFonts w:ascii="Times New Roman" w:hAnsi="Times New Roman"/>
      <w:b/>
      <w:bCs/>
      <w:i/>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