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5C2E"/>
          <w:sz w:val="48"/>
          <w:szCs w:val="48"/>
        </w:rPr>
        <w:t xml:space="preserve">PIPELINE METODOLÓGICO</w:t>
      </w:r>
    </w:p>
    <w:p>
      <w:pPr>
        <w:spacing w:after="200" w:before="0"/>
        <w:jc w:val="center"/>
      </w:pPr>
      <w:r>
        <w:rPr>
          <w:rFonts w:ascii="Arial" w:cs="Arial" w:eastAsia="Arial" w:hAnsi="Arial"/>
          <w:b/>
          <w:bCs/>
          <w:color w:val="1F3864"/>
          <w:sz w:val="36"/>
          <w:szCs w:val="36"/>
        </w:rPr>
        <w:t xml:space="preserve">Cuantificación de Severidad de Antracnosis en Mango</w:t>
      </w:r>
    </w:p>
    <w:p>
      <w:pPr>
        <w:spacing w:after="200" w:before="0"/>
        <w:jc w:val="center"/>
      </w:pPr>
      <w:r>
        <w:rPr>
          <w:rFonts w:ascii="Arial" w:cs="Arial" w:eastAsia="Arial" w:hAnsi="Arial"/>
          <w:i/>
          <w:iCs/>
          <w:color w:val="444444"/>
          <w:sz w:val="26"/>
          <w:szCs w:val="26"/>
        </w:rPr>
        <w:t xml:space="preserve">Colletotrichum gloeosporioides (Penz.) Penz. &amp; Sacc.</w:t>
      </w:r>
    </w:p>
    <w:p>
      <w:pPr>
        <w:spacing w:after="80" w:before="80"/>
        <w:jc w:val="center"/>
      </w:pPr>
      <w:r>
        <w:rPr>
          <w:rFonts w:ascii="Arial" w:cs="Arial" w:eastAsia="Arial" w:hAnsi="Arial"/>
          <w:color w:val="C65911"/>
          <w:sz w:val="24"/>
          <w:szCs w:val="24"/>
        </w:rPr>
        <w:t xml:space="preserve">Análisis de imágenes con {pliman} y {r4pde} en R — Validación fitopatométrica</w:t>
      </w:r>
    </w:p>
    <w:p>
      <w:pPr>
        <w:spacing w:after="600" w:before="40"/>
        <w:jc w:val="center"/>
      </w:pPr>
      <w:r>
        <w:rPr>
          <w:rFonts w:ascii="Arial" w:cs="Arial" w:eastAsia="Arial" w:hAnsi="Arial"/>
          <w:color w:val="888888"/>
          <w:sz w:val="22"/>
          <w:szCs w:val="22"/>
        </w:rPr>
        <w:t xml:space="preserve">Fundamento bibliográfico para tesis de grado · Ingeniería Agronómica · UNAL Palmira</w:t>
      </w:r>
    </w:p>
    <w:p>
      <w:pPr>
        <w:pStyle w:val="Heading1"/>
        <w:spacing w:after="180" w:before="360"/>
      </w:pPr>
      <w:r>
        <w:rPr>
          <w:rFonts w:ascii="Arial" w:cs="Arial" w:eastAsia="Arial" w:hAnsi="Arial"/>
          <w:b/>
          <w:bCs/>
          <w:color w:val="1F5C2E"/>
          <w:sz w:val="32"/>
          <w:szCs w:val="32"/>
        </w:rPr>
        <w:t xml:space="preserve">0. Propósito de este documento</w:t>
      </w:r>
    </w:p>
    <w:p>
      <w:pPr>
        <w:spacing w:after="120" w:before="80"/>
        <w:jc w:val="both"/>
      </w:pPr>
      <w:r>
        <w:rPr>
          <w:rFonts w:ascii="Arial" w:cs="Arial" w:eastAsia="Arial" w:hAnsi="Arial"/>
          <w:sz w:val="22"/>
          <w:szCs w:val="22"/>
        </w:rPr>
        <w:t xml:space="preserve">Este documento establece el fundamento teórico, bibliográfico y procedimental para argumentar y defender, en el contexto de una tesis de Ingeniería Agronómica, el uso del paquete de R {pliman} (Plant IMage ANalysis) como método de medición objetiva de la severidad de antracnosis en mango causada por Colletotrichum gloeosporioides. El pipeline aquí descrito permite demostrar que los índices de severidad obtenidos por análisis de imagen son medibles, reproducibles, y equivalentes a los estándares internacionales de fitopatometría — cumpliendo con los criterios de validez científica exigidos en una defensa de tesis.</w:t>
      </w:r>
    </w:p>
    <w:p>
      <w:pPr>
        <w:spacing w:after="0" w:before="120"/>
      </w:pPr>
      <w:r>
        <w:t xml:space="preserve"/>
      </w:r>
    </w:p>
    <w:tbl>
      <w:tblPr>
        <w:tblW w:type="dxa" w:w="9026"/>
        <w:tblBorders>
          <w:top w:val="single" w:color="1F5C2E" w:sz="12"/>
          <w:left w:val="none"/>
          <w:bottom w:val="none"/>
          <w:right w:val="none"/>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D2" w:val="clear"/>
            <w:tcMar>
              <w:top w:type="dxa" w:w="140"/>
              <w:left w:type="dxa" w:w="200"/>
              <w:bottom w:type="dxa" w:w="140"/>
              <w:right w:type="dxa" w:w="200"/>
            </w:tcMar>
          </w:tcPr>
          <w:p>
            <w:pPr>
              <w:jc w:val="both"/>
            </w:pPr>
            <w:r>
              <w:rPr>
                <w:rFonts w:ascii="Arial" w:cs="Arial" w:eastAsia="Arial" w:hAnsi="Arial"/>
                <w:i/>
                <w:iCs/>
                <w:sz w:val="22"/>
                <w:szCs w:val="22"/>
              </w:rPr>
              <w:t xml:space="preserve">Argumento central: El análisis digital de imágenes por umbral de color RGB es la referencia metodológica ('verdad de campo digital') para medir severidad como porcentaje de área afectada. {pliman} ha sido validado contra APS Assess, LeafDoctor e ImageJ con coeficientes de concordancia de Lin (ρc) superiores a 0.98 para la mayoría de patosistemas (Olivoto et al., 2022, Tropical Plant Pathology).</w:t>
            </w:r>
          </w:p>
        </w:tc>
      </w:tr>
    </w:tbl>
    <w:p>
      <w:pPr>
        <w:spacing w:after="0" w:before="120"/>
      </w:pPr>
      <w:r>
        <w:t xml:space="preserve"/>
      </w:r>
    </w:p>
    <w:p>
      <w:pPr>
        <w:pStyle w:val="Heading1"/>
        <w:spacing w:after="180" w:before="360"/>
      </w:pPr>
      <w:r>
        <w:rPr>
          <w:rFonts w:ascii="Arial" w:cs="Arial" w:eastAsia="Arial" w:hAnsi="Arial"/>
          <w:b/>
          <w:bCs/>
          <w:color w:val="1F5C2E"/>
          <w:sz w:val="32"/>
          <w:szCs w:val="32"/>
        </w:rPr>
        <w:t xml:space="preserve">1. Marco biológico: Antracnosis del mango</w:t>
      </w:r>
    </w:p>
    <w:p>
      <w:pPr>
        <w:pStyle w:val="Heading2"/>
        <w:spacing w:after="120" w:before="280"/>
      </w:pPr>
      <w:r>
        <w:rPr>
          <w:rFonts w:ascii="Arial" w:cs="Arial" w:eastAsia="Arial" w:hAnsi="Arial"/>
          <w:b/>
          <w:bCs/>
          <w:color w:val="1F3864"/>
          <w:sz w:val="26"/>
          <w:szCs w:val="26"/>
        </w:rPr>
        <w:t xml:space="preserve">1.1 Etiología y relevancia económica</w:t>
      </w:r>
    </w:p>
    <w:p>
      <w:pPr>
        <w:spacing w:after="120" w:before="80"/>
        <w:jc w:val="both"/>
      </w:pPr>
      <w:r>
        <w:rPr>
          <w:rFonts w:ascii="Arial" w:cs="Arial" w:eastAsia="Arial" w:hAnsi="Arial"/>
          <w:sz w:val="22"/>
          <w:szCs w:val="22"/>
        </w:rPr>
        <w:t xml:space="preserve">La antracnosis del mango (Mango Anthracnose Disease, MAD) es la enfermedad fúngica más importante que afecta a Mangifera indica L. a nivel global. Su agente causal principal es Colletotrichum gloeosporioides (Penz.) Penz. &amp; Sacc. [teleomorfo: Glomerella cingulata (Stoneman) Spauld. &amp; H. Schrenk], perteneciente al orden Melanoconiales.</w:t>
      </w:r>
    </w:p>
    <w:p>
      <w:pPr>
        <w:spacing w:after="120" w:before="80"/>
        <w:jc w:val="both"/>
      </w:pPr>
      <w:r>
        <w:rPr>
          <w:rFonts w:ascii="Arial" w:cs="Arial" w:eastAsia="Arial" w:hAnsi="Arial"/>
          <w:b/>
          <w:bCs/>
          <w:sz w:val="22"/>
          <w:szCs w:val="22"/>
        </w:rPr>
        <w:t xml:space="preserve">Impacto económico documentado: </w:t>
      </w:r>
      <w:r>
        <w:rPr>
          <w:rFonts w:ascii="Arial" w:cs="Arial" w:eastAsia="Arial" w:hAnsi="Arial"/>
          <w:sz w:val="22"/>
          <w:szCs w:val="22"/>
        </w:rPr>
        <w:t xml:space="preserve">La enfermedad genera pérdidas de entre el 30 y el 60% de la producción de fruta bajo condiciones húmedas, y puede alcanzar el 100% en años con alta precipitación y temperaturas favorables para el patógeno (25–30 °C con humedad relativa &gt;95%) (Arauz, 2000, APS Plant Disease; Kumar et al., en Springer Nature Link, 2016).</w:t>
      </w:r>
    </w:p>
    <w:p>
      <w:pPr>
        <w:spacing w:after="120" w:before="80"/>
        <w:jc w:val="both"/>
      </w:pPr>
      <w:r>
        <w:rPr>
          <w:rFonts w:ascii="Arial" w:cs="Arial" w:eastAsia="Arial" w:hAnsi="Arial"/>
          <w:b/>
          <w:bCs/>
          <w:sz w:val="22"/>
          <w:szCs w:val="22"/>
        </w:rPr>
        <w:t xml:space="preserve">Complejo de especies: </w:t>
      </w:r>
      <w:r>
        <w:rPr>
          <w:rFonts w:ascii="Arial" w:cs="Arial" w:eastAsia="Arial" w:hAnsi="Arial"/>
          <w:sz w:val="22"/>
          <w:szCs w:val="22"/>
        </w:rPr>
        <w:t xml:space="preserve">Estudios moleculares y morfológicos (Weir et al., 2012) identificaron al menos 22 especies dentro del complejo C. gloeosporioides. En Colombia y América Latina predominan C. gloeosporioides s.s., C. asianum, C. fructicola y C. tropicale. La identificación correcta del agente a nivel de especie es relevante para asociar los síntomas con escalas de severidad previamente publicadas.</w:t>
      </w:r>
    </w:p>
    <w:p>
      <w:pPr>
        <w:pStyle w:val="Heading2"/>
        <w:spacing w:after="120" w:before="280"/>
      </w:pPr>
      <w:r>
        <w:rPr>
          <w:rFonts w:ascii="Arial" w:cs="Arial" w:eastAsia="Arial" w:hAnsi="Arial"/>
          <w:b/>
          <w:bCs/>
          <w:color w:val="1F3864"/>
          <w:sz w:val="26"/>
          <w:szCs w:val="26"/>
        </w:rPr>
        <w:t xml:space="preserve">1.2 Síntomas y órganos afectados</w:t>
      </w:r>
    </w:p>
    <w:p>
      <w:pPr>
        <w:spacing w:after="120" w:before="80"/>
        <w:jc w:val="both"/>
      </w:pPr>
      <w:r>
        <w:rPr>
          <w:rFonts w:ascii="Arial" w:cs="Arial" w:eastAsia="Arial" w:hAnsi="Arial"/>
          <w:sz w:val="22"/>
          <w:szCs w:val="22"/>
        </w:rPr>
        <w:t xml:space="preserve">La enfermedad produce síntomas característicos en todos los órganos aéreos del árbol:</w:t>
      </w:r>
    </w:p>
    <w:p>
      <w:pPr>
        <w:pStyle w:val="ListParagraph"/>
        <w:numPr>
          <w:ilvl w:val="0"/>
          <w:numId w:val="2"/>
        </w:numPr>
        <w:spacing w:after="60" w:before="40"/>
      </w:pPr>
      <w:r>
        <w:rPr>
          <w:rFonts w:ascii="Arial" w:cs="Arial" w:eastAsia="Arial" w:hAnsi="Arial"/>
          <w:sz w:val="22"/>
          <w:szCs w:val="22"/>
        </w:rPr>
        <w:t xml:space="preserve">Hojas: manchas necróticas irregulares de color negro-marrón con márgenes amarillentos, que avanzan desde la periferia hacia el nervio central.</w:t>
      </w:r>
    </w:p>
    <w:p>
      <w:pPr>
        <w:pStyle w:val="ListParagraph"/>
        <w:numPr>
          <w:ilvl w:val="0"/>
          <w:numId w:val="2"/>
        </w:numPr>
        <w:spacing w:after="60" w:before="40"/>
      </w:pPr>
      <w:r>
        <w:rPr>
          <w:rFonts w:ascii="Arial" w:cs="Arial" w:eastAsia="Arial" w:hAnsi="Arial"/>
          <w:sz w:val="22"/>
          <w:szCs w:val="22"/>
        </w:rPr>
        <w:t xml:space="preserve">Frutos: lesiones redondeadas, marrones a negras, que pueden confluir cubriendo extensas áreas de la epidermis; en estadios avanzados el hongo invade la pulpa. Son la forma más relevante para medir severidad postharvest.</w:t>
      </w:r>
    </w:p>
    <w:p>
      <w:pPr>
        <w:pStyle w:val="ListParagraph"/>
        <w:numPr>
          <w:ilvl w:val="0"/>
          <w:numId w:val="2"/>
        </w:numPr>
        <w:spacing w:after="60" w:before="40"/>
      </w:pPr>
      <w:r>
        <w:rPr>
          <w:rFonts w:ascii="Arial" w:cs="Arial" w:eastAsia="Arial" w:hAnsi="Arial"/>
          <w:sz w:val="22"/>
          <w:szCs w:val="22"/>
        </w:rPr>
        <w:t xml:space="preserve">Pániculas: 'quema de inflorescencias' o blossom blight, fase preharvest de mayor impacto en el cuajado del fruto.</w:t>
      </w:r>
    </w:p>
    <w:p>
      <w:pPr>
        <w:pStyle w:val="ListParagraph"/>
        <w:numPr>
          <w:ilvl w:val="0"/>
          <w:numId w:val="2"/>
        </w:numPr>
        <w:spacing w:after="60" w:before="40"/>
      </w:pPr>
      <w:r>
        <w:rPr>
          <w:rFonts w:ascii="Arial" w:cs="Arial" w:eastAsia="Arial" w:hAnsi="Arial"/>
          <w:sz w:val="22"/>
          <w:szCs w:val="22"/>
        </w:rPr>
        <w:t xml:space="preserve">Brotes y pecíolos: lesiones longitudinales que causan muerte regresiva.</w:t>
      </w:r>
    </w:p>
    <w:p>
      <w:pPr>
        <w:spacing w:after="0" w:before="120"/>
      </w:pPr>
      <w:r>
        <w:t xml:space="preserve"/>
      </w:r>
    </w:p>
    <w:p>
      <w:pPr>
        <w:spacing w:after="120" w:before="80"/>
        <w:jc w:val="both"/>
      </w:pPr>
      <w:r>
        <w:rPr>
          <w:rFonts w:ascii="Arial" w:cs="Arial" w:eastAsia="Arial" w:hAnsi="Arial"/>
          <w:sz w:val="22"/>
          <w:szCs w:val="22"/>
        </w:rPr>
        <w:t xml:space="preserve">Las lesiones en frutos maduros son la unidad de análisis más frecuente en estudios de severidad postharvest, mientras que en hojas se evalúa la epidemia en campo.</w:t>
      </w:r>
    </w:p>
    <w:p>
      <w:pPr>
        <w:spacing w:after="0" w:before="120"/>
      </w:pPr>
      <w:r>
        <w:t xml:space="preserve"/>
      </w:r>
    </w:p>
    <w:p>
      <w:pPr>
        <w:pStyle w:val="Heading1"/>
        <w:spacing w:after="180" w:before="360"/>
      </w:pPr>
      <w:r>
        <w:rPr>
          <w:rFonts w:ascii="Arial" w:cs="Arial" w:eastAsia="Arial" w:hAnsi="Arial"/>
          <w:b/>
          <w:bCs/>
          <w:color w:val="1F5C2E"/>
          <w:sz w:val="32"/>
          <w:szCs w:val="32"/>
        </w:rPr>
        <w:t xml:space="preserve">2. Escalas de severidad validadas en la literatura</w:t>
      </w:r>
    </w:p>
    <w:p>
      <w:pPr>
        <w:pStyle w:val="Heading2"/>
        <w:spacing w:after="120" w:before="280"/>
      </w:pPr>
      <w:r>
        <w:rPr>
          <w:rFonts w:ascii="Arial" w:cs="Arial" w:eastAsia="Arial" w:hAnsi="Arial"/>
          <w:b/>
          <w:bCs/>
          <w:color w:val="1F3864"/>
          <w:sz w:val="26"/>
          <w:szCs w:val="26"/>
        </w:rPr>
        <w:t xml:space="preserve">2.1 Escala ordinal 0–5 (Sundravadana et al., 2007) — La más citada en Asia</w:t>
      </w:r>
    </w:p>
    <w:p>
      <w:pPr>
        <w:spacing w:after="120" w:before="80"/>
        <w:jc w:val="both"/>
      </w:pPr>
      <w:r>
        <w:rPr>
          <w:rFonts w:ascii="Arial" w:cs="Arial" w:eastAsia="Arial" w:hAnsi="Arial"/>
          <w:sz w:val="22"/>
          <w:szCs w:val="22"/>
        </w:rPr>
        <w:t xml:space="preserve">La escala de calificación de enfermedad más ampliamente usada para mango en estudios agronómicos de evaluación de tratamientos es la escala ordinal de 6 clases, propuesta por Sundravadana et al. (2007) y citada sistemáticamente en la literatura india (Bhagwat et al., 2015; publicaciones en JABB,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rPr>
          <w:tblHeader/>
        </w:trPr>
        <w:tc>
          <w:tcPr>
            <w:tcW w:type="dxa" w:w="1200"/>
            <w:tcBorders>
              <w:top w:val="single" w:color="AAAAAA" w:sz="4"/>
              <w:left w:val="single" w:color="AAAAAA" w:sz="4"/>
              <w:bottom w:val="single" w:color="AAAAAA" w:sz="4"/>
              <w:right w:val="single" w:color="AAAAAA" w:sz="4"/>
            </w:tcBorders>
            <w:shd w:fill="1F5C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Grado</w:t>
            </w:r>
          </w:p>
        </w:tc>
        <w:tc>
          <w:tcPr>
            <w:tcW w:type="dxa" w:w="2400"/>
            <w:tcBorders>
              <w:top w:val="single" w:color="AAAAAA" w:sz="4"/>
              <w:left w:val="single" w:color="AAAAAA" w:sz="4"/>
              <w:bottom w:val="single" w:color="AAAAAA" w:sz="4"/>
              <w:right w:val="single" w:color="AAAAAA" w:sz="4"/>
            </w:tcBorders>
            <w:shd w:fill="1F5C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Área afectada</w:t>
            </w:r>
          </w:p>
        </w:tc>
        <w:tc>
          <w:tcPr>
            <w:tcW w:type="dxa" w:w="5426"/>
            <w:tcBorders>
              <w:top w:val="single" w:color="AAAAAA" w:sz="4"/>
              <w:left w:val="single" w:color="AAAAAA" w:sz="4"/>
              <w:bottom w:val="single" w:color="AAAAAA" w:sz="4"/>
              <w:right w:val="single" w:color="AAAAAA" w:sz="4"/>
            </w:tcBorders>
            <w:shd w:fill="1F5C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 de síntomas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5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Planta/fruto sano, sin síntomas visibles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1–10%</w:t>
            </w:r>
          </w:p>
        </w:tc>
        <w:tc>
          <w:tcPr>
            <w:tcW w:type="dxa" w:w="54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Manchas necróticas pequeñas y dispersas, &lt; 10% de la superficie</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11–25%</w:t>
            </w:r>
          </w:p>
        </w:tc>
        <w:tc>
          <w:tcPr>
            <w:tcW w:type="dxa" w:w="5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Lesiones moderadas, visibles en varios sectores</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26–50%</w:t>
            </w:r>
          </w:p>
        </w:tc>
        <w:tc>
          <w:tcPr>
            <w:tcW w:type="dxa" w:w="54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Lesiones abundantes, superficie considerable afectada</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51–75%</w:t>
            </w:r>
          </w:p>
        </w:tc>
        <w:tc>
          <w:tcPr>
            <w:tcW w:type="dxa" w:w="5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Lesiones coalescentes, más de la mitad del órgano afectada</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&gt;75%</w:t>
            </w:r>
          </w:p>
        </w:tc>
        <w:tc>
          <w:tcPr>
            <w:tcW w:type="dxa" w:w="54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Necrosis severa o colapso total del tejido</w:t>
            </w:r>
          </w:p>
        </w:tc>
      </w:tr>
    </w:tbl>
    <w:p>
      <w:pPr>
        <w:spacing w:after="0" w:before="120"/>
      </w:pPr>
      <w:r>
        <w:t xml:space="preserve"/>
      </w:r>
    </w:p>
    <w:p>
      <w:pPr>
        <w:spacing w:after="120" w:before="80"/>
        <w:jc w:val="both"/>
      </w:pPr>
      <w:r>
        <w:rPr>
          <w:rFonts w:ascii="Arial" w:cs="Arial" w:eastAsia="Arial" w:hAnsi="Arial"/>
          <w:b/>
          <w:bCs/>
          <w:sz w:val="22"/>
          <w:szCs w:val="22"/>
        </w:rPr>
        <w:t xml:space="preserve">Índice de Daño de Enfermedad (PDI — McKinney, 1923): </w:t>
      </w:r>
      <w:r>
        <w:rPr>
          <w:rFonts w:ascii="Arial" w:cs="Arial" w:eastAsia="Arial" w:hAnsi="Arial"/>
          <w:sz w:val="22"/>
          <w:szCs w:val="22"/>
        </w:rPr>
        <w:t xml:space="preserve">PDI = (Σ calificaciones individuales) / (N × grado máximo) × 100. Este índice convierte la escala ordinal a un porcentaje continuo de daño, permitiendo análisis estadísticos paramétricos o no paramétricos según la distribución de los datos.</w:t>
      </w:r>
    </w:p>
    <w:p>
      <w:pPr>
        <w:pStyle w:val="Heading2"/>
        <w:spacing w:after="120" w:before="280"/>
      </w:pPr>
      <w:r>
        <w:rPr>
          <w:rFonts w:ascii="Arial" w:cs="Arial" w:eastAsia="Arial" w:hAnsi="Arial"/>
          <w:b/>
          <w:bCs/>
          <w:color w:val="1F3864"/>
          <w:sz w:val="26"/>
          <w:szCs w:val="26"/>
        </w:rPr>
        <w:t xml:space="preserve">2.2 Escala por diámetro de lesión (Smoot &amp; Segall, 1963; Koomen &amp; Jeffries, 1993)</w:t>
      </w:r>
    </w:p>
    <w:p>
      <w:pPr>
        <w:spacing w:after="120" w:before="80"/>
        <w:jc w:val="both"/>
      </w:pPr>
      <w:r>
        <w:rPr>
          <w:rFonts w:ascii="Arial" w:cs="Arial" w:eastAsia="Arial" w:hAnsi="Arial"/>
          <w:sz w:val="22"/>
          <w:szCs w:val="22"/>
        </w:rPr>
        <w:t xml:space="preserve">Estas escalas cuantifican la severidad en frutos según el tamaño o número de lesiones individuales, no el área total afectada. Son menos utilizadas actualmente porque no capturan el efecto de lesiones coalescentes.</w:t>
      </w:r>
    </w:p>
    <w:p>
      <w:pPr>
        <w:pStyle w:val="Heading2"/>
        <w:spacing w:after="120" w:before="280"/>
      </w:pPr>
      <w:r>
        <w:rPr>
          <w:rFonts w:ascii="Arial" w:cs="Arial" w:eastAsia="Arial" w:hAnsi="Arial"/>
          <w:b/>
          <w:bCs/>
          <w:color w:val="1F3864"/>
          <w:sz w:val="26"/>
          <w:szCs w:val="26"/>
        </w:rPr>
        <w:t xml:space="preserve">2.3 Escala de Brodrick (1978) con validación por imagen 3D (Corkidi et al., 2006)</w:t>
      </w:r>
    </w:p>
    <w:p>
      <w:pPr>
        <w:spacing w:after="120" w:before="80"/>
        <w:jc w:val="both"/>
      </w:pPr>
      <w:r>
        <w:rPr>
          <w:rFonts w:ascii="Arial" w:cs="Arial" w:eastAsia="Arial" w:hAnsi="Arial"/>
          <w:b/>
          <w:bCs/>
          <w:sz w:val="22"/>
          <w:szCs w:val="22"/>
        </w:rPr>
        <w:t xml:space="preserve">Referencia clave: </w:t>
      </w:r>
      <w:r>
        <w:rPr>
          <w:rFonts w:ascii="Arial" w:cs="Arial" w:eastAsia="Arial" w:hAnsi="Arial"/>
          <w:sz w:val="22"/>
          <w:szCs w:val="22"/>
        </w:rPr>
        <w:t xml:space="preserve">Corkidi et al. (2006), en Plant Pathology (Wiley), desarrollaron una técnica de análisis de imagen tridimensional para cuantificar antracnosis en frutos de mango rotando el fruto 360° bajo captura continua, generando proyecciones pseudocilíndricas de la superficie completa. Esto permitió calcular el porcentaje de área afectada de manera objetiva y usarlo como base para una escala visual fotográfica (SAD) anclada en la escala de Brodrick (1978).</w:t>
      </w:r>
    </w:p>
    <w:tbl>
      <w:tblPr>
        <w:tblW w:type="dxa" w:w="9026"/>
        <w:tblBorders>
          <w:top w:val="single" w:color="1F5C2E" w:sz="12"/>
          <w:left w:val="none"/>
          <w:bottom w:val="none"/>
          <w:right w:val="none"/>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D2" w:val="clear"/>
            <w:tcMar>
              <w:top w:type="dxa" w:w="140"/>
              <w:left w:type="dxa" w:w="200"/>
              <w:bottom w:type="dxa" w:w="140"/>
              <w:right w:type="dxa" w:w="200"/>
            </w:tcMar>
          </w:tcPr>
          <w:p>
            <w:pPr>
              <w:jc w:val="both"/>
            </w:pPr>
            <w:r>
              <w:rPr>
                <w:rFonts w:ascii="Arial" w:cs="Arial" w:eastAsia="Arial" w:hAnsi="Arial"/>
                <w:i/>
                <w:iCs/>
                <w:sz w:val="22"/>
                <w:szCs w:val="22"/>
              </w:rPr>
              <w:t xml:space="preserve">Este trabajo de Corkidi et al. (2006) es el antecedente directo más importante para argumentar que la medición del % de área afectada por imagen es el 'gold standard' en antracnosis de frutos de mango. Fue reconocido explícitamente en la revisión de Del Ponte et al. (2017) en Phytopathology como ejemplo pionero de análisis de imagen 3D para SAD en frutos.</w:t>
            </w:r>
          </w:p>
        </w:tc>
      </w:tr>
    </w:tbl>
    <w:p>
      <w:pPr>
        <w:pStyle w:val="Heading2"/>
        <w:spacing w:after="120" w:before="280"/>
      </w:pPr>
      <w:r>
        <w:rPr>
          <w:rFonts w:ascii="Arial" w:cs="Arial" w:eastAsia="Arial" w:hAnsi="Arial"/>
          <w:b/>
          <w:bCs/>
          <w:color w:val="1F3864"/>
          <w:sz w:val="26"/>
          <w:szCs w:val="26"/>
        </w:rPr>
        <w:t xml:space="preserve">2.4 Diagramas de Área Estándar (SAD) — Tendencia actual</w:t>
      </w:r>
    </w:p>
    <w:p>
      <w:pPr>
        <w:spacing w:after="120" w:before="80"/>
        <w:jc w:val="both"/>
      </w:pPr>
      <w:r>
        <w:rPr>
          <w:rFonts w:ascii="Arial" w:cs="Arial" w:eastAsia="Arial" w:hAnsi="Arial"/>
          <w:sz w:val="22"/>
          <w:szCs w:val="22"/>
        </w:rPr>
        <w:t xml:space="preserve">Los SAD (Standard Area Diagrams) son representaciones pictóricas de niveles seleccionados de severidad (como % de área afectada) usados como ayuda visual para estimación. Del Ponte et al. (2017) en Phytopathology realizaron la revisión sistemática más completa sobre SAD (105 estudios, 127 SAD, 48 cultivos), estableciendo que:</w:t>
      </w:r>
    </w:p>
    <w:p>
      <w:pPr>
        <w:pStyle w:val="ListParagraph"/>
        <w:numPr>
          <w:ilvl w:val="0"/>
          <w:numId w:val="2"/>
        </w:numPr>
        <w:spacing w:after="60" w:before="40"/>
      </w:pPr>
      <w:r>
        <w:rPr>
          <w:rFonts w:ascii="Arial" w:cs="Arial" w:eastAsia="Arial" w:hAnsi="Arial"/>
          <w:sz w:val="22"/>
          <w:szCs w:val="22"/>
        </w:rPr>
        <w:t xml:space="preserve">El método de referencia para obtener el valor 'real' de severidad en los SAD es el análisis digital de imagen (software como QUANT, APS Assess, ImageJ, o {pliman}).</w:t>
      </w:r>
    </w:p>
    <w:p>
      <w:pPr>
        <w:pStyle w:val="ListParagraph"/>
        <w:numPr>
          <w:ilvl w:val="0"/>
          <w:numId w:val="2"/>
        </w:numPr>
        <w:spacing w:after="60" w:before="40"/>
      </w:pPr>
      <w:r>
        <w:rPr>
          <w:rFonts w:ascii="Arial" w:cs="Arial" w:eastAsia="Arial" w:hAnsi="Arial"/>
          <w:sz w:val="22"/>
          <w:szCs w:val="22"/>
        </w:rPr>
        <w:t xml:space="preserve">La validación estadística de SAD debe usar el coeficiente de concordancia de Lin (ρc) y/o regresión lineal entre estimaciones visuales y valores reales.</w:t>
      </w:r>
    </w:p>
    <w:p>
      <w:pPr>
        <w:pStyle w:val="ListParagraph"/>
        <w:numPr>
          <w:ilvl w:val="0"/>
          <w:numId w:val="2"/>
        </w:numPr>
        <w:spacing w:after="60" w:before="40"/>
      </w:pPr>
      <w:r>
        <w:rPr>
          <w:rFonts w:ascii="Arial" w:cs="Arial" w:eastAsia="Arial" w:hAnsi="Arial"/>
          <w:sz w:val="22"/>
          <w:szCs w:val="22"/>
        </w:rPr>
        <w:t xml:space="preserve">Los SAD más robustos incluyen 6–10 diagramas distribuidos linealmente, sin intervalos superiores al 15%.</w:t>
      </w:r>
    </w:p>
    <w:p>
      <w:pPr>
        <w:pStyle w:val="ListParagraph"/>
        <w:numPr>
          <w:ilvl w:val="0"/>
          <w:numId w:val="2"/>
        </w:numPr>
        <w:spacing w:after="60" w:before="40"/>
      </w:pPr>
      <w:r>
        <w:rPr>
          <w:rFonts w:ascii="Arial" w:cs="Arial" w:eastAsia="Arial" w:hAnsi="Arial"/>
          <w:sz w:val="22"/>
          <w:szCs w:val="22"/>
        </w:rPr>
        <w:t xml:space="preserve">La antracnosis es uno de los tipos de síntoma más frecuentes en los 103 SAD publicados hasta 2017.</w:t>
      </w:r>
    </w:p>
    <w:p>
      <w:pPr>
        <w:spacing w:after="0" w:before="120"/>
      </w:pPr>
      <w:r>
        <w:t xml:space="preserve"/>
      </w:r>
    </w:p>
    <w:p>
      <w:pPr>
        <w:spacing w:after="120" w:before="80"/>
        <w:jc w:val="both"/>
      </w:pPr>
      <w:r>
        <w:rPr>
          <w:rFonts w:ascii="Arial" w:cs="Arial" w:eastAsia="Arial" w:hAnsi="Arial"/>
          <w:sz w:val="22"/>
          <w:szCs w:val="22"/>
        </w:rPr>
        <w:t xml:space="preserve">Ejemplos directamente comparables en Colletotrichum: SAD para antracnosis en vid (Vieira et al., 2020, Australasian Plant Pathology) y SAD para antracnosis en pepino (Conforto et al., 2024, Journal of Phytopathology), ambos con validación por ρc de Lin.</w:t>
      </w:r>
    </w:p>
    <w:p>
      <w:pPr>
        <w:spacing w:after="0" w:before="120"/>
      </w:pPr>
      <w:r>
        <w:t xml:space="preserve"/>
      </w:r>
    </w:p>
    <w:p>
      <w:pPr>
        <w:pStyle w:val="Heading1"/>
        <w:spacing w:after="180" w:before="360"/>
      </w:pPr>
      <w:r>
        <w:rPr>
          <w:rFonts w:ascii="Arial" w:cs="Arial" w:eastAsia="Arial" w:hAnsi="Arial"/>
          <w:b/>
          <w:bCs/>
          <w:color w:val="1F5C2E"/>
          <w:sz w:val="32"/>
          <w:szCs w:val="32"/>
        </w:rPr>
        <w:t xml:space="preserve">3. Herramientas de análisis: {pliman} y {r4pde} en R</w:t>
      </w:r>
    </w:p>
    <w:p>
      <w:pPr>
        <w:pStyle w:val="Heading2"/>
        <w:spacing w:after="120" w:before="280"/>
      </w:pPr>
      <w:r>
        <w:rPr>
          <w:rFonts w:ascii="Arial" w:cs="Arial" w:eastAsia="Arial" w:hAnsi="Arial"/>
          <w:b/>
          <w:bCs/>
          <w:color w:val="1F3864"/>
          <w:sz w:val="26"/>
          <w:szCs w:val="26"/>
        </w:rPr>
        <w:t xml:space="preserve">3.1 El paquete {pliman} — Fundamento científico</w:t>
      </w:r>
    </w:p>
    <w:p>
      <w:pPr>
        <w:spacing w:after="120" w:before="80"/>
        <w:jc w:val="both"/>
      </w:pPr>
      <w:r>
        <w:rPr>
          <w:rFonts w:ascii="Arial" w:cs="Arial" w:eastAsia="Arial" w:hAnsi="Arial"/>
          <w:b/>
          <w:bCs/>
          <w:sz w:val="22"/>
          <w:szCs w:val="22"/>
        </w:rPr>
        <w:t xml:space="preserve">Referencia principal: </w:t>
      </w:r>
      <w:r>
        <w:rPr>
          <w:rFonts w:ascii="Arial" w:cs="Arial" w:eastAsia="Arial" w:hAnsi="Arial"/>
          <w:sz w:val="22"/>
          <w:szCs w:val="22"/>
        </w:rPr>
        <w:t xml:space="preserve">Olivoto, T. (2022). Lights, camera, pliman! An R package for plant image analysis. Methods in Ecology and Evolution, 13(4), 789–798. DOI: 10.1111/2041-210X.13803</w:t>
      </w:r>
    </w:p>
    <w:p>
      <w:pPr>
        <w:spacing w:after="120" w:before="80"/>
        <w:jc w:val="both"/>
      </w:pPr>
      <w:r>
        <w:rPr>
          <w:rFonts w:ascii="Arial" w:cs="Arial" w:eastAsia="Arial" w:hAnsi="Arial"/>
          <w:b/>
          <w:bCs/>
          <w:sz w:val="22"/>
          <w:szCs w:val="22"/>
        </w:rPr>
        <w:t xml:space="preserve">Referencia de validación fitopatométrica: </w:t>
      </w:r>
      <w:r>
        <w:rPr>
          <w:rFonts w:ascii="Arial" w:cs="Arial" w:eastAsia="Arial" w:hAnsi="Arial"/>
          <w:sz w:val="22"/>
          <w:szCs w:val="22"/>
        </w:rPr>
        <w:t xml:space="preserve">Olivoto, T., Andrade, S.M.P. &amp; Del Ponte, E.M. (2022). Measuring plant disease severity in R: introducing and evaluating the pliman package. Tropical Plant Pathology, 47, 95–104. DOI: 10.1007/s40858-021-00487-5</w:t>
      </w:r>
    </w:p>
    <w:p>
      <w:pPr>
        <w:spacing w:after="0" w:before="120"/>
      </w:pPr>
      <w:r>
        <w:t xml:space="preserve"/>
      </w:r>
    </w:p>
    <w:p>
      <w:pPr>
        <w:spacing w:after="120" w:before="80"/>
        <w:jc w:val="both"/>
      </w:pPr>
      <w:r>
        <w:rPr>
          <w:rFonts w:ascii="Arial" w:cs="Arial" w:eastAsia="Arial" w:hAnsi="Arial"/>
          <w:sz w:val="22"/>
          <w:szCs w:val="22"/>
        </w:rPr>
        <w:t xml:space="preserve">{pliman} es un paquete de R de código abierto diseñado para análisis de imágenes de plantas. Sus funciones cubren:</w:t>
      </w:r>
    </w:p>
    <w:p>
      <w:pPr>
        <w:pStyle w:val="ListParagraph"/>
        <w:numPr>
          <w:ilvl w:val="0"/>
          <w:numId w:val="2"/>
        </w:numPr>
        <w:spacing w:after="60" w:before="40"/>
      </w:pPr>
      <w:r>
        <w:rPr>
          <w:rFonts w:ascii="Arial" w:cs="Arial" w:eastAsia="Arial" w:hAnsi="Arial"/>
          <w:sz w:val="22"/>
          <w:szCs w:val="22"/>
        </w:rPr>
        <w:t xml:space="preserve">Segmentación por paletas de color RGB (fondo, tejido sano, tejido sintomático)</w:t>
      </w:r>
    </w:p>
    <w:p>
      <w:pPr>
        <w:pStyle w:val="ListParagraph"/>
        <w:numPr>
          <w:ilvl w:val="0"/>
          <w:numId w:val="2"/>
        </w:numPr>
        <w:spacing w:after="60" w:before="40"/>
      </w:pPr>
      <w:r>
        <w:rPr>
          <w:rFonts w:ascii="Arial" w:cs="Arial" w:eastAsia="Arial" w:hAnsi="Arial"/>
          <w:sz w:val="22"/>
          <w:szCs w:val="22"/>
        </w:rPr>
        <w:t xml:space="preserve">Cálculo del % de área sintomática (severidad) por umbral de color</w:t>
      </w:r>
    </w:p>
    <w:p>
      <w:pPr>
        <w:pStyle w:val="ListParagraph"/>
        <w:numPr>
          <w:ilvl w:val="0"/>
          <w:numId w:val="2"/>
        </w:numPr>
        <w:spacing w:after="60" w:before="40"/>
      </w:pPr>
      <w:r>
        <w:rPr>
          <w:rFonts w:ascii="Arial" w:cs="Arial" w:eastAsia="Arial" w:hAnsi="Arial"/>
          <w:sz w:val="22"/>
          <w:szCs w:val="22"/>
        </w:rPr>
        <w:t xml:space="preserve">Índices RGB pre-programados (NGRDI, B, GLI, etc.) para detección sin paleta manual</w:t>
      </w:r>
    </w:p>
    <w:p>
      <w:pPr>
        <w:pStyle w:val="ListParagraph"/>
        <w:numPr>
          <w:ilvl w:val="0"/>
          <w:numId w:val="2"/>
        </w:numPr>
        <w:spacing w:after="60" w:before="40"/>
      </w:pPr>
      <w:r>
        <w:rPr>
          <w:rFonts w:ascii="Arial" w:cs="Arial" w:eastAsia="Arial" w:hAnsi="Arial"/>
          <w:sz w:val="22"/>
          <w:szCs w:val="22"/>
        </w:rPr>
        <w:t xml:space="preserve">Procesamiento por lotes (batch) de cientos de imágenes simultáneamente</w:t>
      </w:r>
    </w:p>
    <w:p>
      <w:pPr>
        <w:pStyle w:val="ListParagraph"/>
        <w:numPr>
          <w:ilvl w:val="0"/>
          <w:numId w:val="2"/>
        </w:numPr>
        <w:spacing w:after="60" w:before="40"/>
      </w:pPr>
      <w:r>
        <w:rPr>
          <w:rFonts w:ascii="Arial" w:cs="Arial" w:eastAsia="Arial" w:hAnsi="Arial"/>
          <w:sz w:val="22"/>
          <w:szCs w:val="22"/>
        </w:rPr>
        <w:t xml:space="preserve">Funciones interactivas (measure_disease_iter) para calibración en campo</w:t>
      </w:r>
    </w:p>
    <w:p>
      <w:pPr>
        <w:pStyle w:val="Heading2"/>
        <w:spacing w:after="120" w:before="280"/>
      </w:pPr>
      <w:r>
        <w:rPr>
          <w:rFonts w:ascii="Arial" w:cs="Arial" w:eastAsia="Arial" w:hAnsi="Arial"/>
          <w:b/>
          <w:bCs/>
          <w:color w:val="1F3864"/>
          <w:sz w:val="26"/>
          <w:szCs w:val="26"/>
        </w:rPr>
        <w:t xml:space="preserve">3.2 Validación de {pliman} contra estándares de la fitopatometría</w:t>
      </w:r>
    </w:p>
    <w:p>
      <w:pPr>
        <w:spacing w:after="120" w:before="80"/>
        <w:jc w:val="both"/>
      </w:pPr>
      <w:r>
        <w:rPr>
          <w:rFonts w:ascii="Arial" w:cs="Arial" w:eastAsia="Arial" w:hAnsi="Arial"/>
          <w:sz w:val="22"/>
          <w:szCs w:val="22"/>
        </w:rPr>
        <w:t xml:space="preserve">El estudio de validación (Olivoto et al., 2022, Trop. Plant Pathology) comparó {pliman} con tres softwares de referencia mundial — APS Assess (estándar de oro comercial), LeafDoctor (app gratuita) e ImageJ — sobre 249 imágenes de 6 enfermedades distintas. Resultados 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1826"/>
      </w:tblGrid>
      <w:tr>
        <w:trPr>
          <w:tblHeader/>
        </w:trPr>
        <w:tc>
          <w:tcPr>
            <w:tcW w:type="dxa" w:w="3200"/>
            <w:tcBorders>
              <w:top w:val="single" w:color="AAAAAA" w:sz="4"/>
              <w:left w:val="single" w:color="AAAAAA" w:sz="4"/>
              <w:bottom w:val="single" w:color="AAAAAA" w:sz="4"/>
              <w:right w:val="single" w:color="AAAAAA" w:sz="4"/>
            </w:tcBorders>
            <w:shd w:fill="1F5C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Patosistema / Enfermedad</w:t>
            </w:r>
          </w:p>
        </w:tc>
        <w:tc>
          <w:tcPr>
            <w:tcW w:type="dxa" w:w="2000"/>
            <w:tcBorders>
              <w:top w:val="single" w:color="AAAAAA" w:sz="4"/>
              <w:left w:val="single" w:color="AAAAAA" w:sz="4"/>
              <w:bottom w:val="single" w:color="AAAAAA" w:sz="4"/>
              <w:right w:val="single" w:color="AAAAAA" w:sz="4"/>
            </w:tcBorders>
            <w:shd w:fill="1F5C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ρc vs Assess</w:t>
            </w:r>
          </w:p>
        </w:tc>
        <w:tc>
          <w:tcPr>
            <w:tcW w:type="dxa" w:w="2000"/>
            <w:tcBorders>
              <w:top w:val="single" w:color="AAAAAA" w:sz="4"/>
              <w:left w:val="single" w:color="AAAAAA" w:sz="4"/>
              <w:bottom w:val="single" w:color="AAAAAA" w:sz="4"/>
              <w:right w:val="single" w:color="AAAAAA" w:sz="4"/>
            </w:tcBorders>
            <w:shd w:fill="1F5C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ρc vs LeafDoctor</w:t>
            </w:r>
          </w:p>
        </w:tc>
        <w:tc>
          <w:tcPr>
            <w:tcW w:type="dxa" w:w="1826"/>
            <w:tcBorders>
              <w:top w:val="single" w:color="AAAAAA" w:sz="4"/>
              <w:left w:val="single" w:color="AAAAAA" w:sz="4"/>
              <w:bottom w:val="single" w:color="AAAAAA" w:sz="4"/>
              <w:right w:val="single" w:color="AAAAAA" w:sz="4"/>
            </w:tcBorders>
            <w:shd w:fill="1F5C2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ρc vs ImageJ</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Mancha bronceada del trigo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1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Roya asiática de soja</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1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&gt;0.98</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Mancha de olivo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1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Mancha parda de arroz</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1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&gt;0.98</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Mancha angular de frijol</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c>
          <w:tcPr>
            <w:tcW w:type="dxa" w:w="18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&gt;0.98</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Xylella en tabaco (baja contrast.)</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0.49</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N/A</w:t>
            </w:r>
          </w:p>
        </w:tc>
        <w:tc>
          <w:tcPr>
            <w:tcW w:type="dxa" w:w="1826"/>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N/A</w:t>
            </w:r>
          </w:p>
        </w:tc>
      </w:tr>
    </w:tbl>
    <w:p>
      <w:pPr>
        <w:spacing w:after="0" w:before="120"/>
      </w:pPr>
      <w:r>
        <w:t xml:space="preserve"/>
      </w:r>
    </w:p>
    <w:tbl>
      <w:tblPr>
        <w:tblW w:type="dxa" w:w="9026"/>
        <w:tblBorders>
          <w:top w:val="single" w:color="1F5C2E" w:sz="12"/>
          <w:left w:val="none"/>
          <w:bottom w:val="none"/>
          <w:right w:val="none"/>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D2" w:val="clear"/>
            <w:tcMar>
              <w:top w:type="dxa" w:w="140"/>
              <w:left w:type="dxa" w:w="200"/>
              <w:bottom w:type="dxa" w:w="140"/>
              <w:right w:type="dxa" w:w="200"/>
            </w:tcMar>
          </w:tcPr>
          <w:p>
            <w:pPr>
              <w:jc w:val="both"/>
            </w:pPr>
            <w:r>
              <w:rPr>
                <w:rFonts w:ascii="Arial" w:cs="Arial" w:eastAsia="Arial" w:hAnsi="Arial"/>
                <w:i/>
                <w:iCs/>
                <w:sz w:val="22"/>
                <w:szCs w:val="22"/>
              </w:rPr>
              <w:t xml:space="preserve">ρc &gt; 0.98 indica concordancia casi perfecta. El único caso problemático (Xylella en tabaco, ρc = 0.49) fue explicado por el bajo contraste entre tejido sintomático y sano — situación fácilmente identificable en antracnosis de mango, donde las lesiones oscuras contrastan claramente con el tejido verde o amarillo de hojas y frutos.</w:t>
            </w:r>
          </w:p>
        </w:tc>
      </w:tr>
    </w:tbl>
    <w:p>
      <w:pPr>
        <w:spacing w:after="0" w:before="120"/>
      </w:pPr>
      <w:r>
        <w:t xml:space="preserve"/>
      </w:r>
    </w:p>
    <w:p>
      <w:pPr>
        <w:spacing w:after="120" w:before="80"/>
        <w:jc w:val="both"/>
      </w:pPr>
      <w:r>
        <w:rPr>
          <w:rFonts w:ascii="Arial" w:cs="Arial" w:eastAsia="Arial" w:hAnsi="Arial"/>
          <w:b/>
          <w:bCs/>
          <w:sz w:val="22"/>
          <w:szCs w:val="22"/>
        </w:rPr>
        <w:t xml:space="preserve">Velocidad de procesamiento: </w:t>
      </w:r>
      <w:r>
        <w:rPr>
          <w:rFonts w:ascii="Arial" w:cs="Arial" w:eastAsia="Arial" w:hAnsi="Arial"/>
          <w:sz w:val="22"/>
          <w:szCs w:val="22"/>
        </w:rPr>
        <w:t xml:space="preserve">{pliman} es 150 a 700 veces más rápido que las herramientas existentes al usar procesamiento paralelo y baja resolución de imagen (1078 × 680 px), sin pérdida de exactitud. Esto lo hace viable para estudios de gran escala como fenotipos de resistencia en germoplasma.</w:t>
      </w:r>
    </w:p>
    <w:p>
      <w:pPr>
        <w:pStyle w:val="Heading2"/>
        <w:spacing w:after="120" w:before="280"/>
      </w:pPr>
      <w:r>
        <w:rPr>
          <w:rFonts w:ascii="Arial" w:cs="Arial" w:eastAsia="Arial" w:hAnsi="Arial"/>
          <w:b/>
          <w:bCs/>
          <w:color w:val="1F3864"/>
          <w:sz w:val="26"/>
          <w:szCs w:val="26"/>
        </w:rPr>
        <w:t xml:space="preserve">3.3 El recurso {r4pde} — Epidemiología Vegetal con R</w:t>
      </w:r>
    </w:p>
    <w:p>
      <w:pPr>
        <w:spacing w:after="120" w:before="80"/>
        <w:jc w:val="both"/>
      </w:pPr>
      <w:r>
        <w:rPr>
          <w:rFonts w:ascii="Arial" w:cs="Arial" w:eastAsia="Arial" w:hAnsi="Arial"/>
          <w:b/>
          <w:bCs/>
          <w:sz w:val="22"/>
          <w:szCs w:val="22"/>
        </w:rPr>
        <w:t xml:space="preserve">Referencia: </w:t>
      </w:r>
      <w:r>
        <w:rPr>
          <w:rFonts w:ascii="Arial" w:cs="Arial" w:eastAsia="Arial" w:hAnsi="Arial"/>
          <w:sz w:val="22"/>
          <w:szCs w:val="22"/>
        </w:rPr>
        <w:t xml:space="preserve">Del Ponte, E.M. (2023). R for Plant Disease Epidemiology. r4pde.net (libro web de acceso abierto). Capítulos 4 (Measuring foliar severity) y 6 (Standard area diagrams).</w:t>
      </w:r>
    </w:p>
    <w:p>
      <w:pPr>
        <w:spacing w:after="120" w:before="80"/>
        <w:jc w:val="both"/>
      </w:pPr>
      <w:r>
        <w:rPr>
          <w:rFonts w:ascii="Arial" w:cs="Arial" w:eastAsia="Arial" w:hAnsi="Arial"/>
          <w:sz w:val="22"/>
          <w:szCs w:val="22"/>
        </w:rPr>
        <w:t xml:space="preserve">{r4pde} es el recurso académico más actualizado y completo sobre epidemiología vegetal computacional en R. Para la cuantificación de severidad, establece que:</w:t>
      </w:r>
    </w:p>
    <w:p>
      <w:pPr>
        <w:pStyle w:val="ListParagraph"/>
        <w:numPr>
          <w:ilvl w:val="0"/>
          <w:numId w:val="2"/>
        </w:numPr>
        <w:spacing w:after="60" w:before="40"/>
      </w:pPr>
      <w:r>
        <w:rPr>
          <w:rFonts w:ascii="Arial" w:cs="Arial" w:eastAsia="Arial" w:hAnsi="Arial"/>
          <w:sz w:val="22"/>
          <w:szCs w:val="22"/>
        </w:rPr>
        <w:t xml:space="preserve">La función measure_disease() de {pliman} es el método de referencia recomendado para obtener el valor 'real' (actual) de severidad en estudios fitopatométricos.</w:t>
      </w:r>
    </w:p>
    <w:p>
      <w:pPr>
        <w:pStyle w:val="ListParagraph"/>
        <w:numPr>
          <w:ilvl w:val="0"/>
          <w:numId w:val="2"/>
        </w:numPr>
        <w:spacing w:after="60" w:before="40"/>
      </w:pPr>
      <w:r>
        <w:rPr>
          <w:rFonts w:ascii="Arial" w:cs="Arial" w:eastAsia="Arial" w:hAnsi="Arial"/>
          <w:sz w:val="22"/>
          <w:szCs w:val="22"/>
        </w:rPr>
        <w:t xml:space="preserve">La paleta compuesta (construida por múltiples evaluadores) produce mayor concordancia que paletas individuales.</w:t>
      </w:r>
    </w:p>
    <w:p>
      <w:pPr>
        <w:pStyle w:val="ListParagraph"/>
        <w:numPr>
          <w:ilvl w:val="0"/>
          <w:numId w:val="2"/>
        </w:numPr>
        <w:spacing w:after="60" w:before="40"/>
      </w:pPr>
      <w:r>
        <w:rPr>
          <w:rFonts w:ascii="Arial" w:cs="Arial" w:eastAsia="Arial" w:hAnsi="Arial"/>
          <w:sz w:val="22"/>
          <w:szCs w:val="22"/>
        </w:rPr>
        <w:t xml:space="preserve">El método de índices RGB (e.g., NGRDI para aislar tejido verde, índice B para remover fondo) permite automatización sin paletas manuales.</w:t>
      </w:r>
    </w:p>
    <w:p>
      <w:pPr>
        <w:pStyle w:val="ListParagraph"/>
        <w:numPr>
          <w:ilvl w:val="0"/>
          <w:numId w:val="2"/>
        </w:numPr>
        <w:spacing w:after="60" w:before="40"/>
      </w:pPr>
      <w:r>
        <w:rPr>
          <w:rFonts w:ascii="Arial" w:cs="Arial" w:eastAsia="Arial" w:hAnsi="Arial"/>
          <w:sz w:val="22"/>
          <w:szCs w:val="22"/>
        </w:rPr>
        <w:t xml:space="preserve">Los resultados de severidad de {pliman} son directamente utilizables como valores de referencia para validar SADs o para calibrar evaluadores visuales.</w:t>
      </w:r>
    </w:p>
    <w:p>
      <w:pPr>
        <w:spacing w:after="0" w:before="120"/>
      </w:pPr>
      <w:r>
        <w:t xml:space="preserve"/>
      </w:r>
    </w:p>
    <w:p>
      <w:pPr>
        <w:pStyle w:val="Heading1"/>
        <w:spacing w:after="180" w:before="360"/>
      </w:pPr>
      <w:r>
        <w:rPr>
          <w:rFonts w:ascii="Arial" w:cs="Arial" w:eastAsia="Arial" w:hAnsi="Arial"/>
          <w:b/>
          <w:bCs/>
          <w:color w:val="1F5C2E"/>
          <w:sz w:val="32"/>
          <w:szCs w:val="32"/>
        </w:rPr>
        <w:t xml:space="preserve">4. Pipeline metodológico: paso a paso</w:t>
      </w:r>
    </w:p>
    <w:p>
      <w:pPr>
        <w:pStyle w:val="Heading2"/>
        <w:spacing w:after="120" w:before="280"/>
      </w:pPr>
      <w:r>
        <w:rPr>
          <w:rFonts w:ascii="Arial" w:cs="Arial" w:eastAsia="Arial" w:hAnsi="Arial"/>
          <w:b/>
          <w:bCs/>
          <w:color w:val="1F3864"/>
          <w:sz w:val="26"/>
          <w:szCs w:val="26"/>
        </w:rPr>
        <w:t xml:space="preserve">Diagrama general del flujo</w:t>
      </w:r>
    </w:p>
    <w:tbl>
      <w:tblPr>
        <w:tblW w:type="dxa" w:w="9026"/>
        <w:tblBorders>
          <w:top w:val="single" w:color="1F3864" w:sz="12"/>
          <w:left w:val="none"/>
          <w:bottom w:val="none"/>
          <w:right w:val="none"/>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DEEFF" w:val="clear"/>
            <w:tcMar>
              <w:top w:type="dxa" w:w="140"/>
              <w:left w:type="dxa" w:w="200"/>
              <w:bottom w:type="dxa" w:w="140"/>
              <w:right w:type="dxa" w:w="200"/>
            </w:tcMar>
          </w:tcPr>
          <w:p>
            <w:pPr>
              <w:jc w:val="both"/>
            </w:pPr>
            <w:r>
              <w:rPr>
                <w:rFonts w:ascii="Arial" w:cs="Arial" w:eastAsia="Arial" w:hAnsi="Arial"/>
                <w:i/>
                <w:iCs/>
                <w:sz w:val="22"/>
                <w:szCs w:val="22"/>
              </w:rPr>
              <w:t xml:space="preserve">[1] CAPTURA DE IMÁGENES → [2] CONSTRUCCIÓN DE PALETA → [3] SEGMENTACIÓN CON {pliman} → [4] CÁLCULO DE SEVERIDAD → [5] ASIGNACIÓN A ESCALA ORDINAL → [6] ANÁLISIS ESTADÍSTICO EN R → [7] VALIDACIÓN CRUZADA (SAD/evaluador) → [8] INTEGRACIÓN EN RESULTADOS DE TESIS</w:t>
            </w:r>
          </w:p>
        </w:tc>
      </w:tr>
    </w:tbl>
    <w:p>
      <w:pPr>
        <w:spacing w:after="0" w:before="120"/>
      </w:pPr>
      <w:r>
        <w:t xml:space="preserve"/>
      </w:r>
    </w:p>
    <w:p>
      <w:pPr>
        <w:pStyle w:val="Heading2"/>
        <w:spacing w:after="120" w:before="280"/>
      </w:pPr>
      <w:r>
        <w:rPr>
          <w:rFonts w:ascii="Arial" w:cs="Arial" w:eastAsia="Arial" w:hAnsi="Arial"/>
          <w:b/>
          <w:bCs/>
          <w:color w:val="1F3864"/>
          <w:sz w:val="26"/>
          <w:szCs w:val="26"/>
        </w:rPr>
        <w:t xml:space="preserve">Paso 1 — Protocolo de captura de imágenes</w:t>
      </w:r>
    </w:p>
    <w:p>
      <w:pPr>
        <w:spacing w:after="120" w:before="80"/>
        <w:jc w:val="both"/>
      </w:pPr>
      <w:r>
        <w:rPr>
          <w:rFonts w:ascii="Arial" w:cs="Arial" w:eastAsia="Arial" w:hAnsi="Arial"/>
          <w:sz w:val="22"/>
          <w:szCs w:val="22"/>
        </w:rPr>
        <w:t xml:space="preserve">La estandarización de la captura es crítica para la reproducibilidad de los resultados. Seguir las recomendaciones de Olivoto (2022, Methods in Ecology and Evolution):</w:t>
      </w:r>
    </w:p>
    <w:p>
      <w:pPr>
        <w:pStyle w:val="ListParagraph"/>
        <w:numPr>
          <w:ilvl w:val="0"/>
          <w:numId w:val="3"/>
        </w:numPr>
        <w:spacing w:after="80" w:before="60"/>
      </w:pPr>
      <w:r>
        <w:rPr>
          <w:rFonts w:ascii="Arial" w:cs="Arial" w:eastAsia="Arial" w:hAnsi="Arial"/>
          <w:sz w:val="22"/>
          <w:szCs w:val="22"/>
        </w:rPr>
        <w:t xml:space="preserve">Fondo contrastante: usar cartulina azul, negra o blanca detrás del órgano (hoja o fruto). El azul es preferido para hojas verdes; el blanco para frutos.</w:t>
      </w:r>
    </w:p>
    <w:p>
      <w:pPr>
        <w:pStyle w:val="ListParagraph"/>
        <w:numPr>
          <w:ilvl w:val="0"/>
          <w:numId w:val="3"/>
        </w:numPr>
        <w:spacing w:after="80" w:before="60"/>
      </w:pPr>
      <w:r>
        <w:rPr>
          <w:rFonts w:ascii="Arial" w:cs="Arial" w:eastAsia="Arial" w:hAnsi="Arial"/>
          <w:sz w:val="22"/>
          <w:szCs w:val="22"/>
        </w:rPr>
        <w:t xml:space="preserve">Iluminación difusa: capturar bajo luz natural indirecta o luz artificial difusa. Evitar sombras, sobreexposición y gradientes de luminosidad.</w:t>
      </w:r>
    </w:p>
    <w:p>
      <w:pPr>
        <w:pStyle w:val="ListParagraph"/>
        <w:numPr>
          <w:ilvl w:val="0"/>
          <w:numId w:val="3"/>
        </w:numPr>
        <w:spacing w:after="80" w:before="60"/>
      </w:pPr>
      <w:r>
        <w:rPr>
          <w:rFonts w:ascii="Arial" w:cs="Arial" w:eastAsia="Arial" w:hAnsi="Arial"/>
          <w:sz w:val="22"/>
          <w:szCs w:val="22"/>
        </w:rPr>
        <w:t xml:space="preserve">Distancia y ángulo estándar: mantener distancia constante (ej. 30 cm) para hojas de tamaño similar; usar soporte fijo (trípode o caja de luz) para consistencia entre imágenes.</w:t>
      </w:r>
    </w:p>
    <w:p>
      <w:pPr>
        <w:pStyle w:val="ListParagraph"/>
        <w:numPr>
          <w:ilvl w:val="0"/>
          <w:numId w:val="3"/>
        </w:numPr>
        <w:spacing w:after="80" w:before="60"/>
      </w:pPr>
      <w:r>
        <w:rPr>
          <w:rFonts w:ascii="Arial" w:cs="Arial" w:eastAsia="Arial" w:hAnsi="Arial"/>
          <w:sz w:val="22"/>
          <w:szCs w:val="22"/>
        </w:rPr>
        <w:t xml:space="preserve">Resolución mínima: 1 MP (1078×680 px) es suficiente. Resoluciones mayores no mejoran la exactitud pero aumentan el tiempo de procesamiento.</w:t>
      </w:r>
    </w:p>
    <w:p>
      <w:pPr>
        <w:pStyle w:val="ListParagraph"/>
        <w:numPr>
          <w:ilvl w:val="0"/>
          <w:numId w:val="3"/>
        </w:numPr>
        <w:spacing w:after="80" w:before="60"/>
      </w:pPr>
      <w:r>
        <w:rPr>
          <w:rFonts w:ascii="Arial" w:cs="Arial" w:eastAsia="Arial" w:hAnsi="Arial"/>
          <w:sz w:val="22"/>
          <w:szCs w:val="22"/>
        </w:rPr>
        <w:t xml:space="preserve">Nomenclatura de archivos: usar un código que incluya ID_muestra, fecha, y órgano evaluado (ej. MG01_2024-10-15_hoja.jpg). Esto facilita el procesamiento por lotes.</w:t>
      </w:r>
    </w:p>
    <w:p>
      <w:pPr>
        <w:spacing w:after="0" w:before="120"/>
      </w:pPr>
      <w:r>
        <w:t xml:space="preserve"/>
      </w:r>
    </w:p>
    <w:tbl>
      <w:tblPr>
        <w:tblW w:type="dxa" w:w="9026"/>
        <w:tblBorders>
          <w:top w:val="single" w:color="1F5C2E" w:sz="12"/>
          <w:left w:val="none"/>
          <w:bottom w:val="none"/>
          <w:right w:val="none"/>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D2" w:val="clear"/>
            <w:tcMar>
              <w:top w:type="dxa" w:w="140"/>
              <w:left w:type="dxa" w:w="200"/>
              <w:bottom w:type="dxa" w:w="140"/>
              <w:right w:type="dxa" w:w="200"/>
            </w:tcMar>
          </w:tcPr>
          <w:p>
            <w:pPr>
              <w:jc w:val="both"/>
            </w:pPr>
            <w:r>
              <w:rPr>
                <w:rFonts w:ascii="Arial" w:cs="Arial" w:eastAsia="Arial" w:hAnsi="Arial"/>
                <w:i/>
                <w:iCs/>
                <w:sz w:val="22"/>
                <w:szCs w:val="22"/>
              </w:rPr>
              <w:t xml:space="preserve">Para frutos esféricos: Corkidi et al. (2006) propusieron un sistema de rotación 360° con captura de imagen continua para mapear la superficie completa en proyección plana. Aunque no es de rutina, este enfoque es el más exacto para frutos con lesiones en múltiples caras, y su fundamento puede citarse para justificar el uso de análisis de imágenes por cara visible como aproximación válida.</w:t>
            </w:r>
          </w:p>
        </w:tc>
      </w:tr>
    </w:tbl>
    <w:p>
      <w:pPr>
        <w:spacing w:after="0" w:before="120"/>
      </w:pPr>
      <w:r>
        <w:t xml:space="preserve"/>
      </w:r>
    </w:p>
    <w:p>
      <w:pPr>
        <w:pStyle w:val="Heading2"/>
        <w:spacing w:after="120" w:before="280"/>
      </w:pPr>
      <w:r>
        <w:rPr>
          <w:rFonts w:ascii="Arial" w:cs="Arial" w:eastAsia="Arial" w:hAnsi="Arial"/>
          <w:b/>
          <w:bCs/>
          <w:color w:val="1F3864"/>
          <w:sz w:val="26"/>
          <w:szCs w:val="26"/>
        </w:rPr>
        <w:t xml:space="preserve">Paso 2 — Construcción de paleta de referencia en {pliman}</w:t>
      </w:r>
    </w:p>
    <w:p>
      <w:pPr>
        <w:spacing w:after="120" w:before="80"/>
        <w:jc w:val="both"/>
      </w:pPr>
      <w:r>
        <w:rPr>
          <w:rFonts w:ascii="Arial" w:cs="Arial" w:eastAsia="Arial" w:hAnsi="Arial"/>
          <w:sz w:val="22"/>
          <w:szCs w:val="22"/>
        </w:rPr>
        <w:t xml:space="preserve">La paleta define los tres tipos de píxeles que {pliman} debe identificar: fondo (b), tejido sano (h) y tejido sintomático (s). Este es el paso más crítico para la calidad de los resultados.</w:t>
      </w:r>
    </w:p>
    <w:p>
      <w:pPr>
        <w:pStyle w:val="ListParagraph"/>
        <w:numPr>
          <w:ilvl w:val="0"/>
          <w:numId w:val="3"/>
        </w:numPr>
        <w:spacing w:after="80" w:before="60"/>
      </w:pPr>
      <w:r>
        <w:rPr>
          <w:rFonts w:ascii="Arial" w:cs="Arial" w:eastAsia="Arial" w:hAnsi="Arial"/>
          <w:sz w:val="22"/>
          <w:szCs w:val="22"/>
        </w:rPr>
        <w:t xml:space="preserve">Seleccionar 10–20 imágenes representativas del rango completo de severidad.</w:t>
      </w:r>
    </w:p>
    <w:p>
      <w:pPr>
        <w:pStyle w:val="ListParagraph"/>
        <w:numPr>
          <w:ilvl w:val="0"/>
          <w:numId w:val="3"/>
        </w:numPr>
        <w:spacing w:after="80" w:before="60"/>
      </w:pPr>
      <w:r>
        <w:rPr>
          <w:rFonts w:ascii="Arial" w:cs="Arial" w:eastAsia="Arial" w:hAnsi="Arial"/>
          <w:sz w:val="22"/>
          <w:szCs w:val="22"/>
        </w:rPr>
        <w:t xml:space="preserve">En un editor de imágenes (GIMP, Photoshop, Google Slides) o directamente con measure_disease_iter() en R, marcar pequeñas regiones de cada clase en varias imágenes.</w:t>
      </w:r>
    </w:p>
    <w:p>
      <w:pPr>
        <w:pStyle w:val="ListParagraph"/>
        <w:numPr>
          <w:ilvl w:val="0"/>
          <w:numId w:val="3"/>
        </w:numPr>
        <w:spacing w:after="80" w:before="60"/>
      </w:pPr>
      <w:r>
        <w:rPr>
          <w:rFonts w:ascii="Arial" w:cs="Arial" w:eastAsia="Arial" w:hAnsi="Arial"/>
          <w:sz w:val="22"/>
          <w:szCs w:val="22"/>
        </w:rPr>
        <w:t xml:space="preserve">Exportar tres archivos PNG separados: antracnosis_b.png, antracnosis_h.png, antracnosis_s.png</w:t>
      </w:r>
    </w:p>
    <w:p>
      <w:pPr>
        <w:pStyle w:val="ListParagraph"/>
        <w:numPr>
          <w:ilvl w:val="0"/>
          <w:numId w:val="3"/>
        </w:numPr>
        <w:spacing w:after="80" w:before="60"/>
      </w:pPr>
      <w:r>
        <w:rPr>
          <w:rFonts w:ascii="Arial" w:cs="Arial" w:eastAsia="Arial" w:hAnsi="Arial"/>
          <w:sz w:val="22"/>
          <w:szCs w:val="22"/>
        </w:rPr>
        <w:t xml:space="preserve">Validar la paleta visualmente procesando 5–10 imágenes con mask visual antes de el procesamiento masivo.</w:t>
      </w:r>
    </w:p>
    <w:p>
      <w:pPr>
        <w:pStyle w:val="ListParagraph"/>
        <w:numPr>
          <w:ilvl w:val="0"/>
          <w:numId w:val="3"/>
        </w:numPr>
        <w:spacing w:after="80" w:before="60"/>
      </w:pPr>
      <w:r>
        <w:rPr>
          <w:rFonts w:ascii="Arial" w:cs="Arial" w:eastAsia="Arial" w:hAnsi="Arial"/>
          <w:sz w:val="22"/>
          <w:szCs w:val="22"/>
        </w:rPr>
        <w:t xml:space="preserve">Si hay más de un evaluador: construir paletas independientes y luego una paleta compuesta (joint palette) para reducir el efecto del evaluador como fuente de variación.</w:t>
      </w:r>
    </w:p>
    <w:p>
      <w:pPr>
        <w:spacing w:after="0" w:before="120"/>
      </w:pPr>
      <w:r>
        <w:t xml:space="preserve"/>
      </w:r>
    </w:p>
    <w:p>
      <w:pPr>
        <w:spacing w:after="60" w:before="60"/>
        <w:ind w:left="720"/>
      </w:pPr>
      <w:r>
        <w:rPr>
          <w:rFonts w:ascii="Courier New" w:cs="Courier New" w:eastAsia="Courier New" w:hAnsi="Courier New"/>
          <w:color w:val="1F3864"/>
          <w:sz w:val="20"/>
          <w:szCs w:val="20"/>
        </w:rPr>
        <w:t xml:space="preserve"># Ejemplo en R — Validación visual de paleta</w:t>
      </w:r>
    </w:p>
    <w:p>
      <w:pPr>
        <w:spacing w:after="60" w:before="60"/>
        <w:ind w:left="720"/>
      </w:pPr>
      <w:r>
        <w:rPr>
          <w:rFonts w:ascii="Courier New" w:cs="Courier New" w:eastAsia="Courier New" w:hAnsi="Courier New"/>
          <w:color w:val="1F3864"/>
          <w:sz w:val="20"/>
          <w:szCs w:val="20"/>
        </w:rPr>
        <w:t xml:space="preserve">library(pliman)</w:t>
      </w:r>
    </w:p>
    <w:p>
      <w:pPr>
        <w:spacing w:after="60" w:before="60"/>
        <w:ind w:left="720"/>
      </w:pPr>
      <w:r>
        <w:rPr>
          <w:rFonts w:ascii="Courier New" w:cs="Courier New" w:eastAsia="Courier New" w:hAnsi="Courier New"/>
          <w:color w:val="1F3864"/>
          <w:sz w:val="20"/>
          <w:szCs w:val="20"/>
        </w:rPr>
        <w:t xml:space="preserve">h &lt;- image_import('antracnosis_h.png')</w:t>
      </w:r>
    </w:p>
    <w:p>
      <w:pPr>
        <w:spacing w:after="60" w:before="60"/>
        <w:ind w:left="720"/>
      </w:pPr>
      <w:r>
        <w:rPr>
          <w:rFonts w:ascii="Courier New" w:cs="Courier New" w:eastAsia="Courier New" w:hAnsi="Courier New"/>
          <w:color w:val="1F3864"/>
          <w:sz w:val="20"/>
          <w:szCs w:val="20"/>
        </w:rPr>
        <w:t xml:space="preserve">s &lt;- image_import('antracnosis_s.png')</w:t>
      </w:r>
    </w:p>
    <w:p>
      <w:pPr>
        <w:spacing w:after="60" w:before="60"/>
        <w:ind w:left="720"/>
      </w:pPr>
      <w:r>
        <w:rPr>
          <w:rFonts w:ascii="Courier New" w:cs="Courier New" w:eastAsia="Courier New" w:hAnsi="Courier New"/>
          <w:color w:val="1F3864"/>
          <w:sz w:val="20"/>
          <w:szCs w:val="20"/>
        </w:rPr>
        <w:t xml:space="preserve">b &lt;- image_import('antracnosis_b.png')</w:t>
      </w:r>
    </w:p>
    <w:p>
      <w:pPr>
        <w:spacing w:after="60" w:before="60"/>
        <w:ind w:left="720"/>
      </w:pPr>
      <w:r>
        <w:rPr>
          <w:rFonts w:ascii="Courier New" w:cs="Courier New" w:eastAsia="Courier New" w:hAnsi="Courier New"/>
          <w:color w:val="1F3864"/>
          <w:sz w:val="20"/>
          <w:szCs w:val="20"/>
        </w:rPr>
        <w:t xml:space="preserve">img &lt;- image_import('muestra_MG01.jpg')</w:t>
      </w:r>
    </w:p>
    <w:p>
      <w:pPr>
        <w:spacing w:after="60" w:before="60"/>
        <w:ind w:left="720"/>
      </w:pPr>
      <w:r>
        <w:rPr>
          <w:rFonts w:ascii="Courier New" w:cs="Courier New" w:eastAsia="Courier New" w:hAnsi="Courier New"/>
          <w:color w:val="1F3864"/>
          <w:sz w:val="20"/>
          <w:szCs w:val="20"/>
        </w:rPr>
        <w:t xml:space="preserve">resultado &lt;- measure_disease(img = img,</w:t>
      </w:r>
    </w:p>
    <w:p>
      <w:pPr>
        <w:spacing w:after="60" w:before="60"/>
        <w:ind w:left="720"/>
      </w:pPr>
      <w:r>
        <w:rPr>
          <w:rFonts w:ascii="Courier New" w:cs="Courier New" w:eastAsia="Courier New" w:hAnsi="Courier New"/>
          <w:color w:val="1F3864"/>
          <w:sz w:val="20"/>
          <w:szCs w:val="20"/>
        </w:rPr>
        <w:t xml:space="preserve">                            img_healthy = h,</w:t>
      </w:r>
    </w:p>
    <w:p>
      <w:pPr>
        <w:spacing w:after="60" w:before="60"/>
        <w:ind w:left="720"/>
      </w:pPr>
      <w:r>
        <w:rPr>
          <w:rFonts w:ascii="Courier New" w:cs="Courier New" w:eastAsia="Courier New" w:hAnsi="Courier New"/>
          <w:color w:val="1F3864"/>
          <w:sz w:val="20"/>
          <w:szCs w:val="20"/>
        </w:rPr>
        <w:t xml:space="preserve">                            img_symptoms = s,</w:t>
      </w:r>
    </w:p>
    <w:p>
      <w:pPr>
        <w:spacing w:after="60" w:before="60"/>
        <w:ind w:left="720"/>
      </w:pPr>
      <w:r>
        <w:rPr>
          <w:rFonts w:ascii="Courier New" w:cs="Courier New" w:eastAsia="Courier New" w:hAnsi="Courier New"/>
          <w:color w:val="1F3864"/>
          <w:sz w:val="20"/>
          <w:szCs w:val="20"/>
        </w:rPr>
        <w:t xml:space="preserve">                            img_background = b,</w:t>
      </w:r>
    </w:p>
    <w:p>
      <w:pPr>
        <w:spacing w:after="60" w:before="60"/>
        <w:ind w:left="720"/>
      </w:pPr>
      <w:r>
        <w:rPr>
          <w:rFonts w:ascii="Courier New" w:cs="Courier New" w:eastAsia="Courier New" w:hAnsi="Courier New"/>
          <w:color w:val="1F3864"/>
          <w:sz w:val="20"/>
          <w:szCs w:val="20"/>
        </w:rPr>
        <w:t xml:space="preserve">                            show_image = TRUE)</w:t>
      </w:r>
    </w:p>
    <w:p>
      <w:pPr>
        <w:spacing w:after="60" w:before="60"/>
        <w:ind w:left="720"/>
      </w:pPr>
      <w:r>
        <w:rPr>
          <w:rFonts w:ascii="Courier New" w:cs="Courier New" w:eastAsia="Courier New" w:hAnsi="Courier New"/>
          <w:color w:val="1F3864"/>
          <w:sz w:val="20"/>
          <w:szCs w:val="20"/>
        </w:rPr>
        <w:t xml:space="preserve">resultado$severity  # % sano y % sintomático</w:t>
      </w:r>
    </w:p>
    <w:p>
      <w:pPr>
        <w:spacing w:after="0" w:before="120"/>
      </w:pPr>
      <w:r>
        <w:t xml:space="preserve"/>
      </w:r>
    </w:p>
    <w:p>
      <w:pPr>
        <w:pStyle w:val="Heading2"/>
        <w:spacing w:after="120" w:before="280"/>
      </w:pPr>
      <w:r>
        <w:rPr>
          <w:rFonts w:ascii="Arial" w:cs="Arial" w:eastAsia="Arial" w:hAnsi="Arial"/>
          <w:b/>
          <w:bCs/>
          <w:color w:val="1F3864"/>
          <w:sz w:val="26"/>
          <w:szCs w:val="26"/>
        </w:rPr>
        <w:t xml:space="preserve">Paso 3 — Procesamiento por lotes (batch) de todas las imágenes</w:t>
      </w:r>
    </w:p>
    <w:p>
      <w:pPr>
        <w:spacing w:after="120" w:before="80"/>
        <w:jc w:val="both"/>
      </w:pPr>
      <w:r>
        <w:rPr>
          <w:rFonts w:ascii="Arial" w:cs="Arial" w:eastAsia="Arial" w:hAnsi="Arial"/>
          <w:sz w:val="22"/>
          <w:szCs w:val="22"/>
        </w:rPr>
        <w:t xml:space="preserve">Una vez validada la paleta, se procesan todas las imágenes de forma masiva con procesamiento paralelo:</w:t>
      </w:r>
    </w:p>
    <w:p>
      <w:pPr>
        <w:spacing w:after="60" w:before="60"/>
        <w:ind w:left="720"/>
      </w:pPr>
      <w:r>
        <w:rPr>
          <w:rFonts w:ascii="Courier New" w:cs="Courier New" w:eastAsia="Courier New" w:hAnsi="Courier New"/>
          <w:color w:val="1F3864"/>
          <w:sz w:val="20"/>
          <w:szCs w:val="20"/>
        </w:rPr>
        <w:t xml:space="preserve"># Procesamiento por lotes — todas las imágenes con prefijo 'img'</w:t>
      </w:r>
    </w:p>
    <w:p>
      <w:pPr>
        <w:spacing w:after="60" w:before="60"/>
        <w:ind w:left="720"/>
      </w:pPr>
      <w:r>
        <w:rPr>
          <w:rFonts w:ascii="Courier New" w:cs="Courier New" w:eastAsia="Courier New" w:hAnsi="Courier New"/>
          <w:color w:val="1F3864"/>
          <w:sz w:val="20"/>
          <w:szCs w:val="20"/>
        </w:rPr>
        <w:t xml:space="preserve">severidades &lt;- measure_disease(</w:t>
      </w:r>
    </w:p>
    <w:p>
      <w:pPr>
        <w:spacing w:after="60" w:before="60"/>
        <w:ind w:left="720"/>
      </w:pPr>
      <w:r>
        <w:rPr>
          <w:rFonts w:ascii="Courier New" w:cs="Courier New" w:eastAsia="Courier New" w:hAnsi="Courier New"/>
          <w:color w:val="1F3864"/>
          <w:sz w:val="20"/>
          <w:szCs w:val="20"/>
        </w:rPr>
        <w:t xml:space="preserve">    pattern      = 'img',</w:t>
      </w:r>
    </w:p>
    <w:p>
      <w:pPr>
        <w:spacing w:after="60" w:before="60"/>
        <w:ind w:left="720"/>
      </w:pPr>
      <w:r>
        <w:rPr>
          <w:rFonts w:ascii="Courier New" w:cs="Courier New" w:eastAsia="Courier New" w:hAnsi="Courier New"/>
          <w:color w:val="1F3864"/>
          <w:sz w:val="20"/>
          <w:szCs w:val="20"/>
        </w:rPr>
        <w:t xml:space="preserve">    dir_original = 'fotos/originales/',</w:t>
      </w:r>
    </w:p>
    <w:p>
      <w:pPr>
        <w:spacing w:after="60" w:before="60"/>
        <w:ind w:left="720"/>
      </w:pPr>
      <w:r>
        <w:rPr>
          <w:rFonts w:ascii="Courier New" w:cs="Courier New" w:eastAsia="Courier New" w:hAnsi="Courier New"/>
          <w:color w:val="1F3864"/>
          <w:sz w:val="20"/>
          <w:szCs w:val="20"/>
        </w:rPr>
        <w:t xml:space="preserve">    dir_processed = 'fotos/procesadas/',</w:t>
      </w:r>
    </w:p>
    <w:p>
      <w:pPr>
        <w:spacing w:after="60" w:before="60"/>
        <w:ind w:left="720"/>
      </w:pPr>
      <w:r>
        <w:rPr>
          <w:rFonts w:ascii="Courier New" w:cs="Courier New" w:eastAsia="Courier New" w:hAnsi="Courier New"/>
          <w:color w:val="1F3864"/>
          <w:sz w:val="20"/>
          <w:szCs w:val="20"/>
        </w:rPr>
        <w:t xml:space="preserve">    img_healthy   = h,</w:t>
      </w:r>
    </w:p>
    <w:p>
      <w:pPr>
        <w:spacing w:after="60" w:before="60"/>
        <w:ind w:left="720"/>
      </w:pPr>
      <w:r>
        <w:rPr>
          <w:rFonts w:ascii="Courier New" w:cs="Courier New" w:eastAsia="Courier New" w:hAnsi="Courier New"/>
          <w:color w:val="1F3864"/>
          <w:sz w:val="20"/>
          <w:szCs w:val="20"/>
        </w:rPr>
        <w:t xml:space="preserve">    img_symptoms  = s,</w:t>
      </w:r>
    </w:p>
    <w:p>
      <w:pPr>
        <w:spacing w:after="60" w:before="60"/>
        <w:ind w:left="720"/>
      </w:pPr>
      <w:r>
        <w:rPr>
          <w:rFonts w:ascii="Courier New" w:cs="Courier New" w:eastAsia="Courier New" w:hAnsi="Courier New"/>
          <w:color w:val="1F3864"/>
          <w:sz w:val="20"/>
          <w:szCs w:val="20"/>
        </w:rPr>
        <w:t xml:space="preserve">    img_background = b,</w:t>
      </w:r>
    </w:p>
    <w:p>
      <w:pPr>
        <w:spacing w:after="60" w:before="60"/>
        <w:ind w:left="720"/>
      </w:pPr>
      <w:r>
        <w:rPr>
          <w:rFonts w:ascii="Courier New" w:cs="Courier New" w:eastAsia="Courier New" w:hAnsi="Courier New"/>
          <w:color w:val="1F3864"/>
          <w:sz w:val="20"/>
          <w:szCs w:val="20"/>
        </w:rPr>
        <w:t xml:space="preserve">    save_image    = TRUE,</w:t>
      </w:r>
    </w:p>
    <w:p>
      <w:pPr>
        <w:spacing w:after="60" w:before="60"/>
        <w:ind w:left="720"/>
      </w:pPr>
      <w:r>
        <w:rPr>
          <w:rFonts w:ascii="Courier New" w:cs="Courier New" w:eastAsia="Courier New" w:hAnsi="Courier New"/>
          <w:color w:val="1F3864"/>
          <w:sz w:val="20"/>
          <w:szCs w:val="20"/>
        </w:rPr>
        <w:t xml:space="preserve">    parallel      = TRUE,</w:t>
      </w:r>
    </w:p>
    <w:p>
      <w:pPr>
        <w:spacing w:after="60" w:before="60"/>
        <w:ind w:left="720"/>
      </w:pPr>
      <w:r>
        <w:rPr>
          <w:rFonts w:ascii="Courier New" w:cs="Courier New" w:eastAsia="Courier New" w:hAnsi="Courier New"/>
          <w:color w:val="1F3864"/>
          <w:sz w:val="20"/>
          <w:szCs w:val="20"/>
        </w:rPr>
        <w:t xml:space="preserve">    verbose       = FALSE</w:t>
      </w:r>
    </w:p>
    <w:p>
      <w:pPr>
        <w:spacing w:after="60" w:before="60"/>
        <w:ind w:left="720"/>
      </w:pPr>
      <w:r>
        <w:rPr>
          <w:rFonts w:ascii="Courier New" w:cs="Courier New" w:eastAsia="Courier New" w:hAnsi="Courier New"/>
          <w:color w:val="1F3864"/>
          <w:sz w:val="20"/>
          <w:szCs w:val="20"/>
        </w:rPr>
        <w:t xml:space="preserve">)</w:t>
      </w:r>
    </w:p>
    <w:p>
      <w:pPr>
        <w:spacing w:after="60" w:before="60"/>
        <w:ind w:left="720"/>
      </w:pPr>
      <w:r>
        <w:rPr>
          <w:rFonts w:ascii="Courier New" w:cs="Courier New" w:eastAsia="Courier New" w:hAnsi="Courier New"/>
          <w:color w:val="1F3864"/>
          <w:sz w:val="20"/>
          <w:szCs w:val="20"/>
        </w:rPr>
        <w:t xml:space="preserve"># Exportar resultados</w:t>
      </w:r>
    </w:p>
    <w:p>
      <w:pPr>
        <w:spacing w:after="60" w:before="60"/>
        <w:ind w:left="720"/>
      </w:pPr>
      <w:r>
        <w:rPr>
          <w:rFonts w:ascii="Courier New" w:cs="Courier New" w:eastAsia="Courier New" w:hAnsi="Courier New"/>
          <w:color w:val="1F3864"/>
          <w:sz w:val="20"/>
          <w:szCs w:val="20"/>
        </w:rPr>
        <w:t xml:space="preserve">write.csv(severidades, 'resultados_severidad.csv', row.names = FALSE)</w:t>
      </w:r>
    </w:p>
    <w:p>
      <w:pPr>
        <w:spacing w:after="0" w:before="120"/>
      </w:pPr>
      <w:r>
        <w:t xml:space="preserve"/>
      </w:r>
    </w:p>
    <w:p>
      <w:pPr>
        <w:pStyle w:val="Heading2"/>
        <w:spacing w:after="120" w:before="280"/>
      </w:pPr>
      <w:r>
        <w:rPr>
          <w:rFonts w:ascii="Arial" w:cs="Arial" w:eastAsia="Arial" w:hAnsi="Arial"/>
          <w:b/>
          <w:bCs/>
          <w:color w:val="1F3864"/>
          <w:sz w:val="26"/>
          <w:szCs w:val="26"/>
        </w:rPr>
        <w:t xml:space="preserve">Paso 4 — Asignación a escala ordinal y cálculo del PDI</w:t>
      </w:r>
    </w:p>
    <w:p>
      <w:pPr>
        <w:spacing w:after="120" w:before="80"/>
        <w:jc w:val="both"/>
      </w:pPr>
      <w:r>
        <w:rPr>
          <w:rFonts w:ascii="Arial" w:cs="Arial" w:eastAsia="Arial" w:hAnsi="Arial"/>
          <w:sz w:val="22"/>
          <w:szCs w:val="22"/>
        </w:rPr>
        <w:t xml:space="preserve">Una vez obtenido el % de área sintomática por imagen, se asigna el grado ordinal de la escala 0–5 (Sundravadana et al., 2007) y se calcula el PDI de McKinney (1923):</w:t>
      </w:r>
    </w:p>
    <w:p>
      <w:pPr>
        <w:spacing w:after="60" w:before="60"/>
        <w:ind w:left="720"/>
      </w:pPr>
      <w:r>
        <w:rPr>
          <w:rFonts w:ascii="Courier New" w:cs="Courier New" w:eastAsia="Courier New" w:hAnsi="Courier New"/>
          <w:color w:val="1F3864"/>
          <w:sz w:val="20"/>
          <w:szCs w:val="20"/>
        </w:rPr>
        <w:t xml:space="preserve"># Asignación de grado ordinal en R</w:t>
      </w:r>
    </w:p>
    <w:p>
      <w:pPr>
        <w:spacing w:after="60" w:before="60"/>
        <w:ind w:left="720"/>
      </w:pPr>
      <w:r>
        <w:rPr>
          <w:rFonts w:ascii="Courier New" w:cs="Courier New" w:eastAsia="Courier New" w:hAnsi="Courier New"/>
          <w:color w:val="1F3864"/>
          <w:sz w:val="20"/>
          <w:szCs w:val="20"/>
        </w:rPr>
        <w:t xml:space="preserve">severidades$grado &lt;- cut(severidades$symptomatic,</w:t>
      </w:r>
    </w:p>
    <w:p>
      <w:pPr>
        <w:spacing w:after="60" w:before="60"/>
        <w:ind w:left="720"/>
      </w:pPr>
      <w:r>
        <w:rPr>
          <w:rFonts w:ascii="Courier New" w:cs="Courier New" w:eastAsia="Courier New" w:hAnsi="Courier New"/>
          <w:color w:val="1F3864"/>
          <w:sz w:val="20"/>
          <w:szCs w:val="20"/>
        </w:rPr>
        <w:t xml:space="preserve">    breaks = c(-Inf, 0, 10, 25, 50, 75, Inf),</w:t>
      </w:r>
    </w:p>
    <w:p>
      <w:pPr>
        <w:spacing w:after="60" w:before="60"/>
        <w:ind w:left="720"/>
      </w:pPr>
      <w:r>
        <w:rPr>
          <w:rFonts w:ascii="Courier New" w:cs="Courier New" w:eastAsia="Courier New" w:hAnsi="Courier New"/>
          <w:color w:val="1F3864"/>
          <w:sz w:val="20"/>
          <w:szCs w:val="20"/>
        </w:rPr>
        <w:t xml:space="preserve">    labels = c(0, 1, 2, 3, 4, 5),</w:t>
      </w:r>
    </w:p>
    <w:p>
      <w:pPr>
        <w:spacing w:after="60" w:before="60"/>
        <w:ind w:left="720"/>
      </w:pPr>
      <w:r>
        <w:rPr>
          <w:rFonts w:ascii="Courier New" w:cs="Courier New" w:eastAsia="Courier New" w:hAnsi="Courier New"/>
          <w:color w:val="1F3864"/>
          <w:sz w:val="20"/>
          <w:szCs w:val="20"/>
        </w:rPr>
        <w:t xml:space="preserve">    right  = TRUE)</w:t>
      </w:r>
    </w:p>
    <w:p>
      <w:pPr>
        <w:spacing w:after="60" w:before="60"/>
        <w:ind w:left="720"/>
      </w:pPr>
      <w:r>
        <w:rPr>
          <w:rFonts w:ascii="Courier New" w:cs="Courier New" w:eastAsia="Courier New" w:hAnsi="Courier New"/>
          <w:color w:val="1F3864"/>
          <w:sz w:val="20"/>
          <w:szCs w:val="20"/>
        </w:rPr>
        <w:t xml:space="preserve"/>
      </w:r>
    </w:p>
    <w:p>
      <w:pPr>
        <w:spacing w:after="60" w:before="60"/>
        <w:ind w:left="720"/>
      </w:pPr>
      <w:r>
        <w:rPr>
          <w:rFonts w:ascii="Courier New" w:cs="Courier New" w:eastAsia="Courier New" w:hAnsi="Courier New"/>
          <w:color w:val="1F3864"/>
          <w:sz w:val="20"/>
          <w:szCs w:val="20"/>
        </w:rPr>
        <w:t xml:space="preserve"># Cálculo del PDI por tratamiento</w:t>
      </w:r>
    </w:p>
    <w:p>
      <w:pPr>
        <w:spacing w:after="60" w:before="60"/>
        <w:ind w:left="720"/>
      </w:pPr>
      <w:r>
        <w:rPr>
          <w:rFonts w:ascii="Courier New" w:cs="Courier New" w:eastAsia="Courier New" w:hAnsi="Courier New"/>
          <w:color w:val="1F3864"/>
          <w:sz w:val="20"/>
          <w:szCs w:val="20"/>
        </w:rPr>
        <w:t xml:space="preserve">library(dplyr)</w:t>
      </w:r>
    </w:p>
    <w:p>
      <w:pPr>
        <w:spacing w:after="60" w:before="60"/>
        <w:ind w:left="720"/>
      </w:pPr>
      <w:r>
        <w:rPr>
          <w:rFonts w:ascii="Courier New" w:cs="Courier New" w:eastAsia="Courier New" w:hAnsi="Courier New"/>
          <w:color w:val="1F3864"/>
          <w:sz w:val="20"/>
          <w:szCs w:val="20"/>
        </w:rPr>
        <w:t xml:space="preserve">pdi_resultados &lt;- severidades |&gt;</w:t>
      </w:r>
    </w:p>
    <w:p>
      <w:pPr>
        <w:spacing w:after="60" w:before="60"/>
        <w:ind w:left="720"/>
      </w:pPr>
      <w:r>
        <w:rPr>
          <w:rFonts w:ascii="Courier New" w:cs="Courier New" w:eastAsia="Courier New" w:hAnsi="Courier New"/>
          <w:color w:val="1F3864"/>
          <w:sz w:val="20"/>
          <w:szCs w:val="20"/>
        </w:rPr>
        <w:t xml:space="preserve">    group_by(tratamiento) |&gt;</w:t>
      </w:r>
    </w:p>
    <w:p>
      <w:pPr>
        <w:spacing w:after="60" w:before="60"/>
        <w:ind w:left="720"/>
      </w:pPr>
      <w:r>
        <w:rPr>
          <w:rFonts w:ascii="Courier New" w:cs="Courier New" w:eastAsia="Courier New" w:hAnsi="Courier New"/>
          <w:color w:val="1F3864"/>
          <w:sz w:val="20"/>
          <w:szCs w:val="20"/>
        </w:rPr>
        <w:t xml:space="preserve">    summarise(PDI = sum(as.numeric(grado)) /</w:t>
      </w:r>
    </w:p>
    <w:p>
      <w:pPr>
        <w:spacing w:after="60" w:before="60"/>
        <w:ind w:left="720"/>
      </w:pPr>
      <w:r>
        <w:rPr>
          <w:rFonts w:ascii="Courier New" w:cs="Courier New" w:eastAsia="Courier New" w:hAnsi="Courier New"/>
          <w:color w:val="1F3864"/>
          <w:sz w:val="20"/>
          <w:szCs w:val="20"/>
        </w:rPr>
        <w:t xml:space="preserve">                   (n() * 5) * 100)</w:t>
      </w:r>
    </w:p>
    <w:p>
      <w:pPr>
        <w:spacing w:after="0" w:before="120"/>
      </w:pPr>
      <w:r>
        <w:t xml:space="preserve"/>
      </w:r>
    </w:p>
    <w:p>
      <w:pPr>
        <w:pStyle w:val="Heading2"/>
        <w:spacing w:after="120" w:before="280"/>
      </w:pPr>
      <w:r>
        <w:rPr>
          <w:rFonts w:ascii="Arial" w:cs="Arial" w:eastAsia="Arial" w:hAnsi="Arial"/>
          <w:b/>
          <w:bCs/>
          <w:color w:val="1F3864"/>
          <w:sz w:val="26"/>
          <w:szCs w:val="26"/>
        </w:rPr>
        <w:t xml:space="preserve">Paso 5 — Análisis estadístico con {r4pde}</w:t>
      </w:r>
    </w:p>
    <w:p>
      <w:pPr>
        <w:spacing w:after="120" w:before="80"/>
        <w:jc w:val="both"/>
      </w:pPr>
      <w:r>
        <w:rPr>
          <w:rFonts w:ascii="Arial" w:cs="Arial" w:eastAsia="Arial" w:hAnsi="Arial"/>
          <w:sz w:val="22"/>
          <w:szCs w:val="22"/>
        </w:rPr>
        <w:t xml:space="preserve">El libro {r4pde} (Del Ponte, 2023) provee los flujos estadísticos recomendados para epidemiología vegetal en R:</w:t>
      </w:r>
    </w:p>
    <w:p>
      <w:pPr>
        <w:pStyle w:val="ListParagraph"/>
        <w:numPr>
          <w:ilvl w:val="0"/>
          <w:numId w:val="2"/>
        </w:numPr>
        <w:spacing w:after="60" w:before="40"/>
      </w:pPr>
      <w:r>
        <w:rPr>
          <w:rFonts w:ascii="Arial" w:cs="Arial" w:eastAsia="Arial" w:hAnsi="Arial"/>
          <w:sz w:val="22"/>
          <w:szCs w:val="22"/>
        </w:rPr>
        <w:t xml:space="preserve">Curvas de progreso de enfermedad: ajuste de modelos monomolecular, logístico y Gompertz usando {epifitter}.</w:t>
      </w:r>
    </w:p>
    <w:p>
      <w:pPr>
        <w:pStyle w:val="ListParagraph"/>
        <w:numPr>
          <w:ilvl w:val="0"/>
          <w:numId w:val="2"/>
        </w:numPr>
        <w:spacing w:after="60" w:before="40"/>
      </w:pPr>
      <w:r>
        <w:rPr>
          <w:rFonts w:ascii="Arial" w:cs="Arial" w:eastAsia="Arial" w:hAnsi="Arial"/>
          <w:sz w:val="22"/>
          <w:szCs w:val="22"/>
        </w:rPr>
        <w:t xml:space="preserve">AUDPC (Área Bajo la Curva de Progreso de Enfermedad): cuantificación de la epidemia acumulada.</w:t>
      </w:r>
    </w:p>
    <w:p>
      <w:pPr>
        <w:pStyle w:val="ListParagraph"/>
        <w:numPr>
          <w:ilvl w:val="0"/>
          <w:numId w:val="2"/>
        </w:numPr>
        <w:spacing w:after="60" w:before="40"/>
      </w:pPr>
      <w:r>
        <w:rPr>
          <w:rFonts w:ascii="Arial" w:cs="Arial" w:eastAsia="Arial" w:hAnsi="Arial"/>
          <w:sz w:val="22"/>
          <w:szCs w:val="22"/>
        </w:rPr>
        <w:t xml:space="preserve">Comparación de tratamientos: ANOVA y pruebas de comparación múltiple (Tukey, LSD) sobre PDI o severidad continua.</w:t>
      </w:r>
    </w:p>
    <w:p>
      <w:pPr>
        <w:pStyle w:val="ListParagraph"/>
        <w:numPr>
          <w:ilvl w:val="0"/>
          <w:numId w:val="2"/>
        </w:numPr>
        <w:spacing w:after="60" w:before="40"/>
      </w:pPr>
      <w:r>
        <w:rPr>
          <w:rFonts w:ascii="Arial" w:cs="Arial" w:eastAsia="Arial" w:hAnsi="Arial"/>
          <w:sz w:val="22"/>
          <w:szCs w:val="22"/>
        </w:rPr>
        <w:t xml:space="preserve">Concordancia con escala visual: si se usa evaluación visual + {pliman}, calcular ρc de Lin con el paquete {DescTools} función CCC().</w:t>
      </w:r>
    </w:p>
    <w:p>
      <w:pPr>
        <w:spacing w:after="0" w:before="120"/>
      </w:pPr>
      <w:r>
        <w:t xml:space="preserve"/>
      </w:r>
    </w:p>
    <w:p>
      <w:pPr>
        <w:spacing w:after="60" w:before="60"/>
        <w:ind w:left="720"/>
      </w:pPr>
      <w:r>
        <w:rPr>
          <w:rFonts w:ascii="Courier New" w:cs="Courier New" w:eastAsia="Courier New" w:hAnsi="Courier New"/>
          <w:color w:val="1F3864"/>
          <w:sz w:val="20"/>
          <w:szCs w:val="20"/>
        </w:rPr>
        <w:t xml:space="preserve"># Concordancia de Lin entre evaluación visual y {pliman}</w:t>
      </w:r>
    </w:p>
    <w:p>
      <w:pPr>
        <w:spacing w:after="60" w:before="60"/>
        <w:ind w:left="720"/>
      </w:pPr>
      <w:r>
        <w:rPr>
          <w:rFonts w:ascii="Courier New" w:cs="Courier New" w:eastAsia="Courier New" w:hAnsi="Courier New"/>
          <w:color w:val="1F3864"/>
          <w:sz w:val="20"/>
          <w:szCs w:val="20"/>
        </w:rPr>
        <w:t xml:space="preserve">library(DescTools)</w:t>
      </w:r>
    </w:p>
    <w:p>
      <w:pPr>
        <w:spacing w:after="60" w:before="60"/>
        <w:ind w:left="720"/>
      </w:pPr>
      <w:r>
        <w:rPr>
          <w:rFonts w:ascii="Courier New" w:cs="Courier New" w:eastAsia="Courier New" w:hAnsi="Courier New"/>
          <w:color w:val="1F3864"/>
          <w:sz w:val="20"/>
          <w:szCs w:val="20"/>
        </w:rPr>
        <w:t xml:space="preserve">CCC(x = datos$visual, y = datos$pliman,</w:t>
      </w:r>
    </w:p>
    <w:p>
      <w:pPr>
        <w:spacing w:after="60" w:before="60"/>
        <w:ind w:left="720"/>
      </w:pPr>
      <w:r>
        <w:rPr>
          <w:rFonts w:ascii="Courier New" w:cs="Courier New" w:eastAsia="Courier New" w:hAnsi="Courier New"/>
          <w:color w:val="1F3864"/>
          <w:sz w:val="20"/>
          <w:szCs w:val="20"/>
        </w:rPr>
        <w:t xml:space="preserve">    ci = 'z-transform', conf.level = 0.95)</w:t>
      </w:r>
    </w:p>
    <w:p>
      <w:pPr>
        <w:spacing w:after="60" w:before="60"/>
        <w:ind w:left="720"/>
      </w:pPr>
      <w:r>
        <w:rPr>
          <w:rFonts w:ascii="Courier New" w:cs="Courier New" w:eastAsia="Courier New" w:hAnsi="Courier New"/>
          <w:color w:val="1F3864"/>
          <w:sz w:val="20"/>
          <w:szCs w:val="20"/>
        </w:rPr>
        <w:t xml:space="preserve"># Interpretar: ρc &gt; 0.90 = concordancia sustancial</w:t>
      </w:r>
    </w:p>
    <w:p>
      <w:pPr>
        <w:spacing w:after="60" w:before="60"/>
        <w:ind w:left="720"/>
      </w:pPr>
      <w:r>
        <w:rPr>
          <w:rFonts w:ascii="Courier New" w:cs="Courier New" w:eastAsia="Courier New" w:hAnsi="Courier New"/>
          <w:color w:val="1F3864"/>
          <w:sz w:val="20"/>
          <w:szCs w:val="20"/>
        </w:rPr>
        <w:t xml:space="preserve">#              ρc &gt; 0.98 = concordancia casi perfecta</w:t>
      </w:r>
    </w:p>
    <w:p>
      <w:pPr>
        <w:spacing w:after="0" w:before="120"/>
      </w:pPr>
      <w:r>
        <w:t xml:space="preserve"/>
      </w:r>
    </w:p>
    <w:p>
      <w:pPr>
        <w:pStyle w:val="Heading2"/>
        <w:spacing w:after="120" w:before="280"/>
      </w:pPr>
      <w:r>
        <w:rPr>
          <w:rFonts w:ascii="Arial" w:cs="Arial" w:eastAsia="Arial" w:hAnsi="Arial"/>
          <w:b/>
          <w:bCs/>
          <w:color w:val="1F3864"/>
          <w:sz w:val="26"/>
          <w:szCs w:val="26"/>
        </w:rPr>
        <w:t xml:space="preserve">Paso 6 — Validación cruzada y argumento para la tesis</w:t>
      </w:r>
    </w:p>
    <w:p>
      <w:pPr>
        <w:spacing w:after="120" w:before="80"/>
        <w:jc w:val="both"/>
      </w:pPr>
      <w:r>
        <w:rPr>
          <w:rFonts w:ascii="Arial" w:cs="Arial" w:eastAsia="Arial" w:hAnsi="Arial"/>
          <w:sz w:val="22"/>
          <w:szCs w:val="22"/>
        </w:rPr>
        <w:t xml:space="preserve">Para argumentar la validez de los índices de severidad ante un tribunal de tesis, se recomienda el siguiente esquema de validación:</w:t>
      </w:r>
    </w:p>
    <w:p>
      <w:pPr>
        <w:pStyle w:val="ListParagraph"/>
        <w:numPr>
          <w:ilvl w:val="0"/>
          <w:numId w:val="3"/>
        </w:numPr>
        <w:spacing w:after="80" w:before="60"/>
      </w:pPr>
      <w:r>
        <w:rPr>
          <w:rFonts w:ascii="Arial" w:cs="Arial" w:eastAsia="Arial" w:hAnsi="Arial"/>
          <w:sz w:val="22"/>
          <w:szCs w:val="22"/>
        </w:rPr>
        <w:t xml:space="preserve">Validar paleta en un subconjunto de imágenes conocidas: mostrar que el mask visual de {pliman} corresponde visualmente al área necrótica real.</w:t>
      </w:r>
    </w:p>
    <w:p>
      <w:pPr>
        <w:pStyle w:val="ListParagraph"/>
        <w:numPr>
          <w:ilvl w:val="0"/>
          <w:numId w:val="3"/>
        </w:numPr>
        <w:spacing w:after="80" w:before="60"/>
      </w:pPr>
      <w:r>
        <w:rPr>
          <w:rFonts w:ascii="Arial" w:cs="Arial" w:eastAsia="Arial" w:hAnsi="Arial"/>
          <w:sz w:val="22"/>
          <w:szCs w:val="22"/>
        </w:rPr>
        <w:t xml:space="preserve">Comparar valores {pliman} con evaluación visual entrenada: usar ρc de Lin; demostrar ρc &gt; 0.90 como umbral de concordancia aceptable (Bock et al., 2022).</w:t>
      </w:r>
    </w:p>
    <w:p>
      <w:pPr>
        <w:pStyle w:val="ListParagraph"/>
        <w:numPr>
          <w:ilvl w:val="0"/>
          <w:numId w:val="3"/>
        </w:numPr>
        <w:spacing w:after="80" w:before="60"/>
      </w:pPr>
      <w:r>
        <w:rPr>
          <w:rFonts w:ascii="Arial" w:cs="Arial" w:eastAsia="Arial" w:hAnsi="Arial"/>
          <w:sz w:val="22"/>
          <w:szCs w:val="22"/>
        </w:rPr>
        <w:t xml:space="preserve">Anclar resultados a la escala de Sundravadana et al. (2007): el % continuo de {pliman} se convierte al grado ordinal via cut(), y el PDI se calcula por la fórmula de McKinney (1923) — ambas referencias clásicas y ampliamente citadas.</w:t>
      </w:r>
    </w:p>
    <w:p>
      <w:pPr>
        <w:pStyle w:val="ListParagraph"/>
        <w:numPr>
          <w:ilvl w:val="0"/>
          <w:numId w:val="3"/>
        </w:numPr>
        <w:spacing w:after="80" w:before="60"/>
      </w:pPr>
      <w:r>
        <w:rPr>
          <w:rFonts w:ascii="Arial" w:cs="Arial" w:eastAsia="Arial" w:hAnsi="Arial"/>
          <w:sz w:val="22"/>
          <w:szCs w:val="22"/>
        </w:rPr>
        <w:t xml:space="preserve">Citar la validación de {pliman} (Olivoto et al., 2022): ρc &gt; 0.98 en 5/6 enfermedades frente a APS Assess es el argumento más sólido de que el método produce valores equivalentes al estándar de oro.</w:t>
      </w:r>
    </w:p>
    <w:p>
      <w:pPr>
        <w:pStyle w:val="ListParagraph"/>
        <w:numPr>
          <w:ilvl w:val="0"/>
          <w:numId w:val="3"/>
        </w:numPr>
        <w:spacing w:after="80" w:before="60"/>
      </w:pPr>
      <w:r>
        <w:rPr>
          <w:rFonts w:ascii="Arial" w:cs="Arial" w:eastAsia="Arial" w:hAnsi="Arial"/>
          <w:sz w:val="22"/>
          <w:szCs w:val="22"/>
        </w:rPr>
        <w:t xml:space="preserve">Comparar con el antecedente de Corkidi et al. (2006): el único trabajo que hizo lo mismo para antracnosis de mango, demostrando que el análisis de imagen es la metodología más objetiva disponible para este patosistema.</w:t>
      </w:r>
    </w:p>
    <w:p>
      <w:pPr>
        <w:spacing w:after="0" w:before="120"/>
      </w:pPr>
      <w:r>
        <w:t xml:space="preserve"/>
      </w:r>
    </w:p>
    <w:p>
      <w:pPr>
        <w:pStyle w:val="Heading1"/>
        <w:spacing w:after="180" w:before="360"/>
      </w:pPr>
      <w:r>
        <w:rPr>
          <w:rFonts w:ascii="Arial" w:cs="Arial" w:eastAsia="Arial" w:hAnsi="Arial"/>
          <w:b/>
          <w:bCs/>
          <w:color w:val="1F5C2E"/>
          <w:sz w:val="32"/>
          <w:szCs w:val="32"/>
        </w:rPr>
        <w:t xml:space="preserve">5. Bibliografía fundamental (ordenada por función en el pipeline)</w:t>
      </w:r>
    </w:p>
    <w:p>
      <w:pPr>
        <w:pStyle w:val="Heading2"/>
        <w:spacing w:after="120" w:before="280"/>
      </w:pPr>
      <w:r>
        <w:rPr>
          <w:rFonts w:ascii="Arial" w:cs="Arial" w:eastAsia="Arial" w:hAnsi="Arial"/>
          <w:b/>
          <w:bCs/>
          <w:color w:val="1F3864"/>
          <w:sz w:val="26"/>
          <w:szCs w:val="26"/>
        </w:rPr>
        <w:t xml:space="preserve">5.1 Sobre el patógeno y la enfermedad</w:t>
      </w:r>
    </w:p>
    <w:p>
      <w:pPr>
        <w:spacing w:after="120" w:before="80"/>
        <w:jc w:val="both"/>
      </w:pPr>
      <w:r>
        <w:rPr>
          <w:rFonts w:ascii="Arial" w:cs="Arial" w:eastAsia="Arial" w:hAnsi="Arial"/>
          <w:sz w:val="22"/>
          <w:szCs w:val="22"/>
        </w:rPr>
        <w:t xml:space="preserve">Arauz, L.F. (2000). Mango anthracnose: economic impact and current options for integrated management. Plant Disease, 84(6), 600–611. [REFERENCIA FUNDACIONAL — APS]</w:t>
      </w:r>
    </w:p>
    <w:p>
      <w:pPr>
        <w:spacing w:after="120" w:before="80"/>
        <w:jc w:val="both"/>
      </w:pPr>
      <w:r>
        <w:rPr>
          <w:rFonts w:ascii="Arial" w:cs="Arial" w:eastAsia="Arial" w:hAnsi="Arial"/>
          <w:sz w:val="22"/>
          <w:szCs w:val="22"/>
        </w:rPr>
        <w:t xml:space="preserve">Dolamore, H. et al. (2023). Mango anthracnose disease: the current situation and direction for future research. Frontiers in Microbiology, 14, 1168203. [REVISIÓN MÁS RECIENTE — acceso abierto]</w:t>
      </w:r>
    </w:p>
    <w:p>
      <w:pPr>
        <w:spacing w:after="120" w:before="80"/>
        <w:jc w:val="both"/>
      </w:pPr>
      <w:r>
        <w:rPr>
          <w:rFonts w:ascii="Arial" w:cs="Arial" w:eastAsia="Arial" w:hAnsi="Arial"/>
          <w:sz w:val="22"/>
          <w:szCs w:val="22"/>
        </w:rPr>
        <w:t xml:space="preserve">Weir, B.S. et al. (2012). The Colletotrichum gloeosporioides species complex. Studies in Mycology, 73, 115–180. [TAXONOMÍA MOLECULAR DEL COMPLEJO]</w:t>
      </w:r>
    </w:p>
    <w:p>
      <w:pPr>
        <w:spacing w:after="120" w:before="80"/>
        <w:jc w:val="both"/>
      </w:pPr>
      <w:r>
        <w:rPr>
          <w:rFonts w:ascii="Arial" w:cs="Arial" w:eastAsia="Arial" w:hAnsi="Arial"/>
          <w:sz w:val="22"/>
          <w:szCs w:val="22"/>
        </w:rPr>
        <w:t xml:space="preserve">Kumar, A. et al. (2016). Colletotrichum gloeosporioides: Pathogen of Anthracnose Disease in Mango. En: Mango — Agronomy and Production. Springer. [PÉRDIDAS 30–60%, BIOLOGÍA DEL PATÓGENO]</w:t>
      </w:r>
    </w:p>
    <w:p>
      <w:pPr>
        <w:pStyle w:val="Heading2"/>
        <w:spacing w:after="120" w:before="280"/>
      </w:pPr>
      <w:r>
        <w:rPr>
          <w:rFonts w:ascii="Arial" w:cs="Arial" w:eastAsia="Arial" w:hAnsi="Arial"/>
          <w:b/>
          <w:bCs/>
          <w:color w:val="1F3864"/>
          <w:sz w:val="26"/>
          <w:szCs w:val="26"/>
        </w:rPr>
        <w:t xml:space="preserve">5.2 Sobre escalas de severidad</w:t>
      </w:r>
    </w:p>
    <w:p>
      <w:pPr>
        <w:spacing w:after="120" w:before="80"/>
        <w:jc w:val="both"/>
      </w:pPr>
      <w:r>
        <w:rPr>
          <w:rFonts w:ascii="Arial" w:cs="Arial" w:eastAsia="Arial" w:hAnsi="Arial"/>
          <w:sz w:val="22"/>
          <w:szCs w:val="22"/>
        </w:rPr>
        <w:t xml:space="preserve">Sundravadana, S. et al. (2007). Effect of Carbendazim on Mango Anthracnose. African Journal of Agricultural Research. [ESCALA 0–5 MÁS CITADA EN ASIA]</w:t>
      </w:r>
    </w:p>
    <w:p>
      <w:pPr>
        <w:spacing w:after="120" w:before="80"/>
        <w:jc w:val="both"/>
      </w:pPr>
      <w:r>
        <w:rPr>
          <w:rFonts w:ascii="Arial" w:cs="Arial" w:eastAsia="Arial" w:hAnsi="Arial"/>
          <w:sz w:val="22"/>
          <w:szCs w:val="22"/>
        </w:rPr>
        <w:t xml:space="preserve">McKinney, H.H. (1923). Influence of soil temperature and moisture on infection of wheat seedlings by Helminthosporium sativum. Journal of Agricultural Research, 26, 195–217. [FÓRMULA PDI — REFERENCIA CLÁSICA INDISPENSABLE]</w:t>
      </w:r>
    </w:p>
    <w:p>
      <w:pPr>
        <w:spacing w:after="120" w:before="80"/>
        <w:jc w:val="both"/>
      </w:pPr>
      <w:r>
        <w:rPr>
          <w:rFonts w:ascii="Arial" w:cs="Arial" w:eastAsia="Arial" w:hAnsi="Arial"/>
          <w:sz w:val="22"/>
          <w:szCs w:val="22"/>
        </w:rPr>
        <w:t xml:space="preserve">Corkidi, G. et al. (2006). Assessing mango anthracnose using a new three-dimensional image-analysis technique to quantify lesions on fruit. Plant Pathology, 55(1), 94–102. [ÚNICO SAD CON IMAGEN 3D EN ANTRACNOSIS DE MANGO]</w:t>
      </w:r>
    </w:p>
    <w:p>
      <w:pPr>
        <w:pStyle w:val="Heading2"/>
        <w:spacing w:after="120" w:before="280"/>
      </w:pPr>
      <w:r>
        <w:rPr>
          <w:rFonts w:ascii="Arial" w:cs="Arial" w:eastAsia="Arial" w:hAnsi="Arial"/>
          <w:b/>
          <w:bCs/>
          <w:color w:val="1F3864"/>
          <w:sz w:val="26"/>
          <w:szCs w:val="26"/>
        </w:rPr>
        <w:t xml:space="preserve">5.3 Sobre fitopatometría y SADs</w:t>
      </w:r>
    </w:p>
    <w:p>
      <w:pPr>
        <w:spacing w:after="120" w:before="80"/>
        <w:jc w:val="both"/>
      </w:pPr>
      <w:r>
        <w:rPr>
          <w:rFonts w:ascii="Arial" w:cs="Arial" w:eastAsia="Arial" w:hAnsi="Arial"/>
          <w:sz w:val="22"/>
          <w:szCs w:val="22"/>
        </w:rPr>
        <w:t xml:space="preserve">Del Ponte, E.M. &amp; Pethybridge, S.J. (2017). Standard Area Diagrams for Aiding Severity Estimation: Scientometrics, Pathosystems, and Methodological Trends in the Last 25 Years. Phytopathology, 107(10), 1161–1174. [LA REVISIÓN MÁS COMPLETA SOBRE SADs — 105 estudios]</w:t>
      </w:r>
    </w:p>
    <w:p>
      <w:pPr>
        <w:spacing w:after="120" w:before="80"/>
        <w:jc w:val="both"/>
      </w:pPr>
      <w:r>
        <w:rPr>
          <w:rFonts w:ascii="Arial" w:cs="Arial" w:eastAsia="Arial" w:hAnsi="Arial"/>
          <w:sz w:val="22"/>
          <w:szCs w:val="22"/>
        </w:rPr>
        <w:t xml:space="preserve">Bock, C.H. et al. (2022). Plant disease severity estimated visually: A century of research, best practices, and opportunities. Tropical Plant Pathology, 45, 514–541. [MEJORES PRÁCTICAS EN EVALUACIÓN VISUAL]</w:t>
      </w:r>
    </w:p>
    <w:p>
      <w:pPr>
        <w:spacing w:after="120" w:before="80"/>
        <w:jc w:val="both"/>
      </w:pPr>
      <w:r>
        <w:rPr>
          <w:rFonts w:ascii="Arial" w:cs="Arial" w:eastAsia="Arial" w:hAnsi="Arial"/>
          <w:sz w:val="22"/>
          <w:szCs w:val="22"/>
        </w:rPr>
        <w:t xml:space="preserve">Conforto, I.S. et al. (2024). Development and validation of a standard area diagram set for assessment of anthracnose severity on cucumber leaves. Journal of Phytopathology. DOI: 10.1111/jph.13366. [EJEMPLO DE SAD PARA ANTRACNOSIS — validación con ρc de Lin]</w:t>
      </w:r>
    </w:p>
    <w:p>
      <w:pPr>
        <w:spacing w:after="120" w:before="80"/>
        <w:jc w:val="both"/>
      </w:pPr>
      <w:r>
        <w:rPr>
          <w:rFonts w:ascii="Arial" w:cs="Arial" w:eastAsia="Arial" w:hAnsi="Arial"/>
          <w:sz w:val="22"/>
          <w:szCs w:val="22"/>
        </w:rPr>
        <w:t xml:space="preserve">Vieira, R.A. et al. (2020). Standard area diagram set for anthracnose severity on grapevine bunches and shoots. Australasian Plant Pathology. DOI: 10.1007/s13313-020-00728-2. [SAD ANTRACNOSIS EN FRUTOS — Colletotrichum]</w:t>
      </w:r>
    </w:p>
    <w:p>
      <w:pPr>
        <w:pStyle w:val="Heading2"/>
        <w:spacing w:after="120" w:before="280"/>
      </w:pPr>
      <w:r>
        <w:rPr>
          <w:rFonts w:ascii="Arial" w:cs="Arial" w:eastAsia="Arial" w:hAnsi="Arial"/>
          <w:b/>
          <w:bCs/>
          <w:color w:val="1F3864"/>
          <w:sz w:val="26"/>
          <w:szCs w:val="26"/>
        </w:rPr>
        <w:t xml:space="preserve">5.4 Sobre {pliman} y análisis de imagen en R</w:t>
      </w:r>
    </w:p>
    <w:p>
      <w:pPr>
        <w:spacing w:after="120" w:before="80"/>
        <w:jc w:val="both"/>
      </w:pPr>
      <w:r>
        <w:rPr>
          <w:rFonts w:ascii="Arial" w:cs="Arial" w:eastAsia="Arial" w:hAnsi="Arial"/>
          <w:sz w:val="22"/>
          <w:szCs w:val="22"/>
        </w:rPr>
        <w:t xml:space="preserve">Olivoto, T. (2022). Lights, camera, pliman! An R package for plant image analysis. Methods in Ecology and Evolution, 13(4), 789–798. DOI: 10.1111/2041-210X.13803. [DESCRIPCIÓN COMPLETA DEL PAQUETE]</w:t>
      </w:r>
    </w:p>
    <w:p>
      <w:pPr>
        <w:spacing w:after="120" w:before="80"/>
        <w:jc w:val="both"/>
      </w:pPr>
      <w:r>
        <w:rPr>
          <w:rFonts w:ascii="Arial" w:cs="Arial" w:eastAsia="Arial" w:hAnsi="Arial"/>
          <w:sz w:val="22"/>
          <w:szCs w:val="22"/>
        </w:rPr>
        <w:t xml:space="preserve">Olivoto, T., Andrade, S.M.P. &amp; Del Ponte, E.M. (2022). Measuring plant disease severity in R: introducing and evaluating the pliman package. Tropical Plant Pathology, 47, 95–104. DOI: 10.1007/s40858-021-00487-5. [VALIDACIÓN FITOPATOMÉTRICA — ρc &gt; 0.98 vs APS Assess]</w:t>
      </w:r>
    </w:p>
    <w:p>
      <w:pPr>
        <w:spacing w:after="120" w:before="80"/>
        <w:jc w:val="both"/>
      </w:pPr>
      <w:r>
        <w:rPr>
          <w:rFonts w:ascii="Arial" w:cs="Arial" w:eastAsia="Arial" w:hAnsi="Arial"/>
          <w:sz w:val="22"/>
          <w:szCs w:val="22"/>
        </w:rPr>
        <w:t xml:space="preserve">Del Ponte, E.M. (2023). R for Plant Disease Epidemiology. r4pde.net. [RECURSO ABIERTO — capítulos 4 y 6 directamente aplicables]</w:t>
      </w:r>
    </w:p>
    <w:p>
      <w:pPr>
        <w:spacing w:after="120" w:before="80"/>
        <w:jc w:val="both"/>
      </w:pPr>
      <w:r>
        <w:rPr>
          <w:rFonts w:ascii="Arial" w:cs="Arial" w:eastAsia="Arial" w:hAnsi="Arial"/>
          <w:sz w:val="22"/>
          <w:szCs w:val="22"/>
        </w:rPr>
        <w:t xml:space="preserve">Alves, K.S. et al. (2021). RGB-based phenotyping of foliar disease severity under controlled conditions. Tropical Plant Pathology. DOI: 10.1007/s40858-021-00448-y. [ÍNDICES RGB SIN PALETA MANUAL]</w:t>
      </w:r>
    </w:p>
    <w:p>
      <w:pPr>
        <w:spacing w:after="0" w:before="120"/>
      </w:pPr>
      <w:r>
        <w:t xml:space="preserve"/>
      </w:r>
    </w:p>
    <w:p>
      <w:pPr>
        <w:pStyle w:val="Heading1"/>
        <w:spacing w:after="180" w:before="360"/>
      </w:pPr>
      <w:r>
        <w:rPr>
          <w:rFonts w:ascii="Arial" w:cs="Arial" w:eastAsia="Arial" w:hAnsi="Arial"/>
          <w:b/>
          <w:bCs/>
          <w:color w:val="1F5C2E"/>
          <w:sz w:val="32"/>
          <w:szCs w:val="32"/>
        </w:rPr>
        <w:t xml:space="preserve">6. Argumentos para defender el uso de {pliman} en la tesis</w:t>
      </w:r>
    </w:p>
    <w:p>
      <w:pPr>
        <w:pStyle w:val="Heading2"/>
        <w:spacing w:after="120" w:before="280"/>
      </w:pPr>
      <w:r>
        <w:rPr>
          <w:rFonts w:ascii="Arial" w:cs="Arial" w:eastAsia="Arial" w:hAnsi="Arial"/>
          <w:b/>
          <w:bCs/>
          <w:color w:val="1F3864"/>
          <w:sz w:val="26"/>
          <w:szCs w:val="26"/>
        </w:rPr>
        <w:t xml:space="preserve">Pregunta del tribunal: '¿Por qué usar {pliman} y no evaluación visual directamente?'</w:t>
      </w:r>
    </w:p>
    <w:tbl>
      <w:tblPr>
        <w:tblW w:type="dxa" w:w="9026"/>
        <w:tblBorders>
          <w:top w:val="single" w:color="C65911" w:sz="12"/>
          <w:left w:val="none"/>
          <w:bottom w:val="none"/>
          <w:right w:val="none"/>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CE4D6" w:val="clear"/>
            <w:tcMar>
              <w:top w:type="dxa" w:w="140"/>
              <w:left w:type="dxa" w:w="200"/>
              <w:bottom w:type="dxa" w:w="140"/>
              <w:right w:type="dxa" w:w="200"/>
            </w:tcMar>
          </w:tcPr>
          <w:p>
            <w:pPr>
              <w:jc w:val="both"/>
            </w:pPr>
            <w:r>
              <w:rPr>
                <w:rFonts w:ascii="Arial" w:cs="Arial" w:eastAsia="Arial" w:hAnsi="Arial"/>
                <w:i/>
                <w:iCs/>
                <w:sz w:val="22"/>
                <w:szCs w:val="22"/>
              </w:rPr>
              <w:t xml:space="preserve">Respuesta: La evaluación visual sin ayuda es la fuente más documentada de error en fitopatometría — se sabe que introduce sesgo sistemático (sobre o subestimación) y baja reproducibilidad entre evaluadores (Bock et al., 2022). {pliman} produce valores objetivos y reproducibles porque se basa en umbral de color RGB, el mismo principio del software APS Assess (estándar de oro mundial). La validación de Olivoto et al. (2022) demuestra que {pliman} es estadísticamente equivalente a APS Assess con ρc &gt; 0.98 en la mayoría de patosistemas.</w:t>
            </w:r>
          </w:p>
        </w:tc>
      </w:tr>
    </w:tbl>
    <w:p>
      <w:pPr>
        <w:spacing w:after="0" w:before="120"/>
      </w:pPr>
      <w:r>
        <w:t xml:space="preserve"/>
      </w:r>
    </w:p>
    <w:p>
      <w:pPr>
        <w:pStyle w:val="Heading2"/>
        <w:spacing w:after="120" w:before="280"/>
      </w:pPr>
      <w:r>
        <w:rPr>
          <w:rFonts w:ascii="Arial" w:cs="Arial" w:eastAsia="Arial" w:hAnsi="Arial"/>
          <w:b/>
          <w:bCs/>
          <w:color w:val="1F3864"/>
          <w:sz w:val="26"/>
          <w:szCs w:val="26"/>
        </w:rPr>
        <w:t xml:space="preserve">Pregunta del tribunal: '¿La escala 0–5 que usa es validada para mango?'</w:t>
      </w:r>
    </w:p>
    <w:tbl>
      <w:tblPr>
        <w:tblW w:type="dxa" w:w="9026"/>
        <w:tblBorders>
          <w:top w:val="single" w:color="1F5C2E" w:sz="12"/>
          <w:left w:val="none"/>
          <w:bottom w:val="none"/>
          <w:right w:val="none"/>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8D2" w:val="clear"/>
            <w:tcMar>
              <w:top w:type="dxa" w:w="140"/>
              <w:left w:type="dxa" w:w="200"/>
              <w:bottom w:type="dxa" w:w="140"/>
              <w:right w:type="dxa" w:w="200"/>
            </w:tcMar>
          </w:tcPr>
          <w:p>
            <w:pPr>
              <w:jc w:val="both"/>
            </w:pPr>
            <w:r>
              <w:rPr>
                <w:rFonts w:ascii="Arial" w:cs="Arial" w:eastAsia="Arial" w:hAnsi="Arial"/>
                <w:i/>
                <w:iCs/>
                <w:sz w:val="22"/>
                <w:szCs w:val="22"/>
              </w:rPr>
              <w:t xml:space="preserve">Respuesta: La escala 0–5 de Sundravadana et al. (2007) con PDI de McKinney (1923) es la más utilizada en la literatura internacional para cuantificar antracnosis de mango, especialmente en estudios de evaluación de fungicidas, agentes de control biológico y resistencia varietal. Está fundamentada en los porcentajes de área afectada medibles directamente por análisis de imagen. {pliman} convierte el % continuo de área sintomática a esta escala ordinal, haciendo que los índices obtenidos sean comparables con la literatura publicada.</w:t>
            </w:r>
          </w:p>
        </w:tc>
      </w:tr>
    </w:tbl>
    <w:p>
      <w:pPr>
        <w:spacing w:after="0" w:before="120"/>
      </w:pPr>
      <w:r>
        <w:t xml:space="preserve"/>
      </w:r>
    </w:p>
    <w:p>
      <w:pPr>
        <w:pStyle w:val="Heading2"/>
        <w:spacing w:after="120" w:before="280"/>
      </w:pPr>
      <w:r>
        <w:rPr>
          <w:rFonts w:ascii="Arial" w:cs="Arial" w:eastAsia="Arial" w:hAnsi="Arial"/>
          <w:b/>
          <w:bCs/>
          <w:color w:val="1F3864"/>
          <w:sz w:val="26"/>
          <w:szCs w:val="26"/>
        </w:rPr>
        <w:t xml:space="preserve">Pregunta del tribunal: '¿Cómo garantiza que sus fotos y paleta no introducen sesgo?'</w:t>
      </w:r>
    </w:p>
    <w:tbl>
      <w:tblPr>
        <w:tblW w:type="dxa" w:w="9026"/>
        <w:tblBorders>
          <w:top w:val="single" w:color="1F3864" w:sz="12"/>
          <w:left w:val="none"/>
          <w:bottom w:val="none"/>
          <w:right w:val="none"/>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DEEFF" w:val="clear"/>
            <w:tcMar>
              <w:top w:type="dxa" w:w="140"/>
              <w:left w:type="dxa" w:w="200"/>
              <w:bottom w:type="dxa" w:w="140"/>
              <w:right w:type="dxa" w:w="200"/>
            </w:tcMar>
          </w:tcPr>
          <w:p>
            <w:pPr>
              <w:jc w:val="both"/>
            </w:pPr>
            <w:r>
              <w:rPr>
                <w:rFonts w:ascii="Arial" w:cs="Arial" w:eastAsia="Arial" w:hAnsi="Arial"/>
                <w:i/>
                <w:iCs/>
                <w:sz w:val="22"/>
                <w:szCs w:val="22"/>
              </w:rPr>
              <w:t xml:space="preserve">Respuesta: Se siguió el protocolo estandarizado de captura (fondo uniforme, iluminación difusa, distancia constante) recomendado por Olivoto (2022). La paleta fue construida a partir de múltiples imágenes del rango completo de severidad y validada visualmente mediante el mask de segmentación. Si se contó con más de un evaluador para construir la paleta, se usó la paleta compuesta, que Olivoto et al. (2022) demostraron que reduce significativamente el efecto del evaluador como fuente de variación.</w:t>
            </w:r>
          </w:p>
        </w:tc>
      </w:tr>
    </w:tbl>
    <w:p>
      <w:pPr>
        <w:spacing w:after="0" w:before="120"/>
      </w:pPr>
      <w:r>
        <w:t xml:space="preserve"/>
      </w:r>
    </w:p>
    <w:p>
      <w:pPr>
        <w:spacing w:after="200" w:before="600"/>
        <w:jc w:val="center"/>
      </w:pPr>
      <w:r>
        <w:rPr>
          <w:rFonts w:ascii="Arial" w:cs="Arial" w:eastAsia="Arial" w:hAnsi="Arial"/>
          <w:i/>
          <w:iCs/>
          <w:color w:val="888888"/>
          <w:sz w:val="20"/>
          <w:szCs w:val="20"/>
        </w:rPr>
        <w:t xml:space="preserve">— Documento elaborado para apoyo metodológico de tesis de grado —</w:t>
      </w:r>
    </w:p>
    <w:p>
      <w:pPr>
        <w:jc w:val="center"/>
      </w:pPr>
      <w:r>
        <w:rPr>
          <w:rFonts w:ascii="Arial" w:cs="Arial" w:eastAsia="Arial" w:hAnsi="Arial"/>
          <w:color w:val="888888"/>
          <w:sz w:val="18"/>
          <w:szCs w:val="18"/>
        </w:rPr>
        <w:t xml:space="preserve">Colectivo Siembra · SICCAN · Facultad de Ciencias Agropecuarias · UNAL Palmira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659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2026-04-26T02:13:09.475Z</dcterms:created>
  <dcterms:modified xsi:type="dcterms:W3CDTF">2026-04-26T02:13:09.476Z</dcterms:modified>
</cp:coreProperties>
</file>

<file path=docProps/custom.xml><?xml version="1.0" encoding="utf-8"?>
<Properties xmlns="http://schemas.openxmlformats.org/officeDocument/2006/custom-properties" xmlns:vt="http://schemas.openxmlformats.org/officeDocument/2006/docPropsVTypes"/>
</file>