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line="480" w:lineRule="auto"/>
        <w:jc w:val="both"/>
        <w:rPr>
          <w:rFonts w:hint="default" w:ascii="Times New Roman" w:hAnsi="Times New Roman" w:cs="Times New Roman"/>
          <w:b/>
          <w:bCs/>
        </w:rPr>
      </w:pPr>
      <w:r>
        <w:rPr>
          <w:rFonts w:hint="default" w:ascii="Times New Roman" w:hAnsi="Times New Roman" w:cs="Times New Roman"/>
          <w:b/>
          <w:bCs/>
        </w:rPr>
        <w:t>Bayesian Reassortment Analysis</w:t>
      </w:r>
    </w:p>
    <w:p>
      <w:pPr>
        <w:bidi w:val="0"/>
        <w:spacing w:line="480" w:lineRule="auto"/>
        <w:ind w:firstLine="700"/>
        <w:jc w:val="both"/>
        <w:rPr>
          <w:rFonts w:hint="default" w:ascii="Times New Roman" w:hAnsi="Times New Roman" w:cs="Times New Roman"/>
          <w:b w:val="0"/>
          <w:bCs w:val="0"/>
        </w:rPr>
      </w:pPr>
      <w:r>
        <w:rPr>
          <w:rFonts w:hint="default" w:ascii="Times New Roman" w:hAnsi="Times New Roman" w:cs="Times New Roman"/>
          <w:b w:val="0"/>
          <w:bCs w:val="0"/>
        </w:rPr>
        <w:t>Bayesian phylodynamic trees were inferred using BEAST v2.7 (</w:t>
      </w:r>
      <w:r>
        <w:rPr>
          <w:rFonts w:hint="default" w:ascii="Times New Roman" w:hAnsi="Times New Roman" w:cs="Times New Roman"/>
          <w:b/>
          <w:bCs/>
        </w:rPr>
        <w:t>Bouckaert et al. 2014</w:t>
      </w:r>
      <w:r>
        <w:rPr>
          <w:rFonts w:hint="default" w:ascii="Times New Roman" w:hAnsi="Times New Roman" w:cs="Times New Roman"/>
          <w:b w:val="0"/>
          <w:bCs w:val="0"/>
        </w:rPr>
        <w:t>) to identify reassortment events, with model parameters configured via BEAUti v2.7.8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"https://www.beast2.org/beauti/" </w:instrText>
      </w:r>
      <w:r>
        <w:rPr>
          <w:rFonts w:hint="default" w:ascii="Times New Roman" w:hAnsi="Times New Roman" w:cs="Times New Roman"/>
          <w:b w:val="0"/>
          <w:bCs w:val="0"/>
        </w:rPr>
        <w:fldChar w:fldCharType="separate"/>
      </w:r>
      <w:r>
        <w:rPr>
          <w:rStyle w:val="9"/>
          <w:rFonts w:hint="default" w:ascii="Times New Roman" w:hAnsi="Times New Roman" w:cs="Times New Roman"/>
          <w:b w:val="0"/>
          <w:bCs w:val="0"/>
        </w:rPr>
        <w:t>https://www.beast2.org/beauti/</w:t>
      </w:r>
      <w:r>
        <w:rPr>
          <w:rFonts w:hint="default" w:ascii="Times New Roman" w:hAnsi="Times New Roman" w:cs="Times New Roman"/>
          <w:b w:val="0"/>
          <w:bCs w:val="0"/>
        </w:rPr>
        <w:fldChar w:fldCharType="end"/>
      </w:r>
      <w:r>
        <w:rPr>
          <w:rFonts w:hint="default" w:ascii="Times New Roman" w:hAnsi="Times New Roman" w:cs="Times New Roman"/>
          <w:b w:val="0"/>
          <w:bCs w:val="0"/>
        </w:rPr>
        <w:t>). Alignments for each segment were filtered to select complete triplets with available collection dates and renamed according to strain or isolate name. The General Time Reversible (GTR+Γ4) substitution model was set independently for each segment, and a strict molecular clock was linked across all segments. The Coalescent with Reassortment Constant Population (CoalRe) model (</w:t>
      </w:r>
      <w:r>
        <w:rPr>
          <w:rFonts w:hint="default" w:ascii="Times New Roman" w:hAnsi="Times New Roman" w:cs="Times New Roman"/>
          <w:b/>
          <w:bCs/>
        </w:rPr>
        <w:t>Müller et al. 2020</w:t>
      </w:r>
      <w:r>
        <w:rPr>
          <w:rFonts w:hint="default" w:ascii="Times New Roman" w:hAnsi="Times New Roman" w:cs="Times New Roman"/>
          <w:b w:val="0"/>
          <w:bCs w:val="0"/>
        </w:rPr>
        <w:t>) was selected with a non-informative prior assuming one reassortment event every 10 years. Self-tuning Markov chain Monte Carlo (MCMC) analyses were conducted in four independent runs, each of up to 500 million steps or until convergence was achieved (defined as effective sample sizes [ESS] &gt; 200 for all relevant key parameters), resulting in a total of approximately 1.5 billions MCMC steps. Runs were combined using LogCombiner v2.7 after discarding the first 100 million steps of each run as burn-in. Tracer v1.7.3 (</w:t>
      </w:r>
      <w:r>
        <w:rPr>
          <w:rFonts w:hint="default" w:ascii="Times New Roman" w:hAnsi="Times New Roman" w:cs="Times New Roman"/>
          <w:b/>
          <w:bCs/>
        </w:rPr>
        <w:t>Rambaut et al. 2018</w:t>
      </w:r>
      <w:r>
        <w:rPr>
          <w:rFonts w:hint="default" w:ascii="Times New Roman" w:hAnsi="Times New Roman" w:cs="Times New Roman"/>
          <w:b w:val="0"/>
          <w:bCs w:val="0"/>
        </w:rPr>
        <w:t>) was used to check for convergence and estimate the reassortment rate with 95% highest posterior density (HPD)  intervals. Maximum clade credibility (MCC) networks were generated using the CoalRe plugin. Only reassortment events with a posterior probability ≥ 0.90 were considered for further analysis. Trees were visualized and plotted using the Python packages baltic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"https://pypi.org/project/baltic/" </w:instrText>
      </w:r>
      <w:r>
        <w:rPr>
          <w:rFonts w:hint="default" w:ascii="Times New Roman" w:hAnsi="Times New Roman" w:cs="Times New Roman"/>
          <w:b w:val="0"/>
          <w:bCs w:val="0"/>
        </w:rPr>
        <w:fldChar w:fldCharType="separate"/>
      </w:r>
      <w:r>
        <w:rPr>
          <w:rStyle w:val="9"/>
          <w:rFonts w:hint="default" w:ascii="Times New Roman" w:hAnsi="Times New Roman" w:cs="Times New Roman"/>
          <w:b w:val="0"/>
          <w:bCs w:val="0"/>
        </w:rPr>
        <w:t>https://pypi.org/project/baltic/</w:t>
      </w:r>
      <w:r>
        <w:rPr>
          <w:rFonts w:hint="default" w:ascii="Times New Roman" w:hAnsi="Times New Roman" w:cs="Times New Roman"/>
          <w:b w:val="0"/>
          <w:bCs w:val="0"/>
        </w:rPr>
        <w:fldChar w:fldCharType="end"/>
      </w:r>
      <w:r>
        <w:rPr>
          <w:rFonts w:hint="default" w:ascii="Times New Roman" w:hAnsi="Times New Roman" w:cs="Times New Roman"/>
          <w:b w:val="0"/>
          <w:bCs w:val="0"/>
        </w:rPr>
        <w:t>) and Cartopy (</w:t>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"https://pypi.org/project/Cartopy/" </w:instrText>
      </w:r>
      <w:r>
        <w:rPr>
          <w:rFonts w:hint="default" w:ascii="Times New Roman" w:hAnsi="Times New Roman" w:cs="Times New Roman"/>
          <w:b w:val="0"/>
          <w:bCs w:val="0"/>
        </w:rPr>
        <w:fldChar w:fldCharType="separate"/>
      </w:r>
      <w:r>
        <w:rPr>
          <w:rStyle w:val="9"/>
          <w:rFonts w:hint="default" w:ascii="Times New Roman" w:hAnsi="Times New Roman" w:cs="Times New Roman"/>
          <w:b w:val="0"/>
          <w:bCs w:val="0"/>
        </w:rPr>
        <w:t>https://pypi.org/project/Cartopy/</w:t>
      </w:r>
      <w:r>
        <w:rPr>
          <w:rFonts w:hint="default" w:ascii="Times New Roman" w:hAnsi="Times New Roman" w:cs="Times New Roman"/>
          <w:b w:val="0"/>
          <w:bCs w:val="0"/>
        </w:rPr>
        <w:fldChar w:fldCharType="end"/>
      </w:r>
      <w:r>
        <w:rPr>
          <w:rFonts w:hint="default" w:ascii="Times New Roman" w:hAnsi="Times New Roman" w:cs="Times New Roman"/>
          <w:b w:val="0"/>
          <w:bCs w:val="0"/>
        </w:rPr>
        <w:t>).</w:t>
      </w:r>
    </w:p>
    <w:p>
      <w:pPr>
        <w:bidi w:val="0"/>
        <w:spacing w:line="480" w:lineRule="auto"/>
        <w:jc w:val="both"/>
        <w:rPr>
          <w:rFonts w:hint="default" w:ascii="Times New Roman" w:hAnsi="Times New Roman" w:cs="Times New Roman"/>
          <w:b/>
          <w:bCs/>
        </w:rPr>
      </w:pPr>
    </w:p>
    <w:p>
      <w:pPr>
        <w:bidi w:val="0"/>
        <w:spacing w:line="480" w:lineRule="auto"/>
        <w:jc w:val="both"/>
        <w:rPr>
          <w:rFonts w:hint="default" w:ascii="Times New Roman" w:hAnsi="Times New Roman" w:cs="Times New Roman"/>
          <w:b/>
          <w:bCs/>
        </w:rPr>
      </w:pPr>
    </w:p>
    <w:p>
      <w:pPr>
        <w:bidi w:val="0"/>
        <w:spacing w:line="480" w:lineRule="auto"/>
        <w:jc w:val="both"/>
        <w:rPr>
          <w:rFonts w:hint="default" w:ascii="Times New Roman" w:hAnsi="Times New Roman" w:cs="Times New Roman"/>
          <w:b/>
          <w:bCs/>
        </w:rPr>
      </w:pPr>
    </w:p>
    <w:p>
      <w:pPr>
        <w:bidi w:val="0"/>
        <w:spacing w:line="480" w:lineRule="auto"/>
        <w:jc w:val="both"/>
        <w:rPr>
          <w:rFonts w:hint="default" w:ascii="Times New Roman" w:hAnsi="Times New Roman" w:cs="Times New Roman"/>
          <w:b/>
          <w:bCs/>
        </w:rPr>
      </w:pPr>
      <w:r>
        <w:rPr>
          <w:rFonts w:hint="default" w:ascii="Times New Roman" w:hAnsi="Times New Roman" w:cs="Times New Roman"/>
          <w:b/>
          <w:bCs/>
        </w:rPr>
        <w:t>Maximum Likelihood phylogeny, Topology,</w:t>
      </w:r>
      <w:r>
        <w:rPr>
          <w:rFonts w:hint="default" w:ascii="Times New Roman" w:hAnsi="Times New Roman" w:cs="Times New Roman"/>
          <w:b/>
          <w:bCs/>
        </w:rPr>
        <w:t xml:space="preserve"> Temporal</w:t>
      </w:r>
      <w:r>
        <w:rPr>
          <w:rFonts w:hint="default" w:ascii="Times New Roman" w:hAnsi="Times New Roman" w:cs="Times New Roman"/>
          <w:b/>
          <w:bCs/>
        </w:rPr>
        <w:t xml:space="preserve"> and Phylogenetic signal analyses</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Maximum likelihood phylogenetic trees were inferred and topology tests were conducted for each genomic segment using IQ-TREE v3.0.1 (</w:t>
      </w:r>
      <w:r>
        <w:rPr>
          <w:rFonts w:hint="default" w:ascii="Times New Roman" w:hAnsi="Times New Roman" w:cs="Times New Roman"/>
          <w:b/>
          <w:bCs/>
        </w:rPr>
        <w:t>Wong et al. 2025</w:t>
      </w:r>
      <w:r>
        <w:rPr>
          <w:rFonts w:hint="default" w:ascii="Times New Roman" w:hAnsi="Times New Roman" w:cs="Times New Roman"/>
          <w:b w:val="0"/>
          <w:bCs w:val="0"/>
        </w:rPr>
        <w:t>). The best-fit substitution model was selected automatically using ModelFinder (</w:t>
      </w:r>
      <w:r>
        <w:rPr>
          <w:rFonts w:hint="default" w:ascii="Times New Roman" w:hAnsi="Times New Roman" w:cs="Times New Roman"/>
          <w:b/>
          <w:bCs/>
        </w:rPr>
        <w:t>Kalyaanamoorthy et al. 2017</w:t>
      </w:r>
      <w:r>
        <w:rPr>
          <w:rFonts w:hint="default" w:ascii="Times New Roman" w:hAnsi="Times New Roman" w:cs="Times New Roman"/>
          <w:b w:val="0"/>
          <w:bCs w:val="0"/>
        </w:rPr>
        <w:t>) based on the Bayesian Information Criterion (BIC), as well as the default model selection procedure implemented in IQ-TREE. Branch support was assessed using the ultrafast bootstrap approximation (UFBoot2) with 1,000 replicates (</w:t>
      </w:r>
      <w:r>
        <w:rPr>
          <w:rFonts w:hint="default" w:ascii="Times New Roman" w:hAnsi="Times New Roman" w:cs="Times New Roman"/>
          <w:b/>
          <w:bCs/>
        </w:rPr>
        <w:t>Hoang et al. 2018</w:t>
      </w:r>
      <w:r>
        <w:rPr>
          <w:rFonts w:hint="default" w:ascii="Times New Roman" w:hAnsi="Times New Roman" w:cs="Times New Roman"/>
          <w:b w:val="0"/>
          <w:bCs w:val="0"/>
        </w:rPr>
        <w:t>), the approximate Bayes test (aBayes), and the SH-like approximate likelihood ratio test (SH-aLRT) with 1,000 replicates. The following additional tests were conducted: approximate Bayes single branch test, weighted Kishino-Hasegawa (KH) test, weighted Shimodaira-Hasegawa (SH) test, and the approximately unbiased (AU) test.</w:t>
      </w:r>
    </w:p>
    <w:p>
      <w:pPr>
        <w:bidi w:val="0"/>
        <w:spacing w:line="480" w:lineRule="auto"/>
        <w:ind w:firstLine="700"/>
        <w:jc w:val="both"/>
        <w:rPr>
          <w:rFonts w:hint="default" w:ascii="Times New Roman" w:hAnsi="Times New Roman" w:cs="Times New Roman"/>
          <w:b w:val="0"/>
          <w:bCs w:val="0"/>
        </w:rPr>
      </w:pPr>
      <w:r>
        <w:rPr>
          <w:rFonts w:hint="default" w:ascii="Times New Roman" w:hAnsi="Times New Roman" w:cs="Times New Roman"/>
          <w:b w:val="0"/>
          <w:bCs w:val="0"/>
        </w:rPr>
        <w:t>The temporal signal within each clade of the phylogenetic tree was assessed using Phylostems (</w:t>
      </w:r>
      <w:r>
        <w:rPr>
          <w:rFonts w:hint="default" w:ascii="Times New Roman" w:hAnsi="Times New Roman" w:cs="Times New Roman"/>
          <w:b/>
          <w:bCs/>
        </w:rPr>
        <w:t>Doizy et al 2023</w:t>
      </w:r>
      <w:r>
        <w:rPr>
          <w:rFonts w:hint="default" w:ascii="Times New Roman" w:hAnsi="Times New Roman" w:cs="Times New Roman"/>
          <w:b w:val="0"/>
          <w:bCs w:val="0"/>
        </w:rPr>
        <w:t>).</w:t>
      </w:r>
      <w:r>
        <w:rPr>
          <w:rFonts w:hint="default" w:ascii="Times New Roman" w:hAnsi="Times New Roman" w:cs="Times New Roman"/>
          <w:b w:val="0"/>
          <w:bCs w:val="0"/>
        </w:rPr>
        <w:t xml:space="preserve"> Phylogenetic signal of the alignments was evaluated using likelihood mapping analysis implemented in TREE-PUZZLE v5.3 (</w:t>
      </w:r>
      <w:r>
        <w:rPr>
          <w:rFonts w:hint="default" w:ascii="Times New Roman" w:hAnsi="Times New Roman" w:cs="Times New Roman"/>
          <w:b/>
          <w:bCs/>
        </w:rPr>
        <w:t>Strimmer &amp; von Haeseler, 1997</w:t>
      </w:r>
      <w:r>
        <w:rPr>
          <w:rFonts w:hint="default" w:ascii="Times New Roman" w:hAnsi="Times New Roman" w:cs="Times New Roman"/>
          <w:b w:val="0"/>
          <w:bCs w:val="0"/>
        </w:rPr>
        <w:t>). A total of 10,000 randomly selected quartets were analyzed under the GTR+Γ4 substitution model. Approximate maximum likelihood was used for quartet evaluation. The distribution of resolved and unresolved quartets was examined to assess the phylogenetic informativeness of the dataset prior to tree inference.</w:t>
      </w:r>
    </w:p>
    <w:p>
      <w:pPr>
        <w:bidi w:val="0"/>
        <w:spacing w:line="480" w:lineRule="auto"/>
        <w:jc w:val="both"/>
        <w:rPr>
          <w:rFonts w:hint="default" w:ascii="Times New Roman" w:hAnsi="Times New Roman" w:cs="Times New Roman"/>
          <w:b/>
          <w:bCs/>
        </w:rPr>
      </w:pPr>
    </w:p>
    <w:p>
      <w:pPr>
        <w:bidi w:val="0"/>
        <w:spacing w:line="480" w:lineRule="auto"/>
        <w:jc w:val="both"/>
        <w:rPr>
          <w:rFonts w:hint="default" w:ascii="Times New Roman" w:hAnsi="Times New Roman" w:cs="Times New Roman"/>
          <w:b w:val="0"/>
          <w:bCs w:val="0"/>
        </w:rPr>
      </w:pPr>
      <w:bookmarkStart w:id="0" w:name="_GoBack"/>
      <w:bookmarkEnd w:id="0"/>
      <w:r>
        <w:rPr>
          <w:rFonts w:hint="default" w:ascii="Times New Roman" w:hAnsi="Times New Roman" w:cs="Times New Roman"/>
          <w:b/>
          <w:bCs/>
        </w:rPr>
        <w:t xml:space="preserve">References </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Bouckaert, R. et al. BEAST 2: A software platform for Bayesian evolutionary analysis. PLoS Comput. Biol. 10, e1003537 (2014).</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Müller, N. F. et al. Bayesian inference of reassortment networks reveals fitness benefits of reassortment in human influenza viruses. Proc. Natl Acad. Sci. USA 117, 17104-17111 (2020).</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Rambaut, A. et al. Posterior summarization in Bayesian phylogenetics using Tracer 1.7. Syst. Biol. 67, 901-904 (2018).</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Wong, T. K. F. et al. IQ-TREE 3: Phylogenomic inference software using complex evolutionary models. bioRxiv (2025). doi: 10.32942/X2P62N.</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Kalyaanamoorthy, S. et al. ModelFinder: Fast model selection for accurate phylogenetic estimates. Nat. Methods 14, 587-589 (2017).</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Hoang, D. T. et al. UFBoot2: Improving the ultrafast bootstrap approximation. Mol. Biol. Evol. 35, 518-522 (2018).</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Doizy, A. et al. Phylostems: a new graphical tool to investigate temporal signal of heterochronous sequences datasets. Bioinform. Adv. 3, vbad026 (2023).</w:t>
      </w:r>
    </w:p>
    <w:p>
      <w:pPr>
        <w:bidi w:val="0"/>
        <w:spacing w:line="480" w:lineRule="auto"/>
        <w:jc w:val="both"/>
        <w:rPr>
          <w:rFonts w:hint="default" w:ascii="Times New Roman" w:hAnsi="Times New Roman" w:cs="Times New Roman"/>
          <w:b w:val="0"/>
          <w:bCs w:val="0"/>
        </w:rPr>
      </w:pPr>
      <w:r>
        <w:rPr>
          <w:rFonts w:hint="default" w:ascii="Times New Roman" w:hAnsi="Times New Roman" w:cs="Times New Roman"/>
          <w:b w:val="0"/>
          <w:bCs w:val="0"/>
        </w:rPr>
        <w:t>Strimmer, K. &amp; von Haeseler, A. Likelihood-mapping: A simple method to visualize phylogenetic content of a sequence alignment. Proc. Natl Acad. Sci. USA 94, 6815-6819 (1997).</w:t>
      </w:r>
    </w:p>
    <w:p>
      <w:pPr>
        <w:bidi w:val="0"/>
        <w:spacing w:line="480" w:lineRule="auto"/>
        <w:jc w:val="both"/>
        <w:rPr>
          <w:rFonts w:hint="default" w:ascii="Times New Roman" w:hAnsi="Times New Roman" w:cs="Times New Roman"/>
          <w:b w:val="0"/>
          <w:bCs w:val="0"/>
        </w:rPr>
      </w:pPr>
    </w:p>
    <w:sectPr>
      <w:pgSz w:w="11906" w:h="16838"/>
      <w:pgMar w:top="1440" w:right="1800" w:bottom="1440" w:left="1800" w:header="0" w:footer="0" w:gutter="0"/>
      <w:pgNumType w:fmt="decimal"/>
      <w:cols w:equalWidth="0" w:num="1">
        <w:col w:w="9638"/>
      </w:cols>
      <w:formProt w:val="0"/>
      <w:rtlGutter w:val="0"/>
      <w:docGrid w:linePitch="6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Liberation Serif">
    <w:panose1 w:val="02020603050405020304"/>
    <w:charset w:val="01"/>
    <w:family w:val="roman"/>
    <w:pitch w:val="default"/>
    <w:sig w:usb0="E0000AFF" w:usb1="500078FF" w:usb2="00000021" w:usb3="00000000" w:csb0="600001BF" w:csb1="DFF70000"/>
  </w:font>
  <w:font w:name="Noto Serif CJK SC">
    <w:panose1 w:val="02020400000000000000"/>
    <w:charset w:val="86"/>
    <w:family w:val="auto"/>
    <w:pitch w:val="default"/>
    <w:sig w:usb0="30000083" w:usb1="2BDF3C10" w:usb2="00000016" w:usb3="00000000" w:csb0="602E0107" w:csb1="00000000"/>
  </w:font>
  <w:font w:name="Noto Sans Devanagari">
    <w:panose1 w:val="020B0602040504020204"/>
    <w:charset w:val="00"/>
    <w:family w:val="auto"/>
    <w:pitch w:val="default"/>
    <w:sig w:usb0="80008023" w:usb1="00002046"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B3F68D0"/>
    <w:multiLevelType w:val="multilevel"/>
    <w:tmpl w:val="FB3F68D0"/>
    <w:lvl w:ilvl="0" w:tentative="0">
      <w:start w:val="1"/>
      <w:numFmt w:val="none"/>
      <w:pStyle w:val="2"/>
      <w:suff w:val="nothing"/>
      <w:lvlText w:val="%1"/>
      <w:lvlJc w:val="left"/>
      <w:pPr>
        <w:tabs>
          <w:tab w:val="left" w:pos="0"/>
        </w:tabs>
        <w:ind w:left="0" w:firstLine="0"/>
      </w:pPr>
    </w:lvl>
    <w:lvl w:ilvl="1" w:tentative="0">
      <w:start w:val="1"/>
      <w:numFmt w:val="none"/>
      <w:pStyle w:val="5"/>
      <w:suff w:val="nothing"/>
      <w:lvlText w:val="%2"/>
      <w:lvlJc w:val="left"/>
      <w:pPr>
        <w:tabs>
          <w:tab w:val="left" w:pos="0"/>
        </w:tabs>
        <w:ind w:left="0" w:firstLine="0"/>
      </w:pPr>
    </w:lvl>
    <w:lvl w:ilvl="2" w:tentative="0">
      <w:start w:val="1"/>
      <w:numFmt w:val="none"/>
      <w:suff w:val="nothing"/>
      <w:lvlText w:val="%3"/>
      <w:lvlJc w:val="left"/>
      <w:pPr>
        <w:tabs>
          <w:tab w:val="left" w:pos="0"/>
        </w:tabs>
        <w:ind w:left="0" w:firstLine="0"/>
      </w:pPr>
    </w:lvl>
    <w:lvl w:ilvl="3" w:tentative="0">
      <w:start w:val="1"/>
      <w:numFmt w:val="none"/>
      <w:suff w:val="nothing"/>
      <w:lvlText w:val="%4"/>
      <w:lvlJc w:val="left"/>
      <w:pPr>
        <w:tabs>
          <w:tab w:val="left" w:pos="0"/>
        </w:tabs>
        <w:ind w:left="0" w:firstLine="0"/>
      </w:pPr>
    </w:lvl>
    <w:lvl w:ilvl="4" w:tentative="0">
      <w:start w:val="1"/>
      <w:numFmt w:val="none"/>
      <w:suff w:val="nothing"/>
      <w:lvlText w:val="%5"/>
      <w:lvlJc w:val="left"/>
      <w:pPr>
        <w:tabs>
          <w:tab w:val="left" w:pos="0"/>
        </w:tabs>
        <w:ind w:left="0" w:firstLine="0"/>
      </w:pPr>
    </w:lvl>
    <w:lvl w:ilvl="5" w:tentative="0">
      <w:start w:val="1"/>
      <w:numFmt w:val="none"/>
      <w:suff w:val="nothing"/>
      <w:lvlText w:val="%6"/>
      <w:lvlJc w:val="left"/>
      <w:pPr>
        <w:tabs>
          <w:tab w:val="left" w:pos="0"/>
        </w:tabs>
        <w:ind w:left="0" w:firstLine="0"/>
      </w:pPr>
    </w:lvl>
    <w:lvl w:ilvl="6" w:tentative="0">
      <w:start w:val="1"/>
      <w:numFmt w:val="none"/>
      <w:suff w:val="nothing"/>
      <w:lvlText w:val="%7"/>
      <w:lvlJc w:val="left"/>
      <w:pPr>
        <w:tabs>
          <w:tab w:val="left" w:pos="0"/>
        </w:tabs>
        <w:ind w:left="0" w:firstLine="0"/>
      </w:pPr>
    </w:lvl>
    <w:lvl w:ilvl="7" w:tentative="0">
      <w:start w:val="1"/>
      <w:numFmt w:val="none"/>
      <w:suff w:val="nothing"/>
      <w:lvlText w:val="%8"/>
      <w:lvlJc w:val="left"/>
      <w:pPr>
        <w:tabs>
          <w:tab w:val="left" w:pos="0"/>
        </w:tabs>
        <w:ind w:left="0" w:firstLine="0"/>
      </w:pPr>
    </w:lvl>
    <w:lvl w:ilvl="8" w:tentative="0">
      <w:start w:val="1"/>
      <w:numFmt w:val="none"/>
      <w:suff w:val="nothing"/>
      <w:lvlText w:val="%9"/>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709"/>
  <w:autoHyphenation/>
  <w:hyphenationZone w:val="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2"/>
  </w:compat>
  <w:rsids>
    <w:rsidRoot w:val="00000000"/>
    <w:rsid w:val="04FD9C0F"/>
    <w:rsid w:val="16F77CD4"/>
    <w:rsid w:val="1FCD9F0F"/>
    <w:rsid w:val="3A3F63D4"/>
    <w:rsid w:val="3D2E107C"/>
    <w:rsid w:val="3F39BCB5"/>
    <w:rsid w:val="3FDE01AE"/>
    <w:rsid w:val="3FFAD51D"/>
    <w:rsid w:val="56FF8696"/>
    <w:rsid w:val="5E6D8DA7"/>
    <w:rsid w:val="5EF72E51"/>
    <w:rsid w:val="5F6FDE6D"/>
    <w:rsid w:val="5FBFCFE4"/>
    <w:rsid w:val="5FE76476"/>
    <w:rsid w:val="5FF5C41C"/>
    <w:rsid w:val="62BCE074"/>
    <w:rsid w:val="6BCF737F"/>
    <w:rsid w:val="6BDCF8BE"/>
    <w:rsid w:val="6C7F9869"/>
    <w:rsid w:val="6E7F39A5"/>
    <w:rsid w:val="6F5E2483"/>
    <w:rsid w:val="6FF9F71D"/>
    <w:rsid w:val="71F8A7F0"/>
    <w:rsid w:val="72F7FC18"/>
    <w:rsid w:val="73DF2CCE"/>
    <w:rsid w:val="745F43D4"/>
    <w:rsid w:val="75FC8065"/>
    <w:rsid w:val="77368FD0"/>
    <w:rsid w:val="777B9FE9"/>
    <w:rsid w:val="7893FF20"/>
    <w:rsid w:val="79BD4A6E"/>
    <w:rsid w:val="79BD9D89"/>
    <w:rsid w:val="7A5EE1E2"/>
    <w:rsid w:val="7AEC944A"/>
    <w:rsid w:val="7AFAF460"/>
    <w:rsid w:val="7BF7677A"/>
    <w:rsid w:val="7CFF70B3"/>
    <w:rsid w:val="7CFFDC51"/>
    <w:rsid w:val="7DBF4E15"/>
    <w:rsid w:val="7E7ED9CC"/>
    <w:rsid w:val="7E7FA950"/>
    <w:rsid w:val="7F97B5B1"/>
    <w:rsid w:val="7FA6F5A2"/>
    <w:rsid w:val="7FCF1F29"/>
    <w:rsid w:val="7FD5603A"/>
    <w:rsid w:val="7FF7CE01"/>
    <w:rsid w:val="7FFF926D"/>
    <w:rsid w:val="998D0CAB"/>
    <w:rsid w:val="9DF5DBF1"/>
    <w:rsid w:val="9FFBCFDF"/>
    <w:rsid w:val="A7BF4336"/>
    <w:rsid w:val="BF92BC85"/>
    <w:rsid w:val="C7BCAC69"/>
    <w:rsid w:val="CFE785FC"/>
    <w:rsid w:val="DBFF66A0"/>
    <w:rsid w:val="E6FEB1D5"/>
    <w:rsid w:val="EBF74D3A"/>
    <w:rsid w:val="EDFB868F"/>
    <w:rsid w:val="F1E7CDFA"/>
    <w:rsid w:val="F3BF7635"/>
    <w:rsid w:val="F63C5A5B"/>
    <w:rsid w:val="F65F21BD"/>
    <w:rsid w:val="F67F5F5C"/>
    <w:rsid w:val="F7CBEAB9"/>
    <w:rsid w:val="F7FBC85D"/>
    <w:rsid w:val="F9ED4F3F"/>
    <w:rsid w:val="FB2C4527"/>
    <w:rsid w:val="FB6F4F76"/>
    <w:rsid w:val="FBFB300F"/>
    <w:rsid w:val="FBFFDD7D"/>
    <w:rsid w:val="FEFED2B5"/>
    <w:rsid w:val="FF97F0A9"/>
    <w:rsid w:val="FFBB58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kinsoku/>
      <w:overflowPunct/>
      <w:autoSpaceDE/>
      <w:bidi w:val="0"/>
    </w:pPr>
    <w:rPr>
      <w:rFonts w:ascii="Liberation Serif" w:hAnsi="Liberation Serif" w:eastAsia="Noto Serif CJK SC" w:cs="Noto Sans Devanagari"/>
      <w:color w:val="auto"/>
      <w:kern w:val="2"/>
      <w:sz w:val="24"/>
      <w:szCs w:val="24"/>
      <w:lang w:val="en-GB" w:eastAsia="zh-CN" w:bidi="hi-IN"/>
    </w:rPr>
  </w:style>
  <w:style w:type="paragraph" w:styleId="2">
    <w:name w:val="heading 1"/>
    <w:basedOn w:val="3"/>
    <w:next w:val="4"/>
    <w:qFormat/>
    <w:uiPriority w:val="0"/>
    <w:pPr>
      <w:numPr>
        <w:ilvl w:val="0"/>
        <w:numId w:val="1"/>
      </w:numPr>
      <w:spacing w:before="240" w:after="120"/>
      <w:outlineLvl w:val="0"/>
    </w:pPr>
    <w:rPr>
      <w:b/>
      <w:bCs/>
      <w:sz w:val="36"/>
      <w:szCs w:val="36"/>
    </w:rPr>
  </w:style>
  <w:style w:type="paragraph" w:styleId="5">
    <w:name w:val="heading 2"/>
    <w:basedOn w:val="3"/>
    <w:next w:val="4"/>
    <w:qFormat/>
    <w:uiPriority w:val="0"/>
    <w:pPr>
      <w:numPr>
        <w:ilvl w:val="1"/>
        <w:numId w:val="1"/>
      </w:numPr>
      <w:spacing w:before="200" w:after="120"/>
      <w:outlineLvl w:val="1"/>
    </w:pPr>
    <w:rPr>
      <w:b/>
      <w:bCs/>
      <w:sz w:val="32"/>
      <w:szCs w:val="32"/>
    </w:rPr>
  </w:style>
  <w:style w:type="character" w:default="1" w:styleId="8">
    <w:name w:val="Default Paragraph Font"/>
    <w:semiHidden/>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List"/>
    <w:basedOn w:val="4"/>
    <w:qFormat/>
    <w:uiPriority w:val="0"/>
    <w:rPr>
      <w:rFonts w:cs="Noto Sans Devanagari"/>
    </w:rPr>
  </w:style>
  <w:style w:type="character" w:styleId="9">
    <w:name w:val="Hyperlink"/>
    <w:qFormat/>
    <w:uiPriority w:val="0"/>
    <w:rPr>
      <w:color w:val="000080"/>
      <w:u w:val="single"/>
    </w:rPr>
  </w:style>
  <w:style w:type="paragraph" w:customStyle="1" w:styleId="11">
    <w:name w:val="Index"/>
    <w:basedOn w:val="1"/>
    <w:qFormat/>
    <w:uiPriority w:val="0"/>
    <w:pPr>
      <w:suppressLineNumbers/>
    </w:pPr>
    <w:rPr>
      <w:rFonts w:cs="Noto Sans Devanagar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514</Words>
  <Characters>3226</Characters>
  <Paragraphs>12</Paragraphs>
  <TotalTime>55</TotalTime>
  <ScaleCrop>false</ScaleCrop>
  <LinksUpToDate>false</LinksUpToDate>
  <CharactersWithSpaces>3727</CharactersWithSpaces>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2026-05-04T22:39:00Z</dcterms:created>
  <dc:creator>Junior Olimpio Martins</dc:creator>
  <cp:lastModifiedBy>ricardo</cp:lastModifiedBy>
  <dcterms:modified xsi:type="dcterms:W3CDTF">2026-05-06T14:12:48Z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