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D11F" w14:textId="77777777" w:rsidR="00381AA6" w:rsidRPr="00C25F72" w:rsidRDefault="00381AA6" w:rsidP="00D938C2">
      <w:pPr>
        <w:spacing w:line="480" w:lineRule="auto"/>
        <w:jc w:val="center"/>
        <w:rPr>
          <w:rFonts w:ascii="Times New Roman" w:eastAsia="Times New Roman" w:hAnsi="Times New Roman" w:cs="Times New Roman"/>
          <w:color w:val="000000" w:themeColor="text1"/>
        </w:rPr>
      </w:pPr>
    </w:p>
    <w:p w14:paraId="0BA56AAE" w14:textId="77777777" w:rsidR="00381AA6" w:rsidRPr="00C25F72" w:rsidRDefault="00381AA6" w:rsidP="00D938C2">
      <w:pPr>
        <w:spacing w:line="480" w:lineRule="auto"/>
        <w:jc w:val="center"/>
        <w:rPr>
          <w:rFonts w:ascii="Times New Roman" w:eastAsia="Times New Roman" w:hAnsi="Times New Roman" w:cs="Times New Roman"/>
          <w:color w:val="000000" w:themeColor="text1"/>
        </w:rPr>
      </w:pPr>
    </w:p>
    <w:p w14:paraId="63FA5593" w14:textId="77777777" w:rsidR="00381AA6" w:rsidRPr="00C25F72" w:rsidRDefault="00381AA6" w:rsidP="00D938C2">
      <w:pPr>
        <w:spacing w:line="480" w:lineRule="auto"/>
        <w:jc w:val="center"/>
        <w:rPr>
          <w:rFonts w:ascii="Times New Roman" w:eastAsia="Times New Roman" w:hAnsi="Times New Roman" w:cs="Times New Roman"/>
          <w:color w:val="000000" w:themeColor="text1"/>
        </w:rPr>
      </w:pPr>
    </w:p>
    <w:p w14:paraId="15B1C35E" w14:textId="77777777" w:rsidR="00381AA6" w:rsidRPr="00C25F72" w:rsidRDefault="00381AA6" w:rsidP="00D938C2">
      <w:pPr>
        <w:spacing w:line="480" w:lineRule="auto"/>
        <w:jc w:val="center"/>
        <w:rPr>
          <w:rFonts w:ascii="Times New Roman" w:eastAsia="Times New Roman" w:hAnsi="Times New Roman" w:cs="Times New Roman"/>
          <w:color w:val="000000" w:themeColor="text1"/>
        </w:rPr>
      </w:pPr>
    </w:p>
    <w:p w14:paraId="5FA0B441" w14:textId="77777777" w:rsidR="00381AA6" w:rsidRPr="00C25F72" w:rsidRDefault="00381AA6" w:rsidP="00D938C2">
      <w:pPr>
        <w:spacing w:line="480" w:lineRule="auto"/>
        <w:jc w:val="center"/>
        <w:rPr>
          <w:rFonts w:ascii="Times New Roman" w:eastAsia="Times New Roman" w:hAnsi="Times New Roman" w:cs="Times New Roman"/>
          <w:color w:val="000000" w:themeColor="text1"/>
        </w:rPr>
      </w:pPr>
    </w:p>
    <w:p w14:paraId="333009EA" w14:textId="0511AC0E" w:rsidR="00381AA6" w:rsidRPr="00C25F72" w:rsidRDefault="006067A4" w:rsidP="00D938C2">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Effective Strategies to Build and Sustain Partnerships Between Stakeholders in Math Education</w:t>
      </w:r>
    </w:p>
    <w:p w14:paraId="54F929DA" w14:textId="70EFEF47" w:rsidR="00B94613" w:rsidRPr="00C25F72" w:rsidRDefault="0032699C" w:rsidP="0032699C">
      <w:pPr>
        <w:tabs>
          <w:tab w:val="center" w:pos="4680"/>
          <w:tab w:val="left" w:pos="5860"/>
        </w:tabs>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0853AF" w:rsidRPr="00C25F72">
        <w:rPr>
          <w:rFonts w:ascii="Times New Roman" w:eastAsia="Times New Roman" w:hAnsi="Times New Roman" w:cs="Times New Roman"/>
          <w:color w:val="000000" w:themeColor="text1"/>
        </w:rPr>
        <w:t xml:space="preserve">Shande King </w:t>
      </w:r>
      <w:r>
        <w:rPr>
          <w:rFonts w:ascii="Times New Roman" w:eastAsia="Times New Roman" w:hAnsi="Times New Roman" w:cs="Times New Roman"/>
          <w:color w:val="000000" w:themeColor="text1"/>
        </w:rPr>
        <w:tab/>
      </w:r>
    </w:p>
    <w:p w14:paraId="75C773D9" w14:textId="15E03621" w:rsidR="00381AA6" w:rsidRPr="00C25F72" w:rsidRDefault="00063B52" w:rsidP="00D938C2">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Comprehensive Exam Question</w:t>
      </w:r>
    </w:p>
    <w:p w14:paraId="7FB43BFF" w14:textId="77777777" w:rsidR="00381AA6" w:rsidRPr="00C25F72" w:rsidRDefault="000853AF" w:rsidP="00D938C2">
      <w:pPr>
        <w:spacing w:line="480" w:lineRule="auto"/>
        <w:jc w:val="center"/>
        <w:rPr>
          <w:rFonts w:ascii="Times New Roman" w:eastAsia="Times New Roman" w:hAnsi="Times New Roman" w:cs="Times New Roman"/>
          <w:color w:val="000000" w:themeColor="text1"/>
        </w:rPr>
      </w:pPr>
      <w:r w:rsidRPr="00C25F72">
        <w:rPr>
          <w:rFonts w:ascii="Times New Roman" w:eastAsia="Times New Roman" w:hAnsi="Times New Roman" w:cs="Times New Roman"/>
          <w:color w:val="000000" w:themeColor="text1"/>
        </w:rPr>
        <w:t>University of Tennessee, Knoxville</w:t>
      </w:r>
    </w:p>
    <w:p w14:paraId="406EA2B1" w14:textId="77777777" w:rsidR="00B94613" w:rsidRPr="00C25F72" w:rsidRDefault="00B94613" w:rsidP="00D938C2">
      <w:pPr>
        <w:spacing w:line="480" w:lineRule="auto"/>
        <w:rPr>
          <w:rFonts w:ascii="Times New Roman" w:hAnsi="Times New Roman" w:cs="Times New Roman"/>
          <w:color w:val="000000" w:themeColor="text1"/>
        </w:rPr>
      </w:pPr>
    </w:p>
    <w:p w14:paraId="6F644048" w14:textId="77777777" w:rsidR="00B94613" w:rsidRPr="00C25F72" w:rsidRDefault="00B94613" w:rsidP="00D938C2">
      <w:pPr>
        <w:spacing w:line="480" w:lineRule="auto"/>
        <w:rPr>
          <w:rFonts w:ascii="Times New Roman" w:hAnsi="Times New Roman" w:cs="Times New Roman"/>
          <w:color w:val="000000" w:themeColor="text1"/>
        </w:rPr>
      </w:pPr>
    </w:p>
    <w:p w14:paraId="7402FE24" w14:textId="77777777" w:rsidR="00B94613" w:rsidRPr="00C25F72" w:rsidRDefault="00B94613" w:rsidP="00D938C2">
      <w:pPr>
        <w:spacing w:line="480" w:lineRule="auto"/>
        <w:rPr>
          <w:rFonts w:ascii="Times New Roman" w:hAnsi="Times New Roman" w:cs="Times New Roman"/>
          <w:color w:val="000000" w:themeColor="text1"/>
        </w:rPr>
      </w:pPr>
    </w:p>
    <w:p w14:paraId="31DCB22D" w14:textId="77777777" w:rsidR="00B94613" w:rsidRPr="00C25F72" w:rsidRDefault="00B94613" w:rsidP="00D938C2">
      <w:pPr>
        <w:spacing w:line="480" w:lineRule="auto"/>
        <w:rPr>
          <w:rFonts w:ascii="Times New Roman" w:hAnsi="Times New Roman" w:cs="Times New Roman"/>
          <w:color w:val="000000" w:themeColor="text1"/>
        </w:rPr>
      </w:pPr>
    </w:p>
    <w:p w14:paraId="7AAC2F00" w14:textId="77777777" w:rsidR="00B94613" w:rsidRPr="00C25F72" w:rsidRDefault="00B94613" w:rsidP="00D938C2">
      <w:pPr>
        <w:spacing w:line="480" w:lineRule="auto"/>
        <w:rPr>
          <w:rFonts w:ascii="Times New Roman" w:hAnsi="Times New Roman" w:cs="Times New Roman"/>
          <w:color w:val="000000" w:themeColor="text1"/>
        </w:rPr>
      </w:pPr>
    </w:p>
    <w:p w14:paraId="3A941E38" w14:textId="77777777" w:rsidR="00B94613" w:rsidRPr="00C25F72" w:rsidRDefault="00B94613" w:rsidP="00D938C2">
      <w:pPr>
        <w:spacing w:line="480" w:lineRule="auto"/>
        <w:rPr>
          <w:rFonts w:ascii="Times New Roman" w:hAnsi="Times New Roman" w:cs="Times New Roman"/>
          <w:color w:val="000000" w:themeColor="text1"/>
        </w:rPr>
      </w:pPr>
    </w:p>
    <w:p w14:paraId="5F5810B3" w14:textId="77777777" w:rsidR="00B94613" w:rsidRPr="00C25F72" w:rsidRDefault="00B94613" w:rsidP="00D938C2">
      <w:pPr>
        <w:spacing w:line="480" w:lineRule="auto"/>
        <w:rPr>
          <w:rFonts w:ascii="Times New Roman" w:hAnsi="Times New Roman" w:cs="Times New Roman"/>
          <w:color w:val="000000" w:themeColor="text1"/>
        </w:rPr>
      </w:pPr>
    </w:p>
    <w:p w14:paraId="5085925F" w14:textId="77777777" w:rsidR="00B94613" w:rsidRPr="00C25F72" w:rsidRDefault="00B94613" w:rsidP="00D938C2">
      <w:pPr>
        <w:spacing w:line="480" w:lineRule="auto"/>
        <w:rPr>
          <w:rFonts w:ascii="Times New Roman" w:hAnsi="Times New Roman" w:cs="Times New Roman"/>
          <w:color w:val="000000" w:themeColor="text1"/>
        </w:rPr>
      </w:pPr>
    </w:p>
    <w:p w14:paraId="2F4D1D35" w14:textId="67D36834" w:rsidR="00B94613" w:rsidRDefault="00B94613" w:rsidP="00D938C2">
      <w:pPr>
        <w:spacing w:line="480" w:lineRule="auto"/>
        <w:rPr>
          <w:rFonts w:ascii="Times New Roman" w:hAnsi="Times New Roman" w:cs="Times New Roman"/>
          <w:color w:val="000000" w:themeColor="text1"/>
        </w:rPr>
      </w:pPr>
    </w:p>
    <w:p w14:paraId="345181DC" w14:textId="77777777" w:rsidR="006067A4" w:rsidRPr="00C25F72" w:rsidRDefault="006067A4" w:rsidP="00D938C2">
      <w:pPr>
        <w:spacing w:line="480" w:lineRule="auto"/>
        <w:rPr>
          <w:rFonts w:ascii="Times New Roman" w:hAnsi="Times New Roman" w:cs="Times New Roman"/>
          <w:color w:val="000000" w:themeColor="text1"/>
        </w:rPr>
      </w:pPr>
    </w:p>
    <w:p w14:paraId="17DFDCA2" w14:textId="35EFAF23" w:rsidR="00B94613" w:rsidRPr="006067A4" w:rsidRDefault="00B94613" w:rsidP="00D938C2">
      <w:pPr>
        <w:spacing w:line="480" w:lineRule="auto"/>
        <w:rPr>
          <w:rFonts w:ascii="Times New Roman" w:eastAsia="Times New Roman" w:hAnsi="Times New Roman" w:cs="Times New Roman"/>
          <w:color w:val="000000"/>
        </w:rPr>
      </w:pPr>
      <w:r w:rsidRPr="00C25F72">
        <w:rPr>
          <w:rFonts w:ascii="Times New Roman" w:hAnsi="Times New Roman" w:cs="Times New Roman"/>
          <w:color w:val="000000" w:themeColor="text1"/>
        </w:rPr>
        <w:t xml:space="preserve">Original Prompt: </w:t>
      </w:r>
      <w:r w:rsidR="006067A4" w:rsidRPr="004D2E88">
        <w:rPr>
          <w:rFonts w:ascii="Times New Roman" w:eastAsia="Times New Roman" w:hAnsi="Times New Roman" w:cs="Times New Roman"/>
          <w:color w:val="000000"/>
        </w:rPr>
        <w:t xml:space="preserve">Provide specific examples of effective strategies that have been used to build and sustain partnerships between stakeholders in math education (e.g. K-16 teachers/instructors at different schools, parents, administrators). In your response, make sure to ground these strategies in relevant research. </w:t>
      </w:r>
    </w:p>
    <w:p w14:paraId="7E72794A" w14:textId="77777777" w:rsidR="006067A4" w:rsidRPr="00C25F72" w:rsidRDefault="006067A4" w:rsidP="006067A4">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Effective Strategies to Build and Sustain Partnerships Between Stakeholders in Math Education</w:t>
      </w:r>
    </w:p>
    <w:p w14:paraId="1CF7FB0D" w14:textId="7B9C565E" w:rsidR="00D938C2" w:rsidRPr="009119EC" w:rsidRDefault="009119EC" w:rsidP="00D938C2">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The relationship between practice and research in education continues to address the question of how best to effectively create and maintain partnerships that benefit all stakeholders in the education community, particularly through the lens of mathematics education and STEM education in society today. Mathematicians and mathematics education researchers recognize the need to make the content of K-16 mathematics accessible and relevant to their students (Bush, 2019; Schoenfeld, 1993), and the current state of mathematics and STEM education recognizes that mathematics is accessible to students because of its relevance in the 21</w:t>
      </w:r>
      <w:r w:rsidRPr="009119EC">
        <w:rPr>
          <w:rFonts w:ascii="Times New Roman" w:hAnsi="Times New Roman" w:cs="Times New Roman"/>
          <w:color w:val="000000" w:themeColor="text1"/>
          <w:vertAlign w:val="superscript"/>
        </w:rPr>
        <w:t>st</w:t>
      </w:r>
      <w:r>
        <w:rPr>
          <w:rFonts w:ascii="Times New Roman" w:hAnsi="Times New Roman" w:cs="Times New Roman"/>
          <w:color w:val="000000" w:themeColor="text1"/>
        </w:rPr>
        <w:t xml:space="preserve"> century today (</w:t>
      </w:r>
      <w:proofErr w:type="spellStart"/>
      <w:r>
        <w:rPr>
          <w:rFonts w:ascii="Times New Roman" w:hAnsi="Times New Roman" w:cs="Times New Roman"/>
          <w:color w:val="000000" w:themeColor="text1"/>
        </w:rPr>
        <w:t>Sondergeld</w:t>
      </w:r>
      <w:proofErr w:type="spellEnd"/>
      <w:r>
        <w:rPr>
          <w:rFonts w:ascii="Times New Roman" w:hAnsi="Times New Roman" w:cs="Times New Roman"/>
          <w:color w:val="000000" w:themeColor="text1"/>
        </w:rPr>
        <w:t xml:space="preserve"> &amp; </w:t>
      </w:r>
      <w:proofErr w:type="spellStart"/>
      <w:r>
        <w:rPr>
          <w:rFonts w:ascii="Times New Roman" w:hAnsi="Times New Roman" w:cs="Times New Roman"/>
          <w:color w:val="000000" w:themeColor="text1"/>
        </w:rPr>
        <w:t>W</w:t>
      </w:r>
      <w:r w:rsidR="00942D05">
        <w:rPr>
          <w:rFonts w:ascii="Times New Roman" w:hAnsi="Times New Roman" w:cs="Times New Roman"/>
          <w:color w:val="000000" w:themeColor="text1"/>
        </w:rPr>
        <w:t>a</w:t>
      </w:r>
      <w:r>
        <w:rPr>
          <w:rFonts w:ascii="Times New Roman" w:hAnsi="Times New Roman" w:cs="Times New Roman"/>
          <w:color w:val="000000" w:themeColor="text1"/>
        </w:rPr>
        <w:t>lten</w:t>
      </w:r>
      <w:proofErr w:type="spellEnd"/>
      <w:r>
        <w:rPr>
          <w:rFonts w:ascii="Times New Roman" w:hAnsi="Times New Roman" w:cs="Times New Roman"/>
          <w:color w:val="000000" w:themeColor="text1"/>
        </w:rPr>
        <w:t xml:space="preserve">, 2016). This review of literature studies the effectiveness of various strategies for all levels of stakeholders in the mathematics education community, including policymakers at the international and national levels, outside businesses and STEM organizations that require mathematics knowledge and critical thinking skills, and administrators, teachers, parents, and students in K-12 mathematics classrooms. </w:t>
      </w:r>
      <w:r w:rsidR="002B3243">
        <w:rPr>
          <w:rFonts w:ascii="Times New Roman" w:hAnsi="Times New Roman" w:cs="Times New Roman"/>
          <w:color w:val="000000" w:themeColor="text1"/>
        </w:rPr>
        <w:t>It is the goal of this literature review to make clearer the path to effective partnerships among all these stakeholders in the mathematics education community, as well as to provide practical implications and guidelines for future research and future partnerships between K-16 mathematics educators, students, administrators, and community members.</w:t>
      </w:r>
    </w:p>
    <w:p w14:paraId="7066D68B" w14:textId="7A4A5F4F" w:rsidR="00D938C2" w:rsidRPr="00C25F72" w:rsidRDefault="006F5B47" w:rsidP="00D938C2">
      <w:pPr>
        <w:pStyle w:val="PMENA-Heading1"/>
        <w:spacing w:line="480" w:lineRule="auto"/>
        <w:rPr>
          <w:color w:val="000000" w:themeColor="text1"/>
        </w:rPr>
      </w:pPr>
      <w:r>
        <w:rPr>
          <w:color w:val="000000" w:themeColor="text1"/>
        </w:rPr>
        <w:t>Background</w:t>
      </w:r>
      <w:r w:rsidR="00D938C2" w:rsidRPr="00C25F72">
        <w:rPr>
          <w:color w:val="000000" w:themeColor="text1"/>
        </w:rPr>
        <w:t xml:space="preserve"> of the Study</w:t>
      </w:r>
    </w:p>
    <w:p w14:paraId="344194DF" w14:textId="4A1474BD" w:rsidR="00D938C2" w:rsidRPr="00C25F72" w:rsidRDefault="009119EC" w:rsidP="00D938C2">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By recognizing the need to answer the question of how best to strategically partner all stakeholders in the mathematics education community, this review of literature takes</w:t>
      </w:r>
      <w:r w:rsidR="00A048CE">
        <w:rPr>
          <w:rFonts w:ascii="Times New Roman" w:hAnsi="Times New Roman" w:cs="Times New Roman"/>
          <w:color w:val="000000" w:themeColor="text1"/>
        </w:rPr>
        <w:t xml:space="preserve"> a broad look at the motivations and goals of the members of the community. This study, then, can inform how to appropriately incorporate various research studies that are designed to impact all stakeholders so that researchers can advance their knowledge of mathematics students and their </w:t>
      </w:r>
      <w:r w:rsidR="00A048CE">
        <w:rPr>
          <w:rFonts w:ascii="Times New Roman" w:hAnsi="Times New Roman" w:cs="Times New Roman"/>
          <w:color w:val="000000" w:themeColor="text1"/>
        </w:rPr>
        <w:lastRenderedPageBreak/>
        <w:t xml:space="preserve">learning, teachers can implement best practices for student learning, and policymakers can ensure that both of these stakeholders are funded and provided with resources to maintain the partnership and the success of achievement of the values and goals for each stakeholder involved (Bush, 2019; Shroyer, </w:t>
      </w:r>
      <w:proofErr w:type="spellStart"/>
      <w:r w:rsidR="00A048CE">
        <w:rPr>
          <w:rFonts w:ascii="Times New Roman" w:hAnsi="Times New Roman" w:cs="Times New Roman"/>
          <w:color w:val="000000" w:themeColor="text1"/>
        </w:rPr>
        <w:t>Yahnke</w:t>
      </w:r>
      <w:proofErr w:type="spellEnd"/>
      <w:r w:rsidR="00A048CE">
        <w:rPr>
          <w:rFonts w:ascii="Times New Roman" w:hAnsi="Times New Roman" w:cs="Times New Roman"/>
          <w:color w:val="000000" w:themeColor="text1"/>
        </w:rPr>
        <w:t>, Bennett, &amp; Dunn, 2007; Turley &amp; Stevens, 2015)</w:t>
      </w:r>
      <w:r w:rsidR="008B29F1">
        <w:rPr>
          <w:rFonts w:ascii="Times New Roman" w:hAnsi="Times New Roman" w:cs="Times New Roman"/>
          <w:color w:val="000000" w:themeColor="text1"/>
        </w:rPr>
        <w:t xml:space="preserve">. As a result of this </w:t>
      </w:r>
      <w:r w:rsidR="00A048CE">
        <w:rPr>
          <w:rFonts w:ascii="Times New Roman" w:hAnsi="Times New Roman" w:cs="Times New Roman"/>
          <w:color w:val="000000" w:themeColor="text1"/>
        </w:rPr>
        <w:t>synthesis</w:t>
      </w:r>
      <w:r w:rsidR="008B29F1">
        <w:rPr>
          <w:rFonts w:ascii="Times New Roman" w:hAnsi="Times New Roman" w:cs="Times New Roman"/>
          <w:color w:val="000000" w:themeColor="text1"/>
        </w:rPr>
        <w:t xml:space="preserve"> of research studies, this paper will report on the current state of mathematics education research about the </w:t>
      </w:r>
      <w:r w:rsidR="00A048CE">
        <w:rPr>
          <w:rFonts w:ascii="Times New Roman" w:hAnsi="Times New Roman" w:cs="Times New Roman"/>
          <w:color w:val="000000" w:themeColor="text1"/>
        </w:rPr>
        <w:t>communication and collaboration between all stakeholders in the mathematics education community</w:t>
      </w:r>
      <w:r w:rsidR="008B29F1">
        <w:rPr>
          <w:rFonts w:ascii="Times New Roman" w:hAnsi="Times New Roman" w:cs="Times New Roman"/>
          <w:color w:val="000000" w:themeColor="text1"/>
        </w:rPr>
        <w:t xml:space="preserve">. Further, </w:t>
      </w:r>
      <w:r w:rsidR="00A048CE">
        <w:rPr>
          <w:rFonts w:ascii="Times New Roman" w:hAnsi="Times New Roman" w:cs="Times New Roman"/>
          <w:color w:val="000000" w:themeColor="text1"/>
        </w:rPr>
        <w:t>it will expound on possible future directions that all members of the community can take to successfully maintain partnerships with each other through honest communication and sensitivity to each other’s needs (</w:t>
      </w:r>
      <w:proofErr w:type="spellStart"/>
      <w:r w:rsidR="00A048CE">
        <w:rPr>
          <w:rFonts w:ascii="Times New Roman" w:hAnsi="Times New Roman" w:cs="Times New Roman"/>
          <w:color w:val="000000" w:themeColor="text1"/>
        </w:rPr>
        <w:t>Otterbourg</w:t>
      </w:r>
      <w:proofErr w:type="spellEnd"/>
      <w:r w:rsidR="00A048CE">
        <w:rPr>
          <w:rFonts w:ascii="Times New Roman" w:hAnsi="Times New Roman" w:cs="Times New Roman"/>
          <w:color w:val="000000" w:themeColor="text1"/>
        </w:rPr>
        <w:t xml:space="preserve">, 1998; </w:t>
      </w:r>
      <w:proofErr w:type="spellStart"/>
      <w:r w:rsidR="00A048CE">
        <w:rPr>
          <w:rFonts w:ascii="Times New Roman" w:hAnsi="Times New Roman" w:cs="Times New Roman"/>
          <w:color w:val="000000" w:themeColor="text1"/>
        </w:rPr>
        <w:t>Sondergeld</w:t>
      </w:r>
      <w:proofErr w:type="spellEnd"/>
      <w:r w:rsidR="00A048CE">
        <w:rPr>
          <w:rFonts w:ascii="Times New Roman" w:hAnsi="Times New Roman" w:cs="Times New Roman"/>
          <w:color w:val="000000" w:themeColor="text1"/>
        </w:rPr>
        <w:t xml:space="preserve"> &amp; </w:t>
      </w:r>
      <w:proofErr w:type="spellStart"/>
      <w:r w:rsidR="00A048CE">
        <w:rPr>
          <w:rFonts w:ascii="Times New Roman" w:hAnsi="Times New Roman" w:cs="Times New Roman"/>
          <w:color w:val="000000" w:themeColor="text1"/>
        </w:rPr>
        <w:t>Walten</w:t>
      </w:r>
      <w:proofErr w:type="spellEnd"/>
      <w:r w:rsidR="00A048CE">
        <w:rPr>
          <w:rFonts w:ascii="Times New Roman" w:hAnsi="Times New Roman" w:cs="Times New Roman"/>
          <w:color w:val="000000" w:themeColor="text1"/>
        </w:rPr>
        <w:t>, 2016; Turley &amp; Stevens, 2015)</w:t>
      </w:r>
      <w:r w:rsidR="008B29F1">
        <w:rPr>
          <w:rFonts w:ascii="Times New Roman" w:hAnsi="Times New Roman" w:cs="Times New Roman"/>
          <w:color w:val="000000" w:themeColor="text1"/>
        </w:rPr>
        <w:t xml:space="preserve">. </w:t>
      </w:r>
      <w:r w:rsidR="00D938C2" w:rsidRPr="00C25F72">
        <w:rPr>
          <w:rFonts w:ascii="Times New Roman" w:hAnsi="Times New Roman" w:cs="Times New Roman"/>
          <w:color w:val="000000" w:themeColor="text1"/>
        </w:rPr>
        <w:t xml:space="preserve">Finally, as a result of </w:t>
      </w:r>
      <w:r w:rsidR="008B29F1">
        <w:rPr>
          <w:rFonts w:ascii="Times New Roman" w:hAnsi="Times New Roman" w:cs="Times New Roman"/>
          <w:color w:val="000000" w:themeColor="text1"/>
        </w:rPr>
        <w:t xml:space="preserve">this </w:t>
      </w:r>
      <w:r w:rsidR="00A048CE">
        <w:rPr>
          <w:rFonts w:ascii="Times New Roman" w:hAnsi="Times New Roman" w:cs="Times New Roman"/>
          <w:color w:val="000000" w:themeColor="text1"/>
        </w:rPr>
        <w:t>review of literature</w:t>
      </w:r>
      <w:r w:rsidR="008B29F1">
        <w:rPr>
          <w:rFonts w:ascii="Times New Roman" w:hAnsi="Times New Roman" w:cs="Times New Roman"/>
          <w:color w:val="000000" w:themeColor="text1"/>
        </w:rPr>
        <w:t>, research</w:t>
      </w:r>
      <w:r w:rsidR="00A048CE">
        <w:rPr>
          <w:rFonts w:ascii="Times New Roman" w:hAnsi="Times New Roman" w:cs="Times New Roman"/>
          <w:color w:val="000000" w:themeColor="text1"/>
        </w:rPr>
        <w:t xml:space="preserve"> concerning specific classroom practices</w:t>
      </w:r>
      <w:r w:rsidR="008B29F1">
        <w:rPr>
          <w:rFonts w:ascii="Times New Roman" w:hAnsi="Times New Roman" w:cs="Times New Roman"/>
          <w:color w:val="000000" w:themeColor="text1"/>
        </w:rPr>
        <w:t xml:space="preserve"> can begin to take shape to inspire best practices to most effectively impact practices for current mathematics teachers and practitioners in the classroom.</w:t>
      </w:r>
    </w:p>
    <w:p w14:paraId="066B3D99" w14:textId="0BDBE407" w:rsidR="00914C75" w:rsidRPr="00914C75" w:rsidRDefault="00914C75" w:rsidP="00914C75">
      <w:pPr>
        <w:spacing w:line="480" w:lineRule="auto"/>
        <w:ind w:firstLine="720"/>
        <w:jc w:val="center"/>
        <w:rPr>
          <w:rFonts w:ascii="Times New Roman" w:hAnsi="Times New Roman" w:cs="Times New Roman"/>
          <w:b/>
          <w:bCs/>
          <w:color w:val="000000" w:themeColor="text1"/>
        </w:rPr>
      </w:pPr>
      <w:r>
        <w:rPr>
          <w:rFonts w:ascii="Times New Roman" w:hAnsi="Times New Roman" w:cs="Times New Roman"/>
          <w:b/>
          <w:bCs/>
          <w:color w:val="000000" w:themeColor="text1"/>
        </w:rPr>
        <w:t>Purpose</w:t>
      </w:r>
    </w:p>
    <w:p w14:paraId="59C49034" w14:textId="4C12E28F" w:rsidR="00D938C2" w:rsidRDefault="00914C75" w:rsidP="00914C75">
      <w:pPr>
        <w:spacing w:line="480" w:lineRule="auto"/>
        <w:ind w:firstLine="720"/>
        <w:rPr>
          <w:rFonts w:ascii="Times New Roman" w:hAnsi="Times New Roman" w:cs="Times New Roman"/>
        </w:rPr>
      </w:pPr>
      <w:r>
        <w:rPr>
          <w:rFonts w:ascii="Times New Roman" w:hAnsi="Times New Roman" w:cs="Times New Roman"/>
          <w:color w:val="000000" w:themeColor="text1"/>
        </w:rPr>
        <w:t xml:space="preserve">The purpose of this review, then, is to summarize </w:t>
      </w:r>
      <w:r w:rsidR="003B2577">
        <w:rPr>
          <w:rFonts w:ascii="Times New Roman" w:hAnsi="Times New Roman" w:cs="Times New Roman"/>
          <w:color w:val="000000" w:themeColor="text1"/>
        </w:rPr>
        <w:t xml:space="preserve">previous research and its approach to </w:t>
      </w:r>
      <w:r w:rsidR="006C3C4F">
        <w:rPr>
          <w:rFonts w:ascii="Times New Roman" w:hAnsi="Times New Roman" w:cs="Times New Roman"/>
          <w:color w:val="000000" w:themeColor="text1"/>
        </w:rPr>
        <w:t>understanding how to effectively partner all stakeholders in a mathematics education community</w:t>
      </w:r>
      <w:r w:rsidR="00B51AAD">
        <w:rPr>
          <w:rFonts w:ascii="Times New Roman" w:hAnsi="Times New Roman" w:cs="Times New Roman"/>
          <w:color w:val="000000" w:themeColor="text1"/>
        </w:rPr>
        <w:t>.</w:t>
      </w:r>
      <w:r w:rsidR="006C3C4F">
        <w:rPr>
          <w:rFonts w:ascii="Times New Roman" w:hAnsi="Times New Roman" w:cs="Times New Roman"/>
          <w:color w:val="000000" w:themeColor="text1"/>
        </w:rPr>
        <w:t xml:space="preserve"> By grounding this review in relevant research and summarizing the findings, this literature review can identify and delineate possible steps to continue to move forward with advancing partnerships that benefit students, families, teachers, administrators, businesses, and policymakers in mathematics education</w:t>
      </w:r>
      <w:r>
        <w:rPr>
          <w:rFonts w:ascii="Times New Roman" w:hAnsi="Times New Roman" w:cs="Times New Roman"/>
          <w:color w:val="000000" w:themeColor="text1"/>
        </w:rPr>
        <w:t>. Therefore, implications for future</w:t>
      </w:r>
      <w:r w:rsidR="006C3C4F">
        <w:rPr>
          <w:rFonts w:ascii="Times New Roman" w:hAnsi="Times New Roman" w:cs="Times New Roman"/>
          <w:color w:val="000000" w:themeColor="text1"/>
        </w:rPr>
        <w:t xml:space="preserve"> practice and</w:t>
      </w:r>
      <w:r>
        <w:rPr>
          <w:rFonts w:ascii="Times New Roman" w:hAnsi="Times New Roman" w:cs="Times New Roman"/>
          <w:color w:val="000000" w:themeColor="text1"/>
        </w:rPr>
        <w:t xml:space="preserve"> areas of research will also be provided. </w:t>
      </w:r>
      <w:r>
        <w:rPr>
          <w:rFonts w:ascii="Times New Roman" w:hAnsi="Times New Roman" w:cs="Times New Roman"/>
        </w:rPr>
        <w:t xml:space="preserve">Particular attention will be given to contexts and classroom settings in which </w:t>
      </w:r>
      <w:r w:rsidR="006C3C4F">
        <w:rPr>
          <w:rFonts w:ascii="Times New Roman" w:hAnsi="Times New Roman" w:cs="Times New Roman"/>
        </w:rPr>
        <w:t>previous research has already been summarized to maintain successful partnerships for all the stakeholders within the mathematics education community</w:t>
      </w:r>
      <w:r w:rsidR="00485323">
        <w:rPr>
          <w:rFonts w:ascii="Times New Roman" w:hAnsi="Times New Roman" w:cs="Times New Roman"/>
        </w:rPr>
        <w:t xml:space="preserve"> (Building, </w:t>
      </w:r>
      <w:r w:rsidR="00485323">
        <w:rPr>
          <w:rFonts w:ascii="Times New Roman" w:hAnsi="Times New Roman" w:cs="Times New Roman"/>
        </w:rPr>
        <w:lastRenderedPageBreak/>
        <w:t>2013; Johnson, 2012)</w:t>
      </w:r>
      <w:r w:rsidR="006C3C4F">
        <w:rPr>
          <w:rFonts w:ascii="Times New Roman" w:hAnsi="Times New Roman" w:cs="Times New Roman"/>
        </w:rPr>
        <w:t>.</w:t>
      </w:r>
      <w:r w:rsidR="001B571B">
        <w:rPr>
          <w:rFonts w:ascii="Times New Roman" w:hAnsi="Times New Roman" w:cs="Times New Roman"/>
        </w:rPr>
        <w:t xml:space="preserve"> </w:t>
      </w:r>
      <w:r w:rsidR="0009152C">
        <w:rPr>
          <w:rFonts w:ascii="Times New Roman" w:hAnsi="Times New Roman" w:cs="Times New Roman"/>
        </w:rPr>
        <w:t>This review will finally provide purposeful areas of success and indicators of improvement for these partnerships.</w:t>
      </w:r>
    </w:p>
    <w:p w14:paraId="18E26DCA" w14:textId="4FCF8B98" w:rsidR="00914C75" w:rsidRDefault="006C3C4F" w:rsidP="00914C75">
      <w:pPr>
        <w:pStyle w:val="PMENA-Heading1"/>
        <w:spacing w:line="480" w:lineRule="auto"/>
        <w:rPr>
          <w:color w:val="000000" w:themeColor="text1"/>
        </w:rPr>
      </w:pPr>
      <w:r>
        <w:rPr>
          <w:color w:val="000000" w:themeColor="text1"/>
        </w:rPr>
        <w:t>Review of the Literature</w:t>
      </w:r>
    </w:p>
    <w:p w14:paraId="682B2095" w14:textId="3B5CED06" w:rsidR="006C3C4F" w:rsidRPr="006C3C4F" w:rsidRDefault="006C3C4F" w:rsidP="006C3C4F">
      <w:pPr>
        <w:pStyle w:val="PMENA-Heading1"/>
        <w:spacing w:line="480" w:lineRule="auto"/>
        <w:jc w:val="left"/>
        <w:rPr>
          <w:b w:val="0"/>
          <w:bCs/>
          <w:color w:val="000000" w:themeColor="text1"/>
        </w:rPr>
      </w:pPr>
      <w:r>
        <w:rPr>
          <w:color w:val="000000" w:themeColor="text1"/>
        </w:rPr>
        <w:tab/>
      </w:r>
      <w:r>
        <w:rPr>
          <w:b w:val="0"/>
          <w:bCs/>
          <w:color w:val="000000" w:themeColor="text1"/>
        </w:rPr>
        <w:t>The literature for effective partnerships in education for K-16 mathematics is both broad and deep, but the field continues to grow. It is necessary, then to recognize the sequential steps for successfully establishing and maintaining partnerships among all stakeholders in the mathematics education community. As the literature reveals the value in each of these necessary actions, highlights about both practical suggestions and future implications for effective strategies for maintaining successful partnerships amongst stakeholders in the mathematics education community will be discovered.</w:t>
      </w:r>
    </w:p>
    <w:p w14:paraId="7E27F1D9" w14:textId="212C3487" w:rsidR="008050E4" w:rsidRDefault="006C3C4F" w:rsidP="008050E4">
      <w:pPr>
        <w:spacing w:line="480" w:lineRule="auto"/>
        <w:rPr>
          <w:rFonts w:ascii="Times New Roman" w:hAnsi="Times New Roman" w:cs="Times New Roman"/>
          <w:b/>
          <w:color w:val="000000" w:themeColor="text1"/>
        </w:rPr>
      </w:pPr>
      <w:r>
        <w:rPr>
          <w:rFonts w:ascii="Times New Roman" w:hAnsi="Times New Roman" w:cs="Times New Roman"/>
          <w:b/>
          <w:color w:val="000000" w:themeColor="text1"/>
        </w:rPr>
        <w:t>Identify the Stakeholders</w:t>
      </w:r>
    </w:p>
    <w:p w14:paraId="37E7E6FA" w14:textId="22E2CE6C" w:rsidR="006C3C4F" w:rsidRDefault="006C3C4F" w:rsidP="006C3C4F">
      <w:pPr>
        <w:spacing w:line="480" w:lineRule="auto"/>
        <w:ind w:firstLine="720"/>
        <w:rPr>
          <w:rFonts w:ascii="Times New Roman" w:hAnsi="Times New Roman" w:cs="Times New Roman"/>
          <w:color w:val="000000" w:themeColor="text1"/>
        </w:rPr>
      </w:pPr>
      <w:r w:rsidRPr="006C3C4F">
        <w:rPr>
          <w:rFonts w:ascii="Times New Roman" w:hAnsi="Times New Roman" w:cs="Times New Roman"/>
          <w:color w:val="000000" w:themeColor="text1"/>
        </w:rPr>
        <w:t>An important precedent to identifying effective strategies for maintenance of successful partnerships i</w:t>
      </w:r>
      <w:r w:rsidR="0097234F">
        <w:rPr>
          <w:rFonts w:ascii="Times New Roman" w:hAnsi="Times New Roman" w:cs="Times New Roman"/>
          <w:color w:val="000000" w:themeColor="text1"/>
        </w:rPr>
        <w:t>s recognizing who all are stakeholders or potential stakeholders in the mathematics education community. By recognizing and identifying every stakeholder, questions can be posted to guide the directions and goals for the mathematics education learning community (Building a Math Village, 2013). It is evident that major stakeholders include the students, the teachers, and the mathematics education researchers in this partnership, as often the disconnect comes between the preparation of teachers and the preparation of students for mathematics at the university and the K-12 mathematics classrooms themselves (</w:t>
      </w:r>
      <w:r w:rsidR="00165CDA">
        <w:rPr>
          <w:rFonts w:ascii="Times New Roman" w:hAnsi="Times New Roman" w:cs="Times New Roman"/>
          <w:color w:val="000000" w:themeColor="text1"/>
        </w:rPr>
        <w:t>Johnson, Severance, Penuel, &amp; Leary, 2016</w:t>
      </w:r>
      <w:r w:rsidR="0097234F">
        <w:rPr>
          <w:rFonts w:ascii="Times New Roman" w:hAnsi="Times New Roman" w:cs="Times New Roman"/>
          <w:color w:val="000000" w:themeColor="text1"/>
        </w:rPr>
        <w:t>)</w:t>
      </w:r>
      <w:r w:rsidR="00C815F4">
        <w:rPr>
          <w:rFonts w:ascii="Times New Roman" w:hAnsi="Times New Roman" w:cs="Times New Roman"/>
          <w:color w:val="000000" w:themeColor="text1"/>
        </w:rPr>
        <w:t>. However, it is important to also note that other stakeholders that influence student learning are the parents in out-of-school environments, as well as administrators and policymakers who impact mathematical learning outside of the direct instruction by the teacher.</w:t>
      </w:r>
    </w:p>
    <w:p w14:paraId="7215CDC3" w14:textId="13253668" w:rsidR="00C815F4" w:rsidRPr="006C3C4F" w:rsidRDefault="00C815F4" w:rsidP="00C815F4">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lastRenderedPageBreak/>
        <w:t>Beyond simply identifying these stakeholders, literature notes that an effective partnership even identifies potential stakeholders in the community, including those who perhaps may engage in the future or can become an additional stakeholder to assist with or collaborate with current stakeholders (</w:t>
      </w:r>
      <w:proofErr w:type="spellStart"/>
      <w:r>
        <w:rPr>
          <w:rFonts w:ascii="Times New Roman" w:hAnsi="Times New Roman" w:cs="Times New Roman"/>
          <w:color w:val="000000" w:themeColor="text1"/>
        </w:rPr>
        <w:t>Ottersbourg</w:t>
      </w:r>
      <w:proofErr w:type="spellEnd"/>
      <w:r>
        <w:rPr>
          <w:rFonts w:ascii="Times New Roman" w:hAnsi="Times New Roman" w:cs="Times New Roman"/>
          <w:color w:val="000000" w:themeColor="text1"/>
        </w:rPr>
        <w:t xml:space="preserve">, 1998). Even further, </w:t>
      </w:r>
      <w:proofErr w:type="spellStart"/>
      <w:r>
        <w:rPr>
          <w:rFonts w:ascii="Times New Roman" w:hAnsi="Times New Roman" w:cs="Times New Roman"/>
          <w:color w:val="000000" w:themeColor="text1"/>
        </w:rPr>
        <w:t>Johson</w:t>
      </w:r>
      <w:proofErr w:type="spellEnd"/>
      <w:r>
        <w:rPr>
          <w:rFonts w:ascii="Times New Roman" w:hAnsi="Times New Roman" w:cs="Times New Roman"/>
          <w:color w:val="000000" w:themeColor="text1"/>
        </w:rPr>
        <w:t xml:space="preserve"> (2012) states that in developing and identifying stakeholders in the community, it is necessary to indicate potential leaders among the stakeholders, as they will likely guide decisions and actions that the community will take and will impact all stakeholders as policy, instruction, and/or other experiences are implemented or adapted for the sake of mathematical learning.</w:t>
      </w:r>
    </w:p>
    <w:p w14:paraId="0B4767D4" w14:textId="15A4EFCD" w:rsidR="00BA3478" w:rsidRDefault="00BA3478" w:rsidP="00BA3478">
      <w:pPr>
        <w:spacing w:line="480" w:lineRule="auto"/>
        <w:rPr>
          <w:rFonts w:ascii="Times New Roman" w:hAnsi="Times New Roman" w:cs="Times New Roman"/>
          <w:b/>
          <w:color w:val="000000" w:themeColor="text1"/>
        </w:rPr>
      </w:pPr>
      <w:r>
        <w:rPr>
          <w:rFonts w:ascii="Times New Roman" w:hAnsi="Times New Roman" w:cs="Times New Roman"/>
          <w:b/>
          <w:color w:val="000000" w:themeColor="text1"/>
        </w:rPr>
        <w:t>Define a Partnership</w:t>
      </w:r>
    </w:p>
    <w:p w14:paraId="7366FA13" w14:textId="0DC141A5" w:rsidR="00B517F3" w:rsidRDefault="00C815F4" w:rsidP="00BA3478">
      <w:pPr>
        <w:spacing w:line="480" w:lineRule="auto"/>
        <w:rPr>
          <w:rFonts w:ascii="Times New Roman" w:hAnsi="Times New Roman" w:cs="Times New Roman"/>
          <w:bCs/>
          <w:color w:val="000000" w:themeColor="text1"/>
        </w:rPr>
      </w:pPr>
      <w:r>
        <w:rPr>
          <w:rFonts w:ascii="Times New Roman" w:hAnsi="Times New Roman" w:cs="Times New Roman"/>
          <w:b/>
          <w:color w:val="000000" w:themeColor="text1"/>
        </w:rPr>
        <w:tab/>
      </w:r>
      <w:r>
        <w:rPr>
          <w:rFonts w:ascii="Times New Roman" w:hAnsi="Times New Roman" w:cs="Times New Roman"/>
          <w:bCs/>
          <w:color w:val="000000" w:themeColor="text1"/>
        </w:rPr>
        <w:t>Secondly, it is necessary to define a partnership so that the stakeholders may best understand their roles in the relationship.</w:t>
      </w:r>
      <w:r w:rsidR="00B517F3">
        <w:rPr>
          <w:rFonts w:ascii="Times New Roman" w:hAnsi="Times New Roman" w:cs="Times New Roman"/>
          <w:bCs/>
          <w:color w:val="000000" w:themeColor="text1"/>
        </w:rPr>
        <w:t xml:space="preserve"> In order to best create a partnership, in which both parties mutually benefit from the connection, it is necessary to respect and identify the motivation that each stakeholder has in the partnership (Johnson, 2012; Scherer, 2008), as this will be continuously revisited as the partnership moves forward in decisions to make and actions to implement. At the same time, as the partnership identifies the motivations for mathematical learning for their students, they must also focus on the results they hope to achieve (Shroyer, </w:t>
      </w:r>
      <w:proofErr w:type="spellStart"/>
      <w:r w:rsidR="00B517F3">
        <w:rPr>
          <w:rFonts w:ascii="Times New Roman" w:hAnsi="Times New Roman" w:cs="Times New Roman"/>
          <w:bCs/>
          <w:color w:val="000000" w:themeColor="text1"/>
        </w:rPr>
        <w:t>Yahnke</w:t>
      </w:r>
      <w:proofErr w:type="spellEnd"/>
      <w:r w:rsidR="00B517F3">
        <w:rPr>
          <w:rFonts w:ascii="Times New Roman" w:hAnsi="Times New Roman" w:cs="Times New Roman"/>
          <w:bCs/>
          <w:color w:val="000000" w:themeColor="text1"/>
        </w:rPr>
        <w:t xml:space="preserve">, Bennett, &amp; Dunn, 2007), and respect the goals of other stakeholders as they assess the results of their impact throughout the partnership. Shroyer, </w:t>
      </w:r>
      <w:proofErr w:type="spellStart"/>
      <w:r w:rsidR="00B517F3">
        <w:rPr>
          <w:rFonts w:ascii="Times New Roman" w:hAnsi="Times New Roman" w:cs="Times New Roman"/>
          <w:bCs/>
          <w:color w:val="000000" w:themeColor="text1"/>
        </w:rPr>
        <w:t>Yahnke</w:t>
      </w:r>
      <w:proofErr w:type="spellEnd"/>
      <w:r w:rsidR="00B517F3">
        <w:rPr>
          <w:rFonts w:ascii="Times New Roman" w:hAnsi="Times New Roman" w:cs="Times New Roman"/>
          <w:bCs/>
          <w:color w:val="000000" w:themeColor="text1"/>
        </w:rPr>
        <w:t xml:space="preserve">, Bennett, &amp; Dunn (2007) encourage envisioning education along a continuum, and that the results of one year of school should impact how one views his or her goals and how one moves forward into the next year. By respectfully defining the motivations of each stakeholder, </w:t>
      </w:r>
      <w:r w:rsidR="00AF4704">
        <w:rPr>
          <w:rFonts w:ascii="Times New Roman" w:hAnsi="Times New Roman" w:cs="Times New Roman"/>
          <w:bCs/>
          <w:color w:val="000000" w:themeColor="text1"/>
        </w:rPr>
        <w:t>as well as</w:t>
      </w:r>
      <w:r w:rsidR="00B517F3">
        <w:rPr>
          <w:rFonts w:ascii="Times New Roman" w:hAnsi="Times New Roman" w:cs="Times New Roman"/>
          <w:bCs/>
          <w:color w:val="000000" w:themeColor="text1"/>
        </w:rPr>
        <w:t xml:space="preserve"> assessing the results of the relationship and keeping in mind the end goals of each stakeholder in the relationship, the </w:t>
      </w:r>
      <w:r w:rsidR="00B517F3">
        <w:rPr>
          <w:rFonts w:ascii="Times New Roman" w:hAnsi="Times New Roman" w:cs="Times New Roman"/>
          <w:bCs/>
          <w:color w:val="000000" w:themeColor="text1"/>
        </w:rPr>
        <w:lastRenderedPageBreak/>
        <w:t>partnership defines clearly their intentions and their criteria for assessment and improvement in the future.</w:t>
      </w:r>
    </w:p>
    <w:p w14:paraId="44A7FAEB" w14:textId="753193AC" w:rsidR="00B517F3" w:rsidRPr="00C815F4" w:rsidRDefault="00B517F3" w:rsidP="00BA3478">
      <w:pPr>
        <w:spacing w:line="480" w:lineRule="auto"/>
        <w:rPr>
          <w:rFonts w:ascii="Times New Roman" w:hAnsi="Times New Roman" w:cs="Times New Roman"/>
          <w:bCs/>
          <w:color w:val="000000" w:themeColor="text1"/>
        </w:rPr>
      </w:pPr>
      <w:r>
        <w:rPr>
          <w:rFonts w:ascii="Times New Roman" w:hAnsi="Times New Roman" w:cs="Times New Roman"/>
          <w:bCs/>
          <w:color w:val="000000" w:themeColor="text1"/>
        </w:rPr>
        <w:tab/>
        <w:t>Within the educational learning community, particularly for mathematics education, it is also important to note that the definitions of the stakeholders and their partnership will be different depending on the contexts that these stakeholders are in (</w:t>
      </w:r>
      <w:r w:rsidR="00B41219">
        <w:rPr>
          <w:rFonts w:ascii="Times New Roman" w:hAnsi="Times New Roman" w:cs="Times New Roman"/>
          <w:bCs/>
          <w:color w:val="000000" w:themeColor="text1"/>
        </w:rPr>
        <w:t>Building a Math Village, 2013; Johnson 2012</w:t>
      </w:r>
      <w:r>
        <w:rPr>
          <w:rFonts w:ascii="Times New Roman" w:hAnsi="Times New Roman" w:cs="Times New Roman"/>
          <w:bCs/>
          <w:color w:val="000000" w:themeColor="text1"/>
        </w:rPr>
        <w:t>).</w:t>
      </w:r>
      <w:r w:rsidR="00B41219">
        <w:rPr>
          <w:rFonts w:ascii="Times New Roman" w:hAnsi="Times New Roman" w:cs="Times New Roman"/>
          <w:bCs/>
          <w:color w:val="000000" w:themeColor="text1"/>
        </w:rPr>
        <w:t xml:space="preserve"> As context changes – perhaps because of changing demographics of students or different teachers, just as an example, the partnership may change as various stakeholders may bring in different people or alter their goals or motivations to best serve the students and best improve mathematics education for the students and other stakeholders in the mathematics education community.</w:t>
      </w:r>
    </w:p>
    <w:p w14:paraId="75489096" w14:textId="2C537956" w:rsidR="00BA3478" w:rsidRDefault="00BA3478" w:rsidP="00BA3478">
      <w:pPr>
        <w:spacing w:line="480" w:lineRule="auto"/>
        <w:rPr>
          <w:rFonts w:ascii="Times New Roman" w:hAnsi="Times New Roman" w:cs="Times New Roman"/>
          <w:b/>
          <w:color w:val="000000" w:themeColor="text1"/>
        </w:rPr>
      </w:pPr>
      <w:r>
        <w:rPr>
          <w:rFonts w:ascii="Times New Roman" w:hAnsi="Times New Roman" w:cs="Times New Roman"/>
          <w:b/>
          <w:color w:val="000000" w:themeColor="text1"/>
        </w:rPr>
        <w:t>Define Goals</w:t>
      </w:r>
    </w:p>
    <w:p w14:paraId="19629982" w14:textId="2583E016" w:rsidR="00AF4704" w:rsidRDefault="00AF4704" w:rsidP="00BA3478">
      <w:pPr>
        <w:spacing w:line="480" w:lineRule="auto"/>
        <w:rPr>
          <w:rFonts w:ascii="Times New Roman" w:hAnsi="Times New Roman" w:cs="Times New Roman"/>
          <w:bCs/>
          <w:color w:val="000000" w:themeColor="text1"/>
        </w:rPr>
      </w:pPr>
      <w:r>
        <w:rPr>
          <w:rFonts w:ascii="Times New Roman" w:hAnsi="Times New Roman" w:cs="Times New Roman"/>
          <w:b/>
          <w:color w:val="000000" w:themeColor="text1"/>
        </w:rPr>
        <w:tab/>
      </w:r>
      <w:r>
        <w:rPr>
          <w:rFonts w:ascii="Times New Roman" w:hAnsi="Times New Roman" w:cs="Times New Roman"/>
          <w:bCs/>
          <w:color w:val="000000" w:themeColor="text1"/>
        </w:rPr>
        <w:t>Defining the goals of any partnership is necessary within the education community, particularly after identifying the stakeholders and the definition of their partnership. The definition of goals allows all partners to buy in, giving them a chance to express where they hope to improve as well as be sensitive to the areas of interest of other stakeholders (Bay-Williams, Scott, &amp; Hancock, 2007). To look at the various needs of all stakeholders, particularly within the mathematic education community, certain specific factors must be considered.</w:t>
      </w:r>
    </w:p>
    <w:p w14:paraId="4F3885C1" w14:textId="2C0FBF65" w:rsidR="00AF4704" w:rsidRDefault="00AF4704" w:rsidP="00BA3478">
      <w:pPr>
        <w:spacing w:line="480" w:lineRule="auto"/>
        <w:rPr>
          <w:rFonts w:ascii="Times New Roman" w:hAnsi="Times New Roman" w:cs="Times New Roman"/>
          <w:color w:val="000000" w:themeColor="text1"/>
        </w:rPr>
      </w:pPr>
      <w:r>
        <w:rPr>
          <w:rFonts w:ascii="Times New Roman" w:hAnsi="Times New Roman" w:cs="Times New Roman"/>
          <w:bCs/>
          <w:color w:val="000000" w:themeColor="text1"/>
        </w:rPr>
        <w:tab/>
      </w:r>
      <w:r>
        <w:rPr>
          <w:rFonts w:ascii="Times New Roman" w:hAnsi="Times New Roman" w:cs="Times New Roman"/>
          <w:b/>
          <w:color w:val="000000" w:themeColor="text1"/>
        </w:rPr>
        <w:t xml:space="preserve">Budget. </w:t>
      </w:r>
      <w:r>
        <w:rPr>
          <w:rFonts w:ascii="Times New Roman" w:hAnsi="Times New Roman" w:cs="Times New Roman"/>
          <w:bCs/>
          <w:color w:val="000000" w:themeColor="text1"/>
        </w:rPr>
        <w:t>From a practical standpoint, budget realistically guides the possibilities of a partnership as the mathematics education partnership looks to improve their current state of education by perhaps implementing new resources, which do not come without a cost (</w:t>
      </w:r>
      <w:proofErr w:type="spellStart"/>
      <w:r>
        <w:rPr>
          <w:rFonts w:ascii="Times New Roman" w:hAnsi="Times New Roman" w:cs="Times New Roman"/>
          <w:bCs/>
          <w:color w:val="000000" w:themeColor="text1"/>
        </w:rPr>
        <w:t>Ottersbourg</w:t>
      </w:r>
      <w:proofErr w:type="spellEnd"/>
      <w:r>
        <w:rPr>
          <w:rFonts w:ascii="Times New Roman" w:hAnsi="Times New Roman" w:cs="Times New Roman"/>
          <w:bCs/>
          <w:color w:val="000000" w:themeColor="text1"/>
        </w:rPr>
        <w:t xml:space="preserve">, 1998). </w:t>
      </w:r>
      <w:r>
        <w:rPr>
          <w:rFonts w:ascii="Times New Roman" w:hAnsi="Times New Roman" w:cs="Times New Roman"/>
          <w:color w:val="000000" w:themeColor="text1"/>
        </w:rPr>
        <w:t xml:space="preserve">Leahy, M., Davis, N., Lewin, C., </w:t>
      </w:r>
      <w:proofErr w:type="spellStart"/>
      <w:r>
        <w:rPr>
          <w:rFonts w:ascii="Times New Roman" w:hAnsi="Times New Roman" w:cs="Times New Roman"/>
          <w:color w:val="000000" w:themeColor="text1"/>
        </w:rPr>
        <w:t>Charania</w:t>
      </w:r>
      <w:proofErr w:type="spellEnd"/>
      <w:r>
        <w:rPr>
          <w:rFonts w:ascii="Times New Roman" w:hAnsi="Times New Roman" w:cs="Times New Roman"/>
          <w:color w:val="000000" w:themeColor="text1"/>
        </w:rPr>
        <w:t xml:space="preserve">, A., </w:t>
      </w:r>
      <w:proofErr w:type="spellStart"/>
      <w:r>
        <w:rPr>
          <w:rFonts w:ascii="Times New Roman" w:hAnsi="Times New Roman" w:cs="Times New Roman"/>
          <w:color w:val="000000" w:themeColor="text1"/>
        </w:rPr>
        <w:t>Nordin</w:t>
      </w:r>
      <w:proofErr w:type="spellEnd"/>
      <w:r>
        <w:rPr>
          <w:rFonts w:ascii="Times New Roman" w:hAnsi="Times New Roman" w:cs="Times New Roman"/>
          <w:color w:val="000000" w:themeColor="text1"/>
        </w:rPr>
        <w:t xml:space="preserve">, H., </w:t>
      </w:r>
      <w:proofErr w:type="spellStart"/>
      <w:r>
        <w:rPr>
          <w:rFonts w:ascii="Times New Roman" w:hAnsi="Times New Roman" w:cs="Times New Roman"/>
          <w:color w:val="000000" w:themeColor="text1"/>
        </w:rPr>
        <w:t>Orlič</w:t>
      </w:r>
      <w:proofErr w:type="spellEnd"/>
      <w:r>
        <w:rPr>
          <w:rFonts w:ascii="Times New Roman" w:hAnsi="Times New Roman" w:cs="Times New Roman"/>
          <w:color w:val="000000" w:themeColor="text1"/>
        </w:rPr>
        <w:t>, D., Butler, D., &amp; Lopez-</w:t>
      </w:r>
      <w:proofErr w:type="spellStart"/>
      <w:r>
        <w:rPr>
          <w:rFonts w:ascii="Times New Roman" w:hAnsi="Times New Roman" w:cs="Times New Roman"/>
          <w:color w:val="000000" w:themeColor="text1"/>
        </w:rPr>
        <w:t>Fernadez</w:t>
      </w:r>
      <w:proofErr w:type="spellEnd"/>
      <w:r>
        <w:rPr>
          <w:rFonts w:ascii="Times New Roman" w:hAnsi="Times New Roman" w:cs="Times New Roman"/>
          <w:color w:val="000000" w:themeColor="text1"/>
        </w:rPr>
        <w:t xml:space="preserve">, O. (2016) state that it a clearly stated financial plan at the </w:t>
      </w:r>
      <w:r>
        <w:rPr>
          <w:rFonts w:ascii="Times New Roman" w:hAnsi="Times New Roman" w:cs="Times New Roman"/>
          <w:color w:val="000000" w:themeColor="text1"/>
        </w:rPr>
        <w:lastRenderedPageBreak/>
        <w:t>beginning of the partnership assists in maintaining accountability to the budget and avoiding tensions among any stakeholders in the future.</w:t>
      </w:r>
    </w:p>
    <w:p w14:paraId="732E3F62" w14:textId="427B7633" w:rsidR="00AF4704" w:rsidRDefault="00AF4704" w:rsidP="00BA3478">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b/>
          <w:bCs/>
          <w:color w:val="000000" w:themeColor="text1"/>
        </w:rPr>
        <w:t>Advancement of students.</w:t>
      </w:r>
      <w:r>
        <w:rPr>
          <w:rFonts w:ascii="Times New Roman" w:hAnsi="Times New Roman" w:cs="Times New Roman"/>
          <w:color w:val="000000" w:themeColor="text1"/>
        </w:rPr>
        <w:t xml:space="preserve"> Because the K-16 mathematics education community spans student ages across several stages of their growth and mathematical abilities, it is necessary to view students and the mathematics content both within the context of their learning and how they want to move forward (</w:t>
      </w:r>
      <w:r w:rsidR="00603088">
        <w:rPr>
          <w:rFonts w:ascii="Times New Roman" w:hAnsi="Times New Roman" w:cs="Times New Roman"/>
          <w:color w:val="000000" w:themeColor="text1"/>
        </w:rPr>
        <w:t xml:space="preserve">Cai, J., Morris, A., </w:t>
      </w:r>
      <w:proofErr w:type="spellStart"/>
      <w:r w:rsidR="00603088">
        <w:rPr>
          <w:rFonts w:ascii="Times New Roman" w:hAnsi="Times New Roman" w:cs="Times New Roman"/>
          <w:color w:val="000000" w:themeColor="text1"/>
        </w:rPr>
        <w:t>Hohensee</w:t>
      </w:r>
      <w:proofErr w:type="spellEnd"/>
      <w:r w:rsidR="00603088">
        <w:rPr>
          <w:rFonts w:ascii="Times New Roman" w:hAnsi="Times New Roman" w:cs="Times New Roman"/>
          <w:color w:val="000000" w:themeColor="text1"/>
        </w:rPr>
        <w:t>, C., Hwang, S., Robison, V., &amp; Hiebert, J, 2017; Turley &amp; Stevens, 2015)</w:t>
      </w:r>
      <w:r>
        <w:rPr>
          <w:rFonts w:ascii="Times New Roman" w:hAnsi="Times New Roman" w:cs="Times New Roman"/>
          <w:color w:val="000000" w:themeColor="text1"/>
        </w:rPr>
        <w:t>.</w:t>
      </w:r>
      <w:r w:rsidR="00603088">
        <w:rPr>
          <w:rFonts w:ascii="Times New Roman" w:hAnsi="Times New Roman" w:cs="Times New Roman"/>
          <w:color w:val="000000" w:themeColor="text1"/>
        </w:rPr>
        <w:t xml:space="preserve"> </w:t>
      </w:r>
      <w:r w:rsidR="00CC66C3">
        <w:rPr>
          <w:rFonts w:ascii="Times New Roman" w:hAnsi="Times New Roman" w:cs="Times New Roman"/>
          <w:color w:val="000000" w:themeColor="text1"/>
        </w:rPr>
        <w:t>In particular, Scherer (2008) poses the question about how best to support secondary student mathematical learning while also considering the need for admissions into university schooling for several high school graduates. All stakeholders within the mathematics education community must be sensitive to the actions that students and teachers take as students age and become more invested in different levels of their schooling.</w:t>
      </w:r>
    </w:p>
    <w:p w14:paraId="15726283" w14:textId="73FACDAF" w:rsidR="00CC66C3" w:rsidRPr="00CC66C3" w:rsidRDefault="00CC66C3" w:rsidP="00BA3478">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8454BC">
        <w:rPr>
          <w:rFonts w:ascii="Times New Roman" w:hAnsi="Times New Roman" w:cs="Times New Roman"/>
          <w:b/>
          <w:bCs/>
          <w:color w:val="000000" w:themeColor="text1"/>
        </w:rPr>
        <w:t>Policy</w:t>
      </w:r>
      <w:r>
        <w:rPr>
          <w:rFonts w:ascii="Times New Roman" w:hAnsi="Times New Roman" w:cs="Times New Roman"/>
          <w:b/>
          <w:bCs/>
          <w:color w:val="000000" w:themeColor="text1"/>
        </w:rPr>
        <w:t>.</w:t>
      </w:r>
      <w:r>
        <w:rPr>
          <w:rFonts w:ascii="Times New Roman" w:hAnsi="Times New Roman" w:cs="Times New Roman"/>
          <w:color w:val="000000" w:themeColor="text1"/>
        </w:rPr>
        <w:t xml:space="preserve"> </w:t>
      </w:r>
      <w:r w:rsidR="008454BC">
        <w:rPr>
          <w:rFonts w:ascii="Times New Roman" w:hAnsi="Times New Roman" w:cs="Times New Roman"/>
          <w:color w:val="000000" w:themeColor="text1"/>
        </w:rPr>
        <w:t xml:space="preserve">A major factor in change and actions within the mathematics education community is the role that policy has on classroom expectations and practices. </w:t>
      </w:r>
      <w:r w:rsidR="00DB59EC">
        <w:rPr>
          <w:rFonts w:ascii="Times New Roman" w:hAnsi="Times New Roman" w:cs="Times New Roman"/>
          <w:color w:val="000000" w:themeColor="text1"/>
        </w:rPr>
        <w:t xml:space="preserve">Because researchers and practitioners both can benefit from changes implemented for the stakeholders (Bush, Karp, Lentz, &amp; Nadler, 2014), stakeholders must discuss and understand that there the partnership has the intent and potential to mutually benefit each other. Further, </w:t>
      </w:r>
      <w:r w:rsidR="008454BC">
        <w:rPr>
          <w:rFonts w:ascii="Times New Roman" w:hAnsi="Times New Roman" w:cs="Times New Roman"/>
          <w:color w:val="000000" w:themeColor="text1"/>
        </w:rPr>
        <w:t>Cai et al. (2017) recommends that the stakeholders emphasize both learning of content knowledge and preparation of students for 21</w:t>
      </w:r>
      <w:r w:rsidR="008454BC" w:rsidRPr="008454BC">
        <w:rPr>
          <w:rFonts w:ascii="Times New Roman" w:hAnsi="Times New Roman" w:cs="Times New Roman"/>
          <w:color w:val="000000" w:themeColor="text1"/>
          <w:vertAlign w:val="superscript"/>
        </w:rPr>
        <w:t>st</w:t>
      </w:r>
      <w:r w:rsidR="008454BC">
        <w:rPr>
          <w:rFonts w:ascii="Times New Roman" w:hAnsi="Times New Roman" w:cs="Times New Roman"/>
          <w:color w:val="000000" w:themeColor="text1"/>
        </w:rPr>
        <w:t xml:space="preserve"> century skills, as the ability to critically think and the foundational knowledge of mathematics are both well-represented in K-16 mathematics at all levels.</w:t>
      </w:r>
      <w:r w:rsidR="00DB59EC">
        <w:rPr>
          <w:rFonts w:ascii="Times New Roman" w:hAnsi="Times New Roman" w:cs="Times New Roman"/>
          <w:color w:val="000000" w:themeColor="text1"/>
        </w:rPr>
        <w:t xml:space="preserve"> The goals set forth by different stakeholders can guide how policy chooses to guide mathematics education and possible interventions and applications of new policies made.</w:t>
      </w:r>
    </w:p>
    <w:p w14:paraId="0A7F264B" w14:textId="77B1970D" w:rsidR="006233BA" w:rsidRDefault="006233BA" w:rsidP="00BA3478">
      <w:pPr>
        <w:spacing w:line="480" w:lineRule="auto"/>
        <w:rPr>
          <w:rFonts w:ascii="Times New Roman" w:hAnsi="Times New Roman" w:cs="Times New Roman"/>
          <w:b/>
          <w:color w:val="000000" w:themeColor="text1"/>
        </w:rPr>
      </w:pPr>
      <w:r>
        <w:rPr>
          <w:rFonts w:ascii="Times New Roman" w:hAnsi="Times New Roman" w:cs="Times New Roman"/>
          <w:b/>
          <w:color w:val="000000" w:themeColor="text1"/>
        </w:rPr>
        <w:t>Maintenance of a Partnership</w:t>
      </w:r>
    </w:p>
    <w:p w14:paraId="72FCBDE3" w14:textId="7BC22B60" w:rsidR="00DB59EC" w:rsidRDefault="00DB59EC" w:rsidP="00BA3478">
      <w:pPr>
        <w:spacing w:line="480" w:lineRule="auto"/>
        <w:rPr>
          <w:rFonts w:ascii="Times New Roman" w:hAnsi="Times New Roman" w:cs="Times New Roman"/>
          <w:bCs/>
          <w:color w:val="000000" w:themeColor="text1"/>
        </w:rPr>
      </w:pPr>
      <w:r>
        <w:rPr>
          <w:rFonts w:ascii="Times New Roman" w:hAnsi="Times New Roman" w:cs="Times New Roman"/>
          <w:b/>
          <w:color w:val="000000" w:themeColor="text1"/>
        </w:rPr>
        <w:lastRenderedPageBreak/>
        <w:tab/>
      </w:r>
      <w:r>
        <w:rPr>
          <w:rFonts w:ascii="Times New Roman" w:hAnsi="Times New Roman" w:cs="Times New Roman"/>
          <w:bCs/>
          <w:color w:val="000000" w:themeColor="text1"/>
        </w:rPr>
        <w:t>For any partnership, particularly in the realm of mathematics education, various characteristics must be upheld and fulfilled to maintain the mission and the success of the goals set forth by different stakeholders within the partnership. Multiple research studies in the past have provided particular guidelines that best serve the mathematics education community as they proceed in defining and creating partnerships that serve all stakeholders in the community.</w:t>
      </w:r>
    </w:p>
    <w:p w14:paraId="6306F676" w14:textId="771BC1C3" w:rsidR="00DB59EC" w:rsidRDefault="00DB59EC" w:rsidP="00BA3478">
      <w:pPr>
        <w:spacing w:line="480" w:lineRule="auto"/>
        <w:rPr>
          <w:rFonts w:ascii="Times New Roman" w:hAnsi="Times New Roman" w:cs="Times New Roman"/>
        </w:rPr>
      </w:pPr>
      <w:r>
        <w:rPr>
          <w:rFonts w:ascii="Times New Roman" w:hAnsi="Times New Roman" w:cs="Times New Roman"/>
          <w:bCs/>
          <w:color w:val="000000" w:themeColor="text1"/>
        </w:rPr>
        <w:tab/>
        <w:t>Primarily, several research studies have emphasized the necessity of planning and making goals for the long-term benefit of the community (</w:t>
      </w:r>
      <w:r w:rsidRPr="00DB59EC">
        <w:rPr>
          <w:rFonts w:ascii="Times New Roman" w:hAnsi="Times New Roman" w:cs="Times New Roman"/>
        </w:rPr>
        <w:t xml:space="preserve">Horne &amp; Makar, 2013; Johnson, 2012; Jenkins, Brown, Fink, Lahr, &amp; </w:t>
      </w:r>
      <w:proofErr w:type="spellStart"/>
      <w:r w:rsidRPr="00DB59EC">
        <w:rPr>
          <w:rFonts w:ascii="Times New Roman" w:hAnsi="Times New Roman" w:cs="Times New Roman"/>
        </w:rPr>
        <w:t>Yanagiura</w:t>
      </w:r>
      <w:proofErr w:type="spellEnd"/>
      <w:r w:rsidRPr="00DB59EC">
        <w:rPr>
          <w:rFonts w:ascii="Times New Roman" w:hAnsi="Times New Roman" w:cs="Times New Roman"/>
        </w:rPr>
        <w:t>, 2018</w:t>
      </w:r>
      <w:r>
        <w:rPr>
          <w:rFonts w:ascii="Times New Roman" w:hAnsi="Times New Roman" w:cs="Times New Roman"/>
        </w:rPr>
        <w:t xml:space="preserve">). By keeping an eye on the initial goals for what students will be able to achieve and learn in K-16 mathematics, the community members are informed on how best to move forward and adapt or make changes, particularly in implementing new tools or strategies for mathematics education that advances student learning. To accompany this necessary step in developing a successful partnership, </w:t>
      </w:r>
      <w:r w:rsidR="002F76AB">
        <w:rPr>
          <w:rFonts w:ascii="Times New Roman" w:hAnsi="Times New Roman" w:cs="Times New Roman"/>
        </w:rPr>
        <w:t>mathematics education community stakeholders must also maintain persistence and patience in working towards these goals and in working and communicating with one another (Horne &amp; Makar, 2013; Johnson, 2012). Because a partnership recognizes that different stakeholders have different values, learning to listen and discuss with one another requires regular communication where they must persist through times of difficulty and misunderstanding. Leahy et al. (2016) even state that taking risks helps move the community forward in their persistence with accomplishing the goals set forth for the community.</w:t>
      </w:r>
    </w:p>
    <w:p w14:paraId="7EE55E22" w14:textId="428EBA53" w:rsidR="002F76AB" w:rsidRDefault="002F76AB" w:rsidP="00BA3478">
      <w:pPr>
        <w:spacing w:line="480" w:lineRule="auto"/>
        <w:rPr>
          <w:rFonts w:ascii="Times New Roman" w:hAnsi="Times New Roman" w:cs="Times New Roman"/>
        </w:rPr>
      </w:pPr>
      <w:r>
        <w:rPr>
          <w:rFonts w:ascii="Times New Roman" w:hAnsi="Times New Roman" w:cs="Times New Roman"/>
        </w:rPr>
        <w:tab/>
        <w:t xml:space="preserve">As stakeholders learn to work with one another, it is understood that both respect for each other and for the professional goals of mathematics education maintain the quality of the partnership between stakeholders. By being able to respect each other, stakeholders remain forward-thinking in their thoughts (Nader, 2008), allowing stakeholders to understand each </w:t>
      </w:r>
      <w:r>
        <w:rPr>
          <w:rFonts w:ascii="Times New Roman" w:hAnsi="Times New Roman" w:cs="Times New Roman"/>
        </w:rPr>
        <w:lastRenderedPageBreak/>
        <w:t xml:space="preserve">other’s motivations and come to more agreement as they communicate regularly about how best to make decisions to positively impact the mathematical learning community. Specifically </w:t>
      </w:r>
      <w:r w:rsidR="00C92D3E">
        <w:rPr>
          <w:rFonts w:ascii="Times New Roman" w:hAnsi="Times New Roman" w:cs="Times New Roman"/>
        </w:rPr>
        <w:t>concerning</w:t>
      </w:r>
      <w:r>
        <w:rPr>
          <w:rFonts w:ascii="Times New Roman" w:hAnsi="Times New Roman" w:cs="Times New Roman"/>
        </w:rPr>
        <w:t xml:space="preserve"> mathematics education researchers and classroom teachers, Nader (2008) states that this mutual </w:t>
      </w:r>
      <w:r w:rsidR="00C92D3E">
        <w:rPr>
          <w:rFonts w:ascii="Times New Roman" w:hAnsi="Times New Roman" w:cs="Times New Roman"/>
        </w:rPr>
        <w:t>respect</w:t>
      </w:r>
      <w:r>
        <w:rPr>
          <w:rFonts w:ascii="Times New Roman" w:hAnsi="Times New Roman" w:cs="Times New Roman"/>
        </w:rPr>
        <w:t xml:space="preserve"> and willingness to think forward will allow teachers to consume high-quality research that will allow them to see how research can be incorporated into the classroom, and the objectives of the mathematics learning will be met in a way that satisfies all stakeholders in the learning community.</w:t>
      </w:r>
    </w:p>
    <w:p w14:paraId="788ED22C" w14:textId="1F2C94A7" w:rsidR="00E86977" w:rsidRPr="00DB59EC" w:rsidRDefault="00E86977" w:rsidP="00BA3478">
      <w:pPr>
        <w:spacing w:line="480" w:lineRule="auto"/>
        <w:rPr>
          <w:rFonts w:ascii="Times New Roman" w:hAnsi="Times New Roman" w:cs="Times New Roman"/>
          <w:color w:val="000000" w:themeColor="text1"/>
        </w:rPr>
      </w:pPr>
      <w:r>
        <w:rPr>
          <w:rFonts w:ascii="Times New Roman" w:hAnsi="Times New Roman" w:cs="Times New Roman"/>
        </w:rPr>
        <w:tab/>
        <w:t xml:space="preserve">Although communication has been regularly intertwined in the necessary elements of a successful mathematics education partnership and discussed in previous aspects of this paper, current research emphasizes just how valuable feedback and communication is in maintaining a successful partnership between the stakeholders in the community (Cai et al., 2017; Johnson et al., 2016). By choosing to be positive in wanting to both discuss thoughts and hear others’ ideas, </w:t>
      </w:r>
      <w:r w:rsidR="008C2D9B">
        <w:rPr>
          <w:rFonts w:ascii="Times New Roman" w:hAnsi="Times New Roman" w:cs="Times New Roman"/>
        </w:rPr>
        <w:t>stakeholders can be honest with each other and truthfully respect and trust each other as they discuss decisions or changes to be made that can and will impact teacher interventions and student learning in K-16 mathematics education.</w:t>
      </w:r>
    </w:p>
    <w:p w14:paraId="08C933F7" w14:textId="022FDAAC" w:rsidR="00736304" w:rsidRDefault="00735A21" w:rsidP="00BA3478">
      <w:pPr>
        <w:spacing w:line="480" w:lineRule="auto"/>
        <w:rPr>
          <w:rFonts w:ascii="Times New Roman" w:hAnsi="Times New Roman" w:cs="Times New Roman"/>
          <w:b/>
          <w:color w:val="000000" w:themeColor="text1"/>
        </w:rPr>
      </w:pPr>
      <w:r>
        <w:rPr>
          <w:rFonts w:ascii="Times New Roman" w:hAnsi="Times New Roman" w:cs="Times New Roman"/>
          <w:b/>
          <w:color w:val="000000" w:themeColor="text1"/>
        </w:rPr>
        <w:t>Implications</w:t>
      </w:r>
    </w:p>
    <w:p w14:paraId="00E4BB66" w14:textId="1E857348" w:rsidR="00937084" w:rsidRPr="00937084" w:rsidRDefault="00937084" w:rsidP="00BA3478">
      <w:pPr>
        <w:spacing w:line="480" w:lineRule="auto"/>
        <w:rPr>
          <w:rFonts w:ascii="Times New Roman" w:hAnsi="Times New Roman" w:cs="Times New Roman"/>
          <w:bCs/>
          <w:color w:val="000000" w:themeColor="text1"/>
        </w:rPr>
      </w:pPr>
      <w:r>
        <w:rPr>
          <w:rFonts w:ascii="Times New Roman" w:hAnsi="Times New Roman" w:cs="Times New Roman"/>
          <w:b/>
          <w:color w:val="000000" w:themeColor="text1"/>
        </w:rPr>
        <w:tab/>
      </w:r>
      <w:r>
        <w:rPr>
          <w:rFonts w:ascii="Times New Roman" w:hAnsi="Times New Roman" w:cs="Times New Roman"/>
          <w:bCs/>
          <w:color w:val="000000" w:themeColor="text1"/>
        </w:rPr>
        <w:t>The establishment of certain criteria necessary for successful mathematics partnerships among all stakeholders in the learning community guides different implications for practice at different levels within the community. This paper has discussed different practices that impact students differently the K-12 level vs. the university level, but both of these levels of schools have tangible recommendations for moving forward within the partnership.</w:t>
      </w:r>
    </w:p>
    <w:p w14:paraId="1D4F724B" w14:textId="4529A0D3" w:rsidR="00937084" w:rsidRDefault="00735A21" w:rsidP="00BA3478">
      <w:pPr>
        <w:spacing w:line="480" w:lineRule="auto"/>
        <w:rPr>
          <w:rFonts w:ascii="Times New Roman" w:hAnsi="Times New Roman" w:cs="Times New Roman"/>
          <w:bCs/>
          <w:color w:val="000000" w:themeColor="text1"/>
        </w:rPr>
      </w:pPr>
      <w:r>
        <w:rPr>
          <w:rFonts w:ascii="Times New Roman" w:hAnsi="Times New Roman" w:cs="Times New Roman"/>
          <w:b/>
          <w:color w:val="000000" w:themeColor="text1"/>
        </w:rPr>
        <w:tab/>
        <w:t>For schools.</w:t>
      </w:r>
      <w:r w:rsidR="00937084">
        <w:rPr>
          <w:rFonts w:ascii="Times New Roman" w:hAnsi="Times New Roman" w:cs="Times New Roman"/>
          <w:b/>
          <w:color w:val="000000" w:themeColor="text1"/>
        </w:rPr>
        <w:t xml:space="preserve"> </w:t>
      </w:r>
      <w:r w:rsidR="00937084">
        <w:rPr>
          <w:rFonts w:ascii="Times New Roman" w:hAnsi="Times New Roman" w:cs="Times New Roman"/>
          <w:bCs/>
          <w:color w:val="000000" w:themeColor="text1"/>
        </w:rPr>
        <w:t xml:space="preserve">Although it may be obvious, a partnership of K-12 schools with other stakeholders requires schools to maintain the standard and the objectives of their stakeholders via </w:t>
      </w:r>
      <w:r w:rsidR="00937084">
        <w:rPr>
          <w:rFonts w:ascii="Times New Roman" w:hAnsi="Times New Roman" w:cs="Times New Roman"/>
          <w:bCs/>
          <w:color w:val="000000" w:themeColor="text1"/>
        </w:rPr>
        <w:lastRenderedPageBreak/>
        <w:t>official guidelines set within their standards and policies (Schoenfeld, 1993; Howell, Carpenter, &amp; Jones, 2013; Johnson et al., 2016). By writing expectations into the standards, an official document helps ease tension and provides support to guide stakeholders in their decisions as they progress through the partnership.</w:t>
      </w:r>
    </w:p>
    <w:p w14:paraId="105668B3" w14:textId="5D047CA2" w:rsidR="00735A21" w:rsidRDefault="00937084" w:rsidP="00937084">
      <w:pPr>
        <w:spacing w:line="480" w:lineRule="auto"/>
        <w:ind w:firstLine="720"/>
        <w:rPr>
          <w:rFonts w:ascii="Times New Roman" w:hAnsi="Times New Roman" w:cs="Times New Roman"/>
          <w:bCs/>
          <w:color w:val="000000" w:themeColor="text1"/>
        </w:rPr>
      </w:pPr>
      <w:r>
        <w:rPr>
          <w:rFonts w:ascii="Times New Roman" w:hAnsi="Times New Roman" w:cs="Times New Roman"/>
          <w:bCs/>
          <w:color w:val="000000" w:themeColor="text1"/>
        </w:rPr>
        <w:t>Additionally, schools must ensure that they support their teachers as they choose to engage in a partnership that expands the community to include others’ ideas, beliefs, and values. Specifically, if K-12 teachers will now work with mathematics education researchers to improve their practices to result in more advanced mathematical learning for their students, schools must give teachers to the time to collaborate and plan different tasks and activities (Henrick, Muñoz, &amp; Cobb; 2016; Horne &amp; Makar, 2013). Even further, teachers may need access to more and different resources to meet the goals set forth by the community (Jenkins et al., 2018). Teacher support is a vital step that schools can take to promoting the mathematical partnership to be successful for all their stakeholders.</w:t>
      </w:r>
    </w:p>
    <w:p w14:paraId="102E3BC1" w14:textId="624B3C39" w:rsidR="00937084" w:rsidRDefault="00937084" w:rsidP="00937084">
      <w:pPr>
        <w:spacing w:line="480" w:lineRule="auto"/>
        <w:ind w:firstLine="720"/>
        <w:rPr>
          <w:rFonts w:ascii="Times New Roman" w:hAnsi="Times New Roman" w:cs="Times New Roman"/>
          <w:bCs/>
          <w:color w:val="000000" w:themeColor="text1"/>
        </w:rPr>
      </w:pPr>
      <w:r>
        <w:rPr>
          <w:rFonts w:ascii="Times New Roman" w:hAnsi="Times New Roman" w:cs="Times New Roman"/>
          <w:bCs/>
          <w:color w:val="000000" w:themeColor="text1"/>
        </w:rPr>
        <w:t xml:space="preserve">As schools move forward into these tasks and activities that they plan for mathematical learning, they must recognize that the tasks they make are common for all their students, making the vocabulary, the content, and the materials accessible to all types of learners (Bush; 2019; Bush et al., 2014; Howell et al., 2013). The accessibility of the information and materials to all students makes any reform or implementation </w:t>
      </w:r>
      <w:r w:rsidR="00AD11FD">
        <w:rPr>
          <w:rFonts w:ascii="Times New Roman" w:hAnsi="Times New Roman" w:cs="Times New Roman"/>
          <w:bCs/>
          <w:color w:val="000000" w:themeColor="text1"/>
        </w:rPr>
        <w:t xml:space="preserve">of a new mathematical task or tool worthwhile so all stakeholders may benefit. Additionally, the tasks chosen for the mathematics classrooms must be meaningful to the students and to the spirit of mathematics (Bush et al., 2014; Johnson et al., 2016). </w:t>
      </w:r>
      <w:r w:rsidR="00607AA0">
        <w:rPr>
          <w:rFonts w:ascii="Times New Roman" w:hAnsi="Times New Roman" w:cs="Times New Roman"/>
          <w:bCs/>
          <w:color w:val="000000" w:themeColor="text1"/>
        </w:rPr>
        <w:t xml:space="preserve">Because these tasks can change the routines or the regular lessons of a mathematics teacher, the different resources or lesson approaches can and will change the work environment for the teacher and the students (Cai et al., 2017), which is something that is necessary for the </w:t>
      </w:r>
      <w:r w:rsidR="00607AA0">
        <w:rPr>
          <w:rFonts w:ascii="Times New Roman" w:hAnsi="Times New Roman" w:cs="Times New Roman"/>
          <w:bCs/>
          <w:color w:val="000000" w:themeColor="text1"/>
        </w:rPr>
        <w:lastRenderedPageBreak/>
        <w:t xml:space="preserve">risk-taking required to create change and improve the mathematics education community. Johnson et al. (2012) even recommends that stakeholders at all levels regularly celebrate their wins in any reform or changes made to the community, as this positivity will keep all stakeholders focused on moving forward in achieving their goal. </w:t>
      </w:r>
      <w:proofErr w:type="spellStart"/>
      <w:r w:rsidR="00607AA0">
        <w:rPr>
          <w:rFonts w:ascii="Times New Roman" w:hAnsi="Times New Roman" w:cs="Times New Roman"/>
          <w:bCs/>
          <w:color w:val="000000" w:themeColor="text1"/>
        </w:rPr>
        <w:t>The</w:t>
      </w:r>
      <w:proofErr w:type="spellEnd"/>
      <w:r w:rsidR="00607AA0">
        <w:rPr>
          <w:rFonts w:ascii="Times New Roman" w:hAnsi="Times New Roman" w:cs="Times New Roman"/>
          <w:bCs/>
          <w:color w:val="000000" w:themeColor="text1"/>
        </w:rPr>
        <w:t xml:space="preserve"> goal of several mathematics education partnerships is to improve the quality of mathematics education for the community’s students, and appropriate but challenging mathematical tasks and activities are a major component to achieving success in the partnership.</w:t>
      </w:r>
    </w:p>
    <w:p w14:paraId="49F0796A" w14:textId="22E13966" w:rsidR="00607AA0" w:rsidRDefault="00607AA0" w:rsidP="00937084">
      <w:pPr>
        <w:spacing w:line="480" w:lineRule="auto"/>
        <w:ind w:firstLine="720"/>
        <w:rPr>
          <w:rFonts w:ascii="Times New Roman" w:hAnsi="Times New Roman" w:cs="Times New Roman"/>
          <w:bCs/>
          <w:color w:val="000000" w:themeColor="text1"/>
        </w:rPr>
      </w:pPr>
      <w:r>
        <w:rPr>
          <w:rFonts w:ascii="Times New Roman" w:hAnsi="Times New Roman" w:cs="Times New Roman"/>
          <w:bCs/>
          <w:color w:val="000000" w:themeColor="text1"/>
        </w:rPr>
        <w:t xml:space="preserve">One final </w:t>
      </w:r>
      <w:r w:rsidR="007D37EE">
        <w:rPr>
          <w:rFonts w:ascii="Times New Roman" w:hAnsi="Times New Roman" w:cs="Times New Roman"/>
          <w:bCs/>
          <w:color w:val="000000" w:themeColor="text1"/>
        </w:rPr>
        <w:t xml:space="preserve">recommendation for schools is an important one that different stakeholders should enforce to truly engage in the mission of the community. Professional development for the teachers must be adapted to the needs of the community, particularly as students are assessed and mathematical learning is impacted by the specifically-tailored professional development for the K-16 mathematics teachers (Johnson et al., 2016; Shroyer, </w:t>
      </w:r>
      <w:proofErr w:type="spellStart"/>
      <w:r w:rsidR="007D37EE">
        <w:rPr>
          <w:rFonts w:ascii="Times New Roman" w:hAnsi="Times New Roman" w:cs="Times New Roman"/>
          <w:bCs/>
          <w:color w:val="000000" w:themeColor="text1"/>
        </w:rPr>
        <w:t>Yahnke</w:t>
      </w:r>
      <w:proofErr w:type="spellEnd"/>
      <w:r w:rsidR="007D37EE">
        <w:rPr>
          <w:rFonts w:ascii="Times New Roman" w:hAnsi="Times New Roman" w:cs="Times New Roman"/>
          <w:bCs/>
          <w:color w:val="000000" w:themeColor="text1"/>
        </w:rPr>
        <w:t xml:space="preserve">, &amp; Heller, 2007; Shroyer, </w:t>
      </w:r>
      <w:proofErr w:type="spellStart"/>
      <w:r w:rsidR="007D37EE">
        <w:rPr>
          <w:rFonts w:ascii="Times New Roman" w:hAnsi="Times New Roman" w:cs="Times New Roman"/>
          <w:bCs/>
          <w:color w:val="000000" w:themeColor="text1"/>
        </w:rPr>
        <w:t>Yahnke</w:t>
      </w:r>
      <w:proofErr w:type="spellEnd"/>
      <w:r w:rsidR="007D37EE">
        <w:rPr>
          <w:rFonts w:ascii="Times New Roman" w:hAnsi="Times New Roman" w:cs="Times New Roman"/>
          <w:bCs/>
          <w:color w:val="000000" w:themeColor="text1"/>
        </w:rPr>
        <w:t>, Bennett, &amp; Dunn, 2007). This could potentially impact both the teachers at the K-12 level and the professors and other stakeholders at the university level who provide the professional development for mathematics education practitioners.</w:t>
      </w:r>
    </w:p>
    <w:p w14:paraId="3563B6A0" w14:textId="2F5D6FD0" w:rsidR="007D37EE" w:rsidRDefault="007D37EE" w:rsidP="00937084">
      <w:pPr>
        <w:spacing w:line="480" w:lineRule="auto"/>
        <w:ind w:firstLine="720"/>
        <w:rPr>
          <w:rFonts w:ascii="Times New Roman" w:hAnsi="Times New Roman" w:cs="Times New Roman"/>
          <w:bCs/>
          <w:color w:val="000000" w:themeColor="text1"/>
        </w:rPr>
      </w:pPr>
      <w:r>
        <w:rPr>
          <w:rFonts w:ascii="Times New Roman" w:hAnsi="Times New Roman" w:cs="Times New Roman"/>
          <w:bCs/>
          <w:color w:val="000000" w:themeColor="text1"/>
        </w:rPr>
        <w:t xml:space="preserve">Concerning university stakeholders, Turley and Stevens (2015) and Wang and </w:t>
      </w:r>
      <w:proofErr w:type="spellStart"/>
      <w:r>
        <w:rPr>
          <w:rFonts w:ascii="Times New Roman" w:hAnsi="Times New Roman" w:cs="Times New Roman"/>
          <w:bCs/>
          <w:color w:val="000000" w:themeColor="text1"/>
        </w:rPr>
        <w:t>A</w:t>
      </w:r>
      <w:r w:rsidR="00AB4F18">
        <w:rPr>
          <w:rFonts w:ascii="Times New Roman" w:hAnsi="Times New Roman" w:cs="Times New Roman"/>
          <w:bCs/>
          <w:color w:val="000000" w:themeColor="text1"/>
        </w:rPr>
        <w:t>p</w:t>
      </w:r>
      <w:r>
        <w:rPr>
          <w:rFonts w:ascii="Times New Roman" w:hAnsi="Times New Roman" w:cs="Times New Roman"/>
          <w:bCs/>
          <w:color w:val="000000" w:themeColor="text1"/>
        </w:rPr>
        <w:t>raix</w:t>
      </w:r>
      <w:proofErr w:type="spellEnd"/>
      <w:r>
        <w:rPr>
          <w:rFonts w:ascii="Times New Roman" w:hAnsi="Times New Roman" w:cs="Times New Roman"/>
          <w:bCs/>
          <w:color w:val="000000" w:themeColor="text1"/>
        </w:rPr>
        <w:t xml:space="preserve"> (2018) recognize the value of combining research with practice. University stakeholders communicate well with K-12 practitioners to ensure that any current and relevant mathematics education research impacts the K-12 teachers to wisely adapt and modify their lessons to best serve students so that they learn the mathematics in a more advanced manner. This willingness to adapt and to learn also inspires how universities prepare their future mathematics teachers.</w:t>
      </w:r>
    </w:p>
    <w:p w14:paraId="3D2FDAC5" w14:textId="0B2805C4" w:rsidR="007D37EE" w:rsidRDefault="007D37EE" w:rsidP="00937084">
      <w:pPr>
        <w:spacing w:line="480" w:lineRule="auto"/>
        <w:ind w:firstLine="720"/>
        <w:rPr>
          <w:rFonts w:ascii="Times New Roman" w:hAnsi="Times New Roman" w:cs="Times New Roman"/>
          <w:bCs/>
          <w:color w:val="000000" w:themeColor="text1"/>
        </w:rPr>
      </w:pPr>
      <w:r>
        <w:rPr>
          <w:rFonts w:ascii="Times New Roman" w:hAnsi="Times New Roman" w:cs="Times New Roman"/>
          <w:bCs/>
          <w:color w:val="000000" w:themeColor="text1"/>
        </w:rPr>
        <w:t xml:space="preserve">A stakeholder that is capable of impacting great change in the mathematics education learning community, pre-service teachers (PSTs) are an important stakeholder who can create </w:t>
      </w:r>
      <w:r>
        <w:rPr>
          <w:rFonts w:ascii="Times New Roman" w:hAnsi="Times New Roman" w:cs="Times New Roman"/>
          <w:bCs/>
          <w:color w:val="000000" w:themeColor="text1"/>
        </w:rPr>
        <w:lastRenderedPageBreak/>
        <w:t>change for the betterment of learning for K-12 mathematics students.</w:t>
      </w:r>
      <w:r w:rsidR="00C26AF0">
        <w:rPr>
          <w:rFonts w:ascii="Times New Roman" w:hAnsi="Times New Roman" w:cs="Times New Roman"/>
          <w:bCs/>
          <w:color w:val="000000" w:themeColor="text1"/>
        </w:rPr>
        <w:t xml:space="preserve"> Howell et al. (2013) provide clear </w:t>
      </w:r>
      <w:r w:rsidR="00AB4F18">
        <w:rPr>
          <w:rFonts w:ascii="Times New Roman" w:hAnsi="Times New Roman" w:cs="Times New Roman"/>
          <w:bCs/>
          <w:color w:val="000000" w:themeColor="text1"/>
        </w:rPr>
        <w:t>suggestions for preservice teachers in mathematics education so that upcoming mathematics teachers will know how best to serve their students, including gradually being given more responsibility over time, creating and recognizing boundaries for teachers with their students in their first experiences of teaching, and developing a common language and understanding of mathematical and scholastic expectations.</w:t>
      </w:r>
    </w:p>
    <w:p w14:paraId="1971E99A" w14:textId="680C56A0" w:rsidR="00F23024" w:rsidRPr="00937084" w:rsidRDefault="00F23024" w:rsidP="00937084">
      <w:pPr>
        <w:spacing w:line="480" w:lineRule="auto"/>
        <w:ind w:firstLine="720"/>
        <w:rPr>
          <w:rFonts w:ascii="Times New Roman" w:hAnsi="Times New Roman" w:cs="Times New Roman"/>
          <w:bCs/>
          <w:color w:val="000000" w:themeColor="text1"/>
        </w:rPr>
      </w:pPr>
      <w:r>
        <w:rPr>
          <w:rFonts w:ascii="Times New Roman" w:hAnsi="Times New Roman" w:cs="Times New Roman"/>
          <w:bCs/>
          <w:color w:val="000000" w:themeColor="text1"/>
        </w:rPr>
        <w:t xml:space="preserve">Pre-service teachers are also held to certain expectations that help them to best engage in the partnership so that their K-12 students can achieve high levels of mathematical learning, and the pre-service teachers themselves can begin to understand their identity as a teacher in the community (Wang &amp; </w:t>
      </w:r>
      <w:proofErr w:type="spellStart"/>
      <w:r>
        <w:rPr>
          <w:rFonts w:ascii="Times New Roman" w:hAnsi="Times New Roman" w:cs="Times New Roman"/>
          <w:bCs/>
          <w:color w:val="000000" w:themeColor="text1"/>
        </w:rPr>
        <w:t>Apraix</w:t>
      </w:r>
      <w:proofErr w:type="spellEnd"/>
      <w:r>
        <w:rPr>
          <w:rFonts w:ascii="Times New Roman" w:hAnsi="Times New Roman" w:cs="Times New Roman"/>
          <w:bCs/>
          <w:color w:val="000000" w:themeColor="text1"/>
        </w:rPr>
        <w:t xml:space="preserve">, 2018). As PSTs learn to plan their activities and manage behavioral skills among their students, they are able to build relationships with their students but also with each other, so that the communication between different stakeholders within the mathematics education community stays open and sensitive to each other. Wang and </w:t>
      </w:r>
      <w:proofErr w:type="spellStart"/>
      <w:r>
        <w:rPr>
          <w:rFonts w:ascii="Times New Roman" w:hAnsi="Times New Roman" w:cs="Times New Roman"/>
          <w:bCs/>
          <w:color w:val="000000" w:themeColor="text1"/>
        </w:rPr>
        <w:t>Apraix</w:t>
      </w:r>
      <w:proofErr w:type="spellEnd"/>
      <w:r>
        <w:rPr>
          <w:rFonts w:ascii="Times New Roman" w:hAnsi="Times New Roman" w:cs="Times New Roman"/>
          <w:bCs/>
          <w:color w:val="000000" w:themeColor="text1"/>
        </w:rPr>
        <w:t xml:space="preserve"> (2018) even suggest that a community-based approach to mentorship for pre-service teachers vs. a model with one mentor helps guide pre-service teachers to truly recognizing and accomplishing goals that best impact student learning in the K-12 </w:t>
      </w:r>
      <w:r w:rsidR="005465A6">
        <w:rPr>
          <w:rFonts w:ascii="Times New Roman" w:hAnsi="Times New Roman" w:cs="Times New Roman"/>
          <w:bCs/>
          <w:color w:val="000000" w:themeColor="text1"/>
        </w:rPr>
        <w:t>mathematics</w:t>
      </w:r>
      <w:r>
        <w:rPr>
          <w:rFonts w:ascii="Times New Roman" w:hAnsi="Times New Roman" w:cs="Times New Roman"/>
          <w:bCs/>
          <w:color w:val="000000" w:themeColor="text1"/>
        </w:rPr>
        <w:t xml:space="preserve"> education community.</w:t>
      </w:r>
      <w:r w:rsidR="00F32DC7">
        <w:rPr>
          <w:rFonts w:ascii="Times New Roman" w:hAnsi="Times New Roman" w:cs="Times New Roman"/>
          <w:bCs/>
          <w:color w:val="000000" w:themeColor="text1"/>
        </w:rPr>
        <w:t xml:space="preserve"> Further, Walker &amp; EPI (2007) maintain that pre-service teachers gain official licensure in education to be able to officially become a mathematics educator for K-12 mathematics students, which is a practice that is regularly followed within the mathematics education community.</w:t>
      </w:r>
    </w:p>
    <w:p w14:paraId="46DBF4F7" w14:textId="3AA0D520" w:rsidR="00735A21" w:rsidRPr="00A81FE5" w:rsidRDefault="00735A21" w:rsidP="00BA3478">
      <w:pPr>
        <w:spacing w:line="480" w:lineRule="auto"/>
        <w:rPr>
          <w:rFonts w:ascii="Times New Roman" w:hAnsi="Times New Roman" w:cs="Times New Roman"/>
          <w:bCs/>
          <w:color w:val="000000" w:themeColor="text1"/>
        </w:rPr>
      </w:pPr>
      <w:r>
        <w:rPr>
          <w:rFonts w:ascii="Times New Roman" w:hAnsi="Times New Roman" w:cs="Times New Roman"/>
          <w:b/>
          <w:color w:val="000000" w:themeColor="text1"/>
        </w:rPr>
        <w:tab/>
        <w:t>For families and parents.</w:t>
      </w:r>
      <w:r w:rsidR="00A81FE5">
        <w:rPr>
          <w:rFonts w:ascii="Times New Roman" w:hAnsi="Times New Roman" w:cs="Times New Roman"/>
          <w:bCs/>
          <w:color w:val="000000" w:themeColor="text1"/>
        </w:rPr>
        <w:t xml:space="preserve"> Although sometimes they are considered lower in importance of the stakeholders in the mathematics education community, families and parents play an important role in the community as they support student learning of mathematics outside of the classroom. </w:t>
      </w:r>
      <w:proofErr w:type="spellStart"/>
      <w:r w:rsidR="00A81FE5">
        <w:rPr>
          <w:rFonts w:ascii="Times New Roman" w:hAnsi="Times New Roman" w:cs="Times New Roman"/>
          <w:bCs/>
          <w:color w:val="000000" w:themeColor="text1"/>
        </w:rPr>
        <w:t>Legnard</w:t>
      </w:r>
      <w:proofErr w:type="spellEnd"/>
      <w:r w:rsidR="00A81FE5">
        <w:rPr>
          <w:rFonts w:ascii="Times New Roman" w:hAnsi="Times New Roman" w:cs="Times New Roman"/>
          <w:bCs/>
          <w:color w:val="000000" w:themeColor="text1"/>
        </w:rPr>
        <w:t xml:space="preserve"> &amp; Austin (2014) recommend that parents even engage in a contract with the </w:t>
      </w:r>
      <w:r w:rsidR="00A81FE5">
        <w:rPr>
          <w:rFonts w:ascii="Times New Roman" w:hAnsi="Times New Roman" w:cs="Times New Roman"/>
          <w:bCs/>
          <w:color w:val="000000" w:themeColor="text1"/>
        </w:rPr>
        <w:lastRenderedPageBreak/>
        <w:t xml:space="preserve">school to find and use times and spaces outside of classroom to foster their children’s engagement and abilities to practice and use mathematics, such as in the car when driving or when cooking </w:t>
      </w:r>
      <w:r w:rsidR="00F32DC7">
        <w:rPr>
          <w:rFonts w:ascii="Times New Roman" w:hAnsi="Times New Roman" w:cs="Times New Roman"/>
          <w:bCs/>
          <w:color w:val="000000" w:themeColor="text1"/>
        </w:rPr>
        <w:t xml:space="preserve">and using measurements to practice numeracy. Further, </w:t>
      </w:r>
      <w:proofErr w:type="gramStart"/>
      <w:r w:rsidR="00F32DC7">
        <w:rPr>
          <w:rFonts w:ascii="Times New Roman" w:hAnsi="Times New Roman" w:cs="Times New Roman"/>
          <w:bCs/>
          <w:color w:val="000000" w:themeColor="text1"/>
        </w:rPr>
        <w:t>Building</w:t>
      </w:r>
      <w:proofErr w:type="gramEnd"/>
      <w:r w:rsidR="00F32DC7">
        <w:rPr>
          <w:rFonts w:ascii="Times New Roman" w:hAnsi="Times New Roman" w:cs="Times New Roman"/>
          <w:bCs/>
          <w:color w:val="000000" w:themeColor="text1"/>
        </w:rPr>
        <w:t xml:space="preserve"> a Math Village (2013) recognizes that it is important to ask questions about how to transfer mathematical understanding and learning from the classroom to areas outside of school for students in K-12 mathematics.</w:t>
      </w:r>
      <w:r w:rsidR="00A64FE3">
        <w:rPr>
          <w:rFonts w:ascii="Times New Roman" w:hAnsi="Times New Roman" w:cs="Times New Roman"/>
          <w:bCs/>
          <w:color w:val="000000" w:themeColor="text1"/>
        </w:rPr>
        <w:t xml:space="preserve"> Parents can be a vital stakeholder in the community of mathematics education by engaging their children in excitement for and advancement in mathematics outside of the school context.</w:t>
      </w:r>
    </w:p>
    <w:p w14:paraId="14C54F3C" w14:textId="29F111BA" w:rsidR="00735A21" w:rsidRPr="00A64FE3" w:rsidRDefault="00735A21" w:rsidP="00BA3478">
      <w:pPr>
        <w:spacing w:line="480" w:lineRule="auto"/>
        <w:rPr>
          <w:rFonts w:ascii="Times New Roman" w:hAnsi="Times New Roman" w:cs="Times New Roman"/>
          <w:bCs/>
          <w:color w:val="000000" w:themeColor="text1"/>
        </w:rPr>
      </w:pPr>
      <w:r>
        <w:rPr>
          <w:rFonts w:ascii="Times New Roman" w:hAnsi="Times New Roman" w:cs="Times New Roman"/>
          <w:b/>
          <w:color w:val="000000" w:themeColor="text1"/>
        </w:rPr>
        <w:tab/>
        <w:t>For policy.</w:t>
      </w:r>
      <w:r w:rsidR="00A64FE3">
        <w:rPr>
          <w:rFonts w:ascii="Times New Roman" w:hAnsi="Times New Roman" w:cs="Times New Roman"/>
          <w:b/>
          <w:color w:val="000000" w:themeColor="text1"/>
        </w:rPr>
        <w:t xml:space="preserve"> </w:t>
      </w:r>
      <w:r w:rsidR="00A64FE3">
        <w:rPr>
          <w:rFonts w:ascii="Times New Roman" w:hAnsi="Times New Roman" w:cs="Times New Roman"/>
          <w:bCs/>
          <w:color w:val="000000" w:themeColor="text1"/>
        </w:rPr>
        <w:t xml:space="preserve">Although policy has been previously discussed in this paper, it is important to note that recommendations for policy in mathematics education are to begin small (Johnson, 2012; </w:t>
      </w:r>
      <w:proofErr w:type="spellStart"/>
      <w:r w:rsidR="00A64FE3">
        <w:rPr>
          <w:rFonts w:ascii="Times New Roman" w:hAnsi="Times New Roman" w:cs="Times New Roman"/>
          <w:bCs/>
          <w:color w:val="000000" w:themeColor="text1"/>
        </w:rPr>
        <w:t>Sondergeld</w:t>
      </w:r>
      <w:proofErr w:type="spellEnd"/>
      <w:r w:rsidR="00A64FE3">
        <w:rPr>
          <w:rFonts w:ascii="Times New Roman" w:hAnsi="Times New Roman" w:cs="Times New Roman"/>
          <w:bCs/>
          <w:color w:val="000000" w:themeColor="text1"/>
        </w:rPr>
        <w:t xml:space="preserve"> &amp; </w:t>
      </w:r>
      <w:proofErr w:type="spellStart"/>
      <w:r w:rsidR="00A64FE3">
        <w:rPr>
          <w:rFonts w:ascii="Times New Roman" w:hAnsi="Times New Roman" w:cs="Times New Roman"/>
          <w:bCs/>
          <w:color w:val="000000" w:themeColor="text1"/>
        </w:rPr>
        <w:t>Walten</w:t>
      </w:r>
      <w:proofErr w:type="spellEnd"/>
      <w:r w:rsidR="00A64FE3">
        <w:rPr>
          <w:rFonts w:ascii="Times New Roman" w:hAnsi="Times New Roman" w:cs="Times New Roman"/>
          <w:bCs/>
          <w:color w:val="000000" w:themeColor="text1"/>
        </w:rPr>
        <w:t>, 2016). By setting small goals, stakeholders are able to see success and keep motivation to continue working towards their goals established at the beginning of the partnership. Further, policy must be written so that practical steps can be taken to achieve attainable goals (Turley &amp; Stevens, 2015). Examples of suggestions by Turley and Stevens (2015) include providing enough funding to support teachers, ensuring trust and communication among researchers and teachers, respecting each other’s times while still setting an optimistic timeline, and sharing all information with each other via a shared database. Policy can be shaped according to realistic goals and expectations of each stakeholder in the mathematics education community so that students may benefit from the changes and the actions taken by teachers, parents, and policymakers in the community.</w:t>
      </w:r>
    </w:p>
    <w:p w14:paraId="4DBB1218" w14:textId="6074D6F9" w:rsidR="00735A21" w:rsidRPr="00D6342D" w:rsidRDefault="00735A21" w:rsidP="00BA3478">
      <w:pPr>
        <w:spacing w:line="480" w:lineRule="auto"/>
        <w:rPr>
          <w:rFonts w:ascii="Times New Roman" w:hAnsi="Times New Roman" w:cs="Times New Roman"/>
          <w:bCs/>
          <w:color w:val="000000" w:themeColor="text1"/>
        </w:rPr>
      </w:pPr>
      <w:r>
        <w:rPr>
          <w:rFonts w:ascii="Times New Roman" w:hAnsi="Times New Roman" w:cs="Times New Roman"/>
          <w:b/>
          <w:color w:val="000000" w:themeColor="text1"/>
        </w:rPr>
        <w:tab/>
      </w:r>
      <w:r w:rsidR="00A81FE5">
        <w:rPr>
          <w:rFonts w:ascii="Times New Roman" w:hAnsi="Times New Roman" w:cs="Times New Roman"/>
          <w:b/>
          <w:color w:val="000000" w:themeColor="text1"/>
        </w:rPr>
        <w:t>Using t</w:t>
      </w:r>
      <w:r>
        <w:rPr>
          <w:rFonts w:ascii="Times New Roman" w:hAnsi="Times New Roman" w:cs="Times New Roman"/>
          <w:b/>
          <w:color w:val="000000" w:themeColor="text1"/>
        </w:rPr>
        <w:t>echnology.</w:t>
      </w:r>
      <w:r w:rsidR="00D6342D">
        <w:rPr>
          <w:rFonts w:ascii="Times New Roman" w:hAnsi="Times New Roman" w:cs="Times New Roman"/>
          <w:b/>
          <w:color w:val="000000" w:themeColor="text1"/>
        </w:rPr>
        <w:t xml:space="preserve"> </w:t>
      </w:r>
      <w:r w:rsidR="00D6342D">
        <w:rPr>
          <w:rFonts w:ascii="Times New Roman" w:hAnsi="Times New Roman" w:cs="Times New Roman"/>
          <w:bCs/>
          <w:color w:val="000000" w:themeColor="text1"/>
        </w:rPr>
        <w:t>With the rise of 21</w:t>
      </w:r>
      <w:r w:rsidR="00D6342D" w:rsidRPr="00D6342D">
        <w:rPr>
          <w:rFonts w:ascii="Times New Roman" w:hAnsi="Times New Roman" w:cs="Times New Roman"/>
          <w:bCs/>
          <w:color w:val="000000" w:themeColor="text1"/>
          <w:vertAlign w:val="superscript"/>
        </w:rPr>
        <w:t>st</w:t>
      </w:r>
      <w:r w:rsidR="00D6342D">
        <w:rPr>
          <w:rFonts w:ascii="Times New Roman" w:hAnsi="Times New Roman" w:cs="Times New Roman"/>
          <w:bCs/>
          <w:color w:val="000000" w:themeColor="text1"/>
        </w:rPr>
        <w:t xml:space="preserve"> century skills necessary for the job market in society currently (</w:t>
      </w:r>
      <w:proofErr w:type="spellStart"/>
      <w:r w:rsidR="00CD2E69">
        <w:rPr>
          <w:rFonts w:ascii="Times New Roman" w:hAnsi="Times New Roman" w:cs="Times New Roman"/>
          <w:bCs/>
          <w:color w:val="000000" w:themeColor="text1"/>
        </w:rPr>
        <w:t>Sondergald</w:t>
      </w:r>
      <w:proofErr w:type="spellEnd"/>
      <w:r w:rsidR="00CD2E69">
        <w:rPr>
          <w:rFonts w:ascii="Times New Roman" w:hAnsi="Times New Roman" w:cs="Times New Roman"/>
          <w:bCs/>
          <w:color w:val="000000" w:themeColor="text1"/>
        </w:rPr>
        <w:t xml:space="preserve"> &amp; </w:t>
      </w:r>
      <w:proofErr w:type="spellStart"/>
      <w:r w:rsidR="00CD2E69">
        <w:rPr>
          <w:rFonts w:ascii="Times New Roman" w:hAnsi="Times New Roman" w:cs="Times New Roman"/>
          <w:bCs/>
          <w:color w:val="000000" w:themeColor="text1"/>
        </w:rPr>
        <w:t>Walten</w:t>
      </w:r>
      <w:proofErr w:type="spellEnd"/>
      <w:r w:rsidR="00CD2E69">
        <w:rPr>
          <w:rFonts w:ascii="Times New Roman" w:hAnsi="Times New Roman" w:cs="Times New Roman"/>
          <w:bCs/>
          <w:color w:val="000000" w:themeColor="text1"/>
        </w:rPr>
        <w:t>, 2016</w:t>
      </w:r>
      <w:r w:rsidR="00D6342D">
        <w:rPr>
          <w:rFonts w:ascii="Times New Roman" w:hAnsi="Times New Roman" w:cs="Times New Roman"/>
          <w:bCs/>
          <w:color w:val="000000" w:themeColor="text1"/>
        </w:rPr>
        <w:t xml:space="preserve">), </w:t>
      </w:r>
      <w:r w:rsidR="00CD2E69">
        <w:rPr>
          <w:rFonts w:ascii="Times New Roman" w:hAnsi="Times New Roman" w:cs="Times New Roman"/>
          <w:bCs/>
          <w:color w:val="000000" w:themeColor="text1"/>
        </w:rPr>
        <w:t xml:space="preserve">research suggests that stakeholders at all levels be able to communicate and access information online, largely due to accessibility and speed of </w:t>
      </w:r>
      <w:r w:rsidR="00CD2E69">
        <w:rPr>
          <w:rFonts w:ascii="Times New Roman" w:hAnsi="Times New Roman" w:cs="Times New Roman"/>
          <w:bCs/>
          <w:color w:val="000000" w:themeColor="text1"/>
        </w:rPr>
        <w:lastRenderedPageBreak/>
        <w:t>current technology that supports these means (Building a Math Village, 2013; Leahy et al., 2016). Also, Cai et al. (2017) understands that an online curriculum, as an example, allows all stakeholders to regularly access the goals set forth at the beginning of the partnership.</w:t>
      </w:r>
    </w:p>
    <w:p w14:paraId="26F54B77" w14:textId="7D67F4E1" w:rsidR="00735A21" w:rsidRDefault="00735A21" w:rsidP="00BA3478">
      <w:pPr>
        <w:spacing w:line="480" w:lineRule="auto"/>
        <w:rPr>
          <w:rFonts w:ascii="Times New Roman" w:hAnsi="Times New Roman" w:cs="Times New Roman"/>
          <w:b/>
          <w:color w:val="000000" w:themeColor="text1"/>
        </w:rPr>
      </w:pPr>
      <w:r>
        <w:rPr>
          <w:rFonts w:ascii="Times New Roman" w:hAnsi="Times New Roman" w:cs="Times New Roman"/>
          <w:b/>
          <w:color w:val="000000" w:themeColor="text1"/>
        </w:rPr>
        <w:t>Recommendations</w:t>
      </w:r>
    </w:p>
    <w:p w14:paraId="182A678F" w14:textId="3BE3E62F" w:rsidR="00CD2E69" w:rsidRDefault="00CD2E69" w:rsidP="00BA3478">
      <w:pPr>
        <w:spacing w:line="480" w:lineRule="auto"/>
        <w:rPr>
          <w:rFonts w:ascii="Times New Roman" w:hAnsi="Times New Roman" w:cs="Times New Roman"/>
          <w:bCs/>
          <w:color w:val="000000" w:themeColor="text1"/>
        </w:rPr>
      </w:pPr>
      <w:r>
        <w:rPr>
          <w:rFonts w:ascii="Times New Roman" w:hAnsi="Times New Roman" w:cs="Times New Roman"/>
          <w:b/>
          <w:color w:val="000000" w:themeColor="text1"/>
        </w:rPr>
        <w:tab/>
      </w:r>
      <w:r>
        <w:rPr>
          <w:rFonts w:ascii="Times New Roman" w:hAnsi="Times New Roman" w:cs="Times New Roman"/>
          <w:bCs/>
          <w:color w:val="000000" w:themeColor="text1"/>
        </w:rPr>
        <w:t>W</w:t>
      </w:r>
      <w:r w:rsidR="0057799C">
        <w:rPr>
          <w:rFonts w:ascii="Times New Roman" w:hAnsi="Times New Roman" w:cs="Times New Roman"/>
          <w:bCs/>
          <w:color w:val="000000" w:themeColor="text1"/>
        </w:rPr>
        <w:t xml:space="preserve">ith these several different implications for future research practice and mathematics education research, there are still areas of improvement that provide recommendations for future studies and practices for K-16 mathematics education partnerships. </w:t>
      </w:r>
      <w:r w:rsidR="009F25AE">
        <w:rPr>
          <w:rFonts w:ascii="Times New Roman" w:hAnsi="Times New Roman" w:cs="Times New Roman"/>
          <w:bCs/>
          <w:color w:val="000000" w:themeColor="text1"/>
        </w:rPr>
        <w:t xml:space="preserve">Although it was previously mentioned that pre-service teachers are a valuable stakeholder in the mathematics education community, past research studies have emphasized the recommendation that future preparation of mathematics teachers should ensure that clinical practices directly connect to the preparation that the students are receiving academically from the university classroom (Howell et al., 2013; Wang &amp; </w:t>
      </w:r>
      <w:proofErr w:type="spellStart"/>
      <w:r w:rsidR="009F25AE">
        <w:rPr>
          <w:rFonts w:ascii="Times New Roman" w:hAnsi="Times New Roman" w:cs="Times New Roman"/>
          <w:bCs/>
          <w:color w:val="000000" w:themeColor="text1"/>
        </w:rPr>
        <w:t>Apraix</w:t>
      </w:r>
      <w:proofErr w:type="spellEnd"/>
      <w:r w:rsidR="009F25AE">
        <w:rPr>
          <w:rFonts w:ascii="Times New Roman" w:hAnsi="Times New Roman" w:cs="Times New Roman"/>
          <w:bCs/>
          <w:color w:val="000000" w:themeColor="text1"/>
        </w:rPr>
        <w:t>, 2018; Walker &amp; EPI, 2007).</w:t>
      </w:r>
      <w:r w:rsidR="005334F1">
        <w:rPr>
          <w:rFonts w:ascii="Times New Roman" w:hAnsi="Times New Roman" w:cs="Times New Roman"/>
          <w:bCs/>
          <w:color w:val="000000" w:themeColor="text1"/>
        </w:rPr>
        <w:t xml:space="preserve"> By connecting pre-service teacher learning with their teaching experiences in the field, pre-service teachers begin to see their identity more as a teacher (Wang &amp; </w:t>
      </w:r>
      <w:proofErr w:type="spellStart"/>
      <w:r w:rsidR="005334F1">
        <w:rPr>
          <w:rFonts w:ascii="Times New Roman" w:hAnsi="Times New Roman" w:cs="Times New Roman"/>
          <w:bCs/>
          <w:color w:val="000000" w:themeColor="text1"/>
        </w:rPr>
        <w:t>Apraix</w:t>
      </w:r>
      <w:proofErr w:type="spellEnd"/>
      <w:r w:rsidR="005334F1">
        <w:rPr>
          <w:rFonts w:ascii="Times New Roman" w:hAnsi="Times New Roman" w:cs="Times New Roman"/>
          <w:bCs/>
          <w:color w:val="000000" w:themeColor="text1"/>
        </w:rPr>
        <w:t xml:space="preserve">, 2018) and can engage deeper in the mathematics </w:t>
      </w:r>
      <w:r w:rsidR="009D0004">
        <w:rPr>
          <w:rFonts w:ascii="Times New Roman" w:hAnsi="Times New Roman" w:cs="Times New Roman"/>
          <w:bCs/>
          <w:color w:val="000000" w:themeColor="text1"/>
        </w:rPr>
        <w:t>e</w:t>
      </w:r>
      <w:r w:rsidR="005334F1">
        <w:rPr>
          <w:rFonts w:ascii="Times New Roman" w:hAnsi="Times New Roman" w:cs="Times New Roman"/>
          <w:bCs/>
          <w:color w:val="000000" w:themeColor="text1"/>
        </w:rPr>
        <w:t>ducation community.</w:t>
      </w:r>
    </w:p>
    <w:p w14:paraId="5ADCC7F0" w14:textId="03A6FD00" w:rsidR="009D0004" w:rsidRDefault="009D0004" w:rsidP="00BA3478">
      <w:pPr>
        <w:spacing w:line="480" w:lineRule="auto"/>
        <w:rPr>
          <w:rFonts w:ascii="Times New Roman" w:hAnsi="Times New Roman" w:cs="Times New Roman"/>
          <w:bCs/>
          <w:color w:val="000000" w:themeColor="text1"/>
        </w:rPr>
      </w:pPr>
      <w:r>
        <w:rPr>
          <w:rFonts w:ascii="Times New Roman" w:hAnsi="Times New Roman" w:cs="Times New Roman"/>
          <w:bCs/>
          <w:color w:val="000000" w:themeColor="text1"/>
        </w:rPr>
        <w:tab/>
        <w:t xml:space="preserve">Secondly, most all research studies continued to discuss that communication between all stakeholders in the community maintains a healthy partnership. Johnson et al. (2016) states that a direct line of communication allows teachers and researchers, as an example, to discuss any tensions they feel even early on in the partnership, allowing them to listen to each other, develop trust, and modify any actions or goals as necessary. Shroyer, </w:t>
      </w:r>
      <w:proofErr w:type="spellStart"/>
      <w:r>
        <w:rPr>
          <w:rFonts w:ascii="Times New Roman" w:hAnsi="Times New Roman" w:cs="Times New Roman"/>
          <w:bCs/>
          <w:color w:val="000000" w:themeColor="text1"/>
        </w:rPr>
        <w:t>Yahnke</w:t>
      </w:r>
      <w:proofErr w:type="spellEnd"/>
      <w:r>
        <w:rPr>
          <w:rFonts w:ascii="Times New Roman" w:hAnsi="Times New Roman" w:cs="Times New Roman"/>
          <w:bCs/>
          <w:color w:val="000000" w:themeColor="text1"/>
        </w:rPr>
        <w:t xml:space="preserve">, and Heller (2007) and </w:t>
      </w:r>
      <w:proofErr w:type="spellStart"/>
      <w:r>
        <w:rPr>
          <w:rFonts w:ascii="Times New Roman" w:hAnsi="Times New Roman" w:cs="Times New Roman"/>
          <w:bCs/>
          <w:color w:val="000000" w:themeColor="text1"/>
        </w:rPr>
        <w:t>Sondergeld</w:t>
      </w:r>
      <w:proofErr w:type="spellEnd"/>
      <w:r>
        <w:rPr>
          <w:rFonts w:ascii="Times New Roman" w:hAnsi="Times New Roman" w:cs="Times New Roman"/>
          <w:bCs/>
          <w:color w:val="000000" w:themeColor="text1"/>
        </w:rPr>
        <w:t xml:space="preserve"> and </w:t>
      </w:r>
      <w:proofErr w:type="spellStart"/>
      <w:r>
        <w:rPr>
          <w:rFonts w:ascii="Times New Roman" w:hAnsi="Times New Roman" w:cs="Times New Roman"/>
          <w:bCs/>
          <w:color w:val="000000" w:themeColor="text1"/>
        </w:rPr>
        <w:t>Walten</w:t>
      </w:r>
      <w:proofErr w:type="spellEnd"/>
      <w:r>
        <w:rPr>
          <w:rFonts w:ascii="Times New Roman" w:hAnsi="Times New Roman" w:cs="Times New Roman"/>
          <w:bCs/>
          <w:color w:val="000000" w:themeColor="text1"/>
        </w:rPr>
        <w:t xml:space="preserve"> (2016) both emphasize that collaboration will open up new connections to other possible stakeholders, including businesses and other real-world applications of mathematics in the education learning community. Finally, Wang &amp; </w:t>
      </w:r>
      <w:proofErr w:type="spellStart"/>
      <w:r>
        <w:rPr>
          <w:rFonts w:ascii="Times New Roman" w:hAnsi="Times New Roman" w:cs="Times New Roman"/>
          <w:bCs/>
          <w:color w:val="000000" w:themeColor="text1"/>
        </w:rPr>
        <w:t>Apraix</w:t>
      </w:r>
      <w:proofErr w:type="spellEnd"/>
      <w:r>
        <w:rPr>
          <w:rFonts w:ascii="Times New Roman" w:hAnsi="Times New Roman" w:cs="Times New Roman"/>
          <w:bCs/>
          <w:color w:val="000000" w:themeColor="text1"/>
        </w:rPr>
        <w:t xml:space="preserve"> (2108) recognize </w:t>
      </w:r>
      <w:r>
        <w:rPr>
          <w:rFonts w:ascii="Times New Roman" w:hAnsi="Times New Roman" w:cs="Times New Roman"/>
          <w:bCs/>
          <w:color w:val="000000" w:themeColor="text1"/>
        </w:rPr>
        <w:lastRenderedPageBreak/>
        <w:t xml:space="preserve">that </w:t>
      </w:r>
      <w:r w:rsidR="004C6F3A">
        <w:rPr>
          <w:rFonts w:ascii="Times New Roman" w:hAnsi="Times New Roman" w:cs="Times New Roman"/>
          <w:bCs/>
          <w:color w:val="000000" w:themeColor="text1"/>
        </w:rPr>
        <w:t>communication builds relationships for pre-service teachers to all stakeholders, not just their students. Further, this same ability to communicate encourages collaboration and communication among all stakeholders in the mathematics education community, not just the pre-service teachers. Overall, maintaining open communication that fosters trust and understanding among all stakeholders will benefit successful partnerships.</w:t>
      </w:r>
    </w:p>
    <w:p w14:paraId="3844ACBC" w14:textId="3236071D" w:rsidR="004C6F3A" w:rsidRPr="00CD2E69" w:rsidRDefault="004C6F3A" w:rsidP="00BA3478">
      <w:pPr>
        <w:spacing w:line="480" w:lineRule="auto"/>
        <w:rPr>
          <w:rFonts w:ascii="Times New Roman" w:hAnsi="Times New Roman" w:cs="Times New Roman"/>
          <w:bCs/>
          <w:color w:val="000000" w:themeColor="text1"/>
        </w:rPr>
      </w:pPr>
      <w:r>
        <w:rPr>
          <w:rFonts w:ascii="Times New Roman" w:hAnsi="Times New Roman" w:cs="Times New Roman"/>
          <w:bCs/>
          <w:color w:val="000000" w:themeColor="text1"/>
        </w:rPr>
        <w:tab/>
        <w:t xml:space="preserve">Finally, </w:t>
      </w:r>
      <w:r w:rsidR="00087F5C">
        <w:rPr>
          <w:rFonts w:ascii="Times New Roman" w:hAnsi="Times New Roman" w:cs="Times New Roman"/>
          <w:bCs/>
          <w:color w:val="000000" w:themeColor="text1"/>
        </w:rPr>
        <w:t xml:space="preserve">past research studies have recommended the need for teachers and pre-service teachers to be prepared to approach mathematics education with a community engagement lens. Building a Math Village (2013) posed questions about how best to support partnerships between schools and communities, which will foster student appreciation and application of mathematics beyond the school walls. </w:t>
      </w:r>
      <w:proofErr w:type="spellStart"/>
      <w:r w:rsidR="00087F5C">
        <w:rPr>
          <w:rFonts w:ascii="Times New Roman" w:hAnsi="Times New Roman" w:cs="Times New Roman"/>
          <w:bCs/>
          <w:color w:val="000000" w:themeColor="text1"/>
        </w:rPr>
        <w:t>Sondergeld</w:t>
      </w:r>
      <w:proofErr w:type="spellEnd"/>
      <w:r w:rsidR="00087F5C">
        <w:rPr>
          <w:rFonts w:ascii="Times New Roman" w:hAnsi="Times New Roman" w:cs="Times New Roman"/>
          <w:bCs/>
          <w:color w:val="000000" w:themeColor="text1"/>
        </w:rPr>
        <w:t xml:space="preserve"> and </w:t>
      </w:r>
      <w:proofErr w:type="spellStart"/>
      <w:r w:rsidR="00087F5C">
        <w:rPr>
          <w:rFonts w:ascii="Times New Roman" w:hAnsi="Times New Roman" w:cs="Times New Roman"/>
          <w:bCs/>
          <w:color w:val="000000" w:themeColor="text1"/>
        </w:rPr>
        <w:t>Walten</w:t>
      </w:r>
      <w:proofErr w:type="spellEnd"/>
      <w:r w:rsidR="00087F5C">
        <w:rPr>
          <w:rFonts w:ascii="Times New Roman" w:hAnsi="Times New Roman" w:cs="Times New Roman"/>
          <w:bCs/>
          <w:color w:val="000000" w:themeColor="text1"/>
        </w:rPr>
        <w:t xml:space="preserve"> (2016) believe that recognition of community engagement will give teachers and pre-service teachers more resources for 21</w:t>
      </w:r>
      <w:r w:rsidR="00087F5C" w:rsidRPr="00087F5C">
        <w:rPr>
          <w:rFonts w:ascii="Times New Roman" w:hAnsi="Times New Roman" w:cs="Times New Roman"/>
          <w:bCs/>
          <w:color w:val="000000" w:themeColor="text1"/>
          <w:vertAlign w:val="superscript"/>
        </w:rPr>
        <w:t>st</w:t>
      </w:r>
      <w:r w:rsidR="00087F5C">
        <w:rPr>
          <w:rFonts w:ascii="Times New Roman" w:hAnsi="Times New Roman" w:cs="Times New Roman"/>
          <w:bCs/>
          <w:color w:val="000000" w:themeColor="text1"/>
        </w:rPr>
        <w:t xml:space="preserve"> century learning and mathematics, as they can utilize businesses, colleges, and other community members to see practical applications and value in mathematics education through STEM career and opportunities in society today.</w:t>
      </w:r>
      <w:r w:rsidR="004453AF">
        <w:rPr>
          <w:rFonts w:ascii="Times New Roman" w:hAnsi="Times New Roman" w:cs="Times New Roman"/>
          <w:bCs/>
          <w:color w:val="000000" w:themeColor="text1"/>
        </w:rPr>
        <w:t xml:space="preserve"> These examples of valuing the community and engaging pre-service and in-service teachers in community engagement open up the minds of these stakeholders to partner with other stakeholders for a successful relationship within the mathematics education community.</w:t>
      </w:r>
    </w:p>
    <w:p w14:paraId="7AE86A1E" w14:textId="77777777" w:rsidR="005A0354" w:rsidRPr="00C25F72" w:rsidRDefault="005A0354" w:rsidP="005A0354">
      <w:pPr>
        <w:spacing w:line="480" w:lineRule="auto"/>
        <w:jc w:val="center"/>
        <w:rPr>
          <w:rFonts w:ascii="Times New Roman" w:hAnsi="Times New Roman" w:cs="Times New Roman"/>
          <w:b/>
          <w:color w:val="000000" w:themeColor="text1"/>
        </w:rPr>
      </w:pPr>
      <w:r w:rsidRPr="00C25F72">
        <w:rPr>
          <w:rFonts w:ascii="Times New Roman" w:hAnsi="Times New Roman" w:cs="Times New Roman"/>
          <w:b/>
          <w:color w:val="000000" w:themeColor="text1"/>
        </w:rPr>
        <w:t>Conclusion</w:t>
      </w:r>
    </w:p>
    <w:p w14:paraId="29F3DEDC" w14:textId="6BE17235" w:rsidR="00F9052D" w:rsidRPr="00C25F72" w:rsidRDefault="005A0354" w:rsidP="005A0354">
      <w:pPr>
        <w:spacing w:line="480" w:lineRule="auto"/>
        <w:rPr>
          <w:rFonts w:ascii="Times New Roman" w:hAnsi="Times New Roman" w:cs="Times New Roman"/>
          <w:color w:val="000000" w:themeColor="text1"/>
        </w:rPr>
      </w:pPr>
      <w:r w:rsidRPr="00C25F72">
        <w:rPr>
          <w:rFonts w:ascii="Times New Roman" w:hAnsi="Times New Roman" w:cs="Times New Roman"/>
          <w:color w:val="000000" w:themeColor="text1"/>
        </w:rPr>
        <w:tab/>
        <w:t xml:space="preserve">This </w:t>
      </w:r>
      <w:r w:rsidR="004453AF">
        <w:rPr>
          <w:rFonts w:ascii="Times New Roman" w:hAnsi="Times New Roman" w:cs="Times New Roman"/>
          <w:color w:val="000000" w:themeColor="text1"/>
        </w:rPr>
        <w:t xml:space="preserve">review of the literature provided a purpose for uncovering effective strategies to maintaining successful partnerships between different stakeholders in K-16 mathematics education communities. By delineating specific findings and successful stories of past research studies, one can better understand the roles and goals of different stakeholders and how to structure them so that stakeholders can communicate and work with one another for a successful </w:t>
      </w:r>
      <w:r w:rsidR="004453AF">
        <w:rPr>
          <w:rFonts w:ascii="Times New Roman" w:hAnsi="Times New Roman" w:cs="Times New Roman"/>
          <w:color w:val="000000" w:themeColor="text1"/>
        </w:rPr>
        <w:lastRenderedPageBreak/>
        <w:t>partnership that promotes the overall goal of advanced mathematics education for their K-16 students. Practical applications, implications for different stakeholders, and recommendations for future studies and future mathematics education learning communities help guide successful research and practice for practitioners in K-16 mathematics classrooms. By reviewing the literature and recognizing successes and areas of improvement for effective K-16 mathematics education partnerships among stakeholders, the mathematics education community can move forward with innovative studies and practices to continue positively impacting their mathematics students.</w:t>
      </w:r>
    </w:p>
    <w:p w14:paraId="30769682" w14:textId="77777777" w:rsidR="005A0354" w:rsidRPr="00C25F72" w:rsidRDefault="005A0354">
      <w:pPr>
        <w:rPr>
          <w:rFonts w:ascii="Times New Roman" w:eastAsia="Times New Roman" w:hAnsi="Times New Roman" w:cs="Times New Roman"/>
          <w:color w:val="000000" w:themeColor="text1"/>
        </w:rPr>
      </w:pPr>
      <w:r w:rsidRPr="00C25F72">
        <w:rPr>
          <w:rFonts w:ascii="Times New Roman" w:eastAsia="Times New Roman" w:hAnsi="Times New Roman" w:cs="Times New Roman"/>
          <w:color w:val="000000" w:themeColor="text1"/>
        </w:rPr>
        <w:br w:type="page"/>
      </w:r>
    </w:p>
    <w:p w14:paraId="2C65DEF9" w14:textId="77777777" w:rsidR="00844552" w:rsidRPr="00C25F72" w:rsidRDefault="00844552" w:rsidP="00844552">
      <w:pPr>
        <w:spacing w:line="480" w:lineRule="auto"/>
        <w:jc w:val="center"/>
        <w:rPr>
          <w:rFonts w:ascii="Times New Roman" w:eastAsia="Times New Roman" w:hAnsi="Times New Roman" w:cs="Times New Roman"/>
          <w:color w:val="000000" w:themeColor="text1"/>
        </w:rPr>
      </w:pPr>
      <w:r w:rsidRPr="00C25F72">
        <w:rPr>
          <w:rFonts w:ascii="Times New Roman" w:eastAsia="Times New Roman" w:hAnsi="Times New Roman" w:cs="Times New Roman"/>
          <w:color w:val="000000" w:themeColor="text1"/>
        </w:rPr>
        <w:lastRenderedPageBreak/>
        <w:t>References</w:t>
      </w:r>
    </w:p>
    <w:p w14:paraId="2E73E05D" w14:textId="57FD4183" w:rsidR="0076302A" w:rsidRPr="00F16D2A" w:rsidRDefault="00F16D2A" w:rsidP="00F16D2A">
      <w:pPr>
        <w:spacing w:line="480" w:lineRule="auto"/>
        <w:ind w:left="720" w:hanging="720"/>
        <w:rPr>
          <w:rFonts w:ascii="Times New Roman" w:hAnsi="Times New Roman" w:cs="Times New Roman"/>
        </w:rPr>
      </w:pPr>
      <w:r>
        <w:rPr>
          <w:rFonts w:ascii="Times New Roman" w:hAnsi="Times New Roman" w:cs="Times New Roman"/>
        </w:rPr>
        <w:t>Bay-Williams, J., Scott, M., &amp; Hancock, M.</w:t>
      </w:r>
      <w:r w:rsidR="0076302A" w:rsidRPr="0076302A">
        <w:rPr>
          <w:rFonts w:ascii="Times New Roman" w:hAnsi="Times New Roman" w:cs="Times New Roman"/>
        </w:rPr>
        <w:t xml:space="preserve"> (</w:t>
      </w:r>
      <w:r>
        <w:rPr>
          <w:rFonts w:ascii="Times New Roman" w:hAnsi="Times New Roman" w:cs="Times New Roman"/>
        </w:rPr>
        <w:t>2007</w:t>
      </w:r>
      <w:r w:rsidR="0076302A" w:rsidRPr="0076302A">
        <w:rPr>
          <w:rFonts w:ascii="Times New Roman" w:hAnsi="Times New Roman" w:cs="Times New Roman"/>
        </w:rPr>
        <w:t xml:space="preserve">). </w:t>
      </w:r>
      <w:r>
        <w:rPr>
          <w:rFonts w:ascii="Times New Roman" w:hAnsi="Times New Roman" w:cs="Times New Roman"/>
        </w:rPr>
        <w:t xml:space="preserve">Case of the mathematics team: Implementing a team model for simultaneous renewal. </w:t>
      </w:r>
      <w:r>
        <w:rPr>
          <w:rFonts w:ascii="Times New Roman" w:hAnsi="Times New Roman" w:cs="Times New Roman"/>
          <w:i/>
          <w:iCs/>
        </w:rPr>
        <w:t>The Journal of Educational Research, 100</w:t>
      </w:r>
      <w:r>
        <w:rPr>
          <w:rFonts w:ascii="Times New Roman" w:hAnsi="Times New Roman" w:cs="Times New Roman"/>
        </w:rPr>
        <w:t xml:space="preserve">(4), 243-253. Retrieved from </w:t>
      </w:r>
      <w:r w:rsidRPr="00F16D2A">
        <w:rPr>
          <w:rFonts w:ascii="Times New Roman" w:hAnsi="Times New Roman" w:cs="Times New Roman"/>
        </w:rPr>
        <w:t>https://www.jstor.org/stable/27548186</w:t>
      </w:r>
    </w:p>
    <w:p w14:paraId="590D1BF7" w14:textId="7D9EB92D" w:rsidR="00E34982" w:rsidRDefault="00F16D2A" w:rsidP="009E50EA">
      <w:pPr>
        <w:spacing w:line="480" w:lineRule="auto"/>
        <w:ind w:left="720" w:hanging="720"/>
        <w:rPr>
          <w:rFonts w:ascii="Times New Roman" w:hAnsi="Times New Roman" w:cs="Times New Roman"/>
          <w:color w:val="000000" w:themeColor="text1"/>
        </w:rPr>
      </w:pPr>
      <w:r w:rsidRPr="00F16D2A">
        <w:rPr>
          <w:rFonts w:ascii="Times New Roman" w:hAnsi="Times New Roman" w:cs="Times New Roman"/>
          <w:color w:val="000000" w:themeColor="text1"/>
        </w:rPr>
        <w:t xml:space="preserve">Building a </w:t>
      </w:r>
      <w:r>
        <w:rPr>
          <w:rFonts w:ascii="Times New Roman" w:hAnsi="Times New Roman" w:cs="Times New Roman"/>
          <w:color w:val="000000" w:themeColor="text1"/>
        </w:rPr>
        <w:t>m</w:t>
      </w:r>
      <w:r w:rsidRPr="00F16D2A">
        <w:rPr>
          <w:rFonts w:ascii="Times New Roman" w:hAnsi="Times New Roman" w:cs="Times New Roman"/>
          <w:color w:val="000000" w:themeColor="text1"/>
        </w:rPr>
        <w:t xml:space="preserve">ath </w:t>
      </w:r>
      <w:r>
        <w:rPr>
          <w:rFonts w:ascii="Times New Roman" w:hAnsi="Times New Roman" w:cs="Times New Roman"/>
          <w:color w:val="000000" w:themeColor="text1"/>
        </w:rPr>
        <w:t>v</w:t>
      </w:r>
      <w:r w:rsidRPr="00F16D2A">
        <w:rPr>
          <w:rFonts w:ascii="Times New Roman" w:hAnsi="Times New Roman" w:cs="Times New Roman"/>
          <w:color w:val="000000" w:themeColor="text1"/>
        </w:rPr>
        <w:t xml:space="preserve">illage: Developing </w:t>
      </w:r>
      <w:r>
        <w:rPr>
          <w:rFonts w:ascii="Times New Roman" w:hAnsi="Times New Roman" w:cs="Times New Roman"/>
          <w:color w:val="000000" w:themeColor="text1"/>
        </w:rPr>
        <w:t>p</w:t>
      </w:r>
      <w:r w:rsidRPr="00F16D2A">
        <w:rPr>
          <w:rFonts w:ascii="Times New Roman" w:hAnsi="Times New Roman" w:cs="Times New Roman"/>
          <w:color w:val="000000" w:themeColor="text1"/>
        </w:rPr>
        <w:t xml:space="preserve">artnerships among </w:t>
      </w:r>
      <w:r>
        <w:rPr>
          <w:rFonts w:ascii="Times New Roman" w:hAnsi="Times New Roman" w:cs="Times New Roman"/>
          <w:color w:val="000000" w:themeColor="text1"/>
        </w:rPr>
        <w:t>s</w:t>
      </w:r>
      <w:r w:rsidRPr="00F16D2A">
        <w:rPr>
          <w:rFonts w:ascii="Times New Roman" w:hAnsi="Times New Roman" w:cs="Times New Roman"/>
          <w:color w:val="000000" w:themeColor="text1"/>
        </w:rPr>
        <w:t xml:space="preserve">chool, </w:t>
      </w:r>
      <w:r>
        <w:rPr>
          <w:rFonts w:ascii="Times New Roman" w:hAnsi="Times New Roman" w:cs="Times New Roman"/>
          <w:color w:val="000000" w:themeColor="text1"/>
        </w:rPr>
        <w:t>ho</w:t>
      </w:r>
      <w:r w:rsidRPr="00F16D2A">
        <w:rPr>
          <w:rFonts w:ascii="Times New Roman" w:hAnsi="Times New Roman" w:cs="Times New Roman"/>
          <w:color w:val="000000" w:themeColor="text1"/>
        </w:rPr>
        <w:t xml:space="preserve">me, and </w:t>
      </w:r>
      <w:r>
        <w:rPr>
          <w:rFonts w:ascii="Times New Roman" w:hAnsi="Times New Roman" w:cs="Times New Roman"/>
          <w:color w:val="000000" w:themeColor="text1"/>
        </w:rPr>
        <w:t>c</w:t>
      </w:r>
      <w:r w:rsidRPr="00F16D2A">
        <w:rPr>
          <w:rFonts w:ascii="Times New Roman" w:hAnsi="Times New Roman" w:cs="Times New Roman"/>
          <w:color w:val="000000" w:themeColor="text1"/>
        </w:rPr>
        <w:t>ommunity</w:t>
      </w:r>
      <w:r>
        <w:rPr>
          <w:rFonts w:ascii="Times New Roman" w:hAnsi="Times New Roman" w:cs="Times New Roman"/>
          <w:color w:val="000000" w:themeColor="text1"/>
        </w:rPr>
        <w:t xml:space="preserve"> (2013). </w:t>
      </w:r>
      <w:r>
        <w:rPr>
          <w:rFonts w:ascii="Times New Roman" w:hAnsi="Times New Roman" w:cs="Times New Roman"/>
          <w:i/>
          <w:iCs/>
          <w:color w:val="000000" w:themeColor="text1"/>
        </w:rPr>
        <w:t>National Council of Teachers of Mathematics, 19</w:t>
      </w:r>
      <w:r>
        <w:rPr>
          <w:rFonts w:ascii="Times New Roman" w:hAnsi="Times New Roman" w:cs="Times New Roman"/>
          <w:color w:val="000000" w:themeColor="text1"/>
        </w:rPr>
        <w:t xml:space="preserve">(9), 591. Retrieved from </w:t>
      </w:r>
      <w:r w:rsidRPr="00F16D2A">
        <w:rPr>
          <w:rFonts w:ascii="Times New Roman" w:hAnsi="Times New Roman" w:cs="Times New Roman"/>
          <w:color w:val="000000" w:themeColor="text1"/>
        </w:rPr>
        <w:t>https://www.jstor.org/stable/10.5951/teacchilmath.19.9.059</w:t>
      </w:r>
      <w:r>
        <w:rPr>
          <w:rFonts w:ascii="Times New Roman" w:hAnsi="Times New Roman" w:cs="Times New Roman"/>
          <w:color w:val="000000" w:themeColor="text1"/>
        </w:rPr>
        <w:t>1</w:t>
      </w:r>
    </w:p>
    <w:p w14:paraId="4D32F9EB" w14:textId="175EA473" w:rsidR="00F16D2A" w:rsidRDefault="00F16D2A" w:rsidP="009E50EA">
      <w:pPr>
        <w:spacing w:line="480" w:lineRule="auto"/>
        <w:ind w:left="720" w:hanging="720"/>
        <w:rPr>
          <w:rFonts w:ascii="Times New Roman" w:hAnsi="Times New Roman" w:cs="Times New Roman"/>
          <w:color w:val="000000" w:themeColor="text1"/>
        </w:rPr>
      </w:pPr>
      <w:r>
        <w:rPr>
          <w:rFonts w:ascii="Times New Roman" w:hAnsi="Times New Roman" w:cs="Times New Roman"/>
          <w:color w:val="000000" w:themeColor="text1"/>
        </w:rPr>
        <w:t xml:space="preserve">Bush, S. (2019). Catalyzing change in high school mathematics: Our role in the middle. </w:t>
      </w:r>
      <w:r w:rsidR="002C5C29">
        <w:rPr>
          <w:rFonts w:ascii="Times New Roman" w:hAnsi="Times New Roman" w:cs="Times New Roman"/>
          <w:i/>
          <w:iCs/>
          <w:color w:val="000000" w:themeColor="text1"/>
        </w:rPr>
        <w:t>Mathematics Teaching in the Middle School, 24</w:t>
      </w:r>
      <w:r w:rsidR="002C5C29">
        <w:rPr>
          <w:rFonts w:ascii="Times New Roman" w:hAnsi="Times New Roman" w:cs="Times New Roman"/>
          <w:color w:val="000000" w:themeColor="text1"/>
        </w:rPr>
        <w:t xml:space="preserve">(5), 290-294. Retrieved from </w:t>
      </w:r>
      <w:r w:rsidR="002C5C29" w:rsidRPr="002C5C29">
        <w:rPr>
          <w:rFonts w:ascii="Times New Roman" w:hAnsi="Times New Roman" w:cs="Times New Roman"/>
          <w:color w:val="000000" w:themeColor="text1"/>
        </w:rPr>
        <w:t>https://www.jstor.org/stable/10.5951/mathteacmiddscho.24.5.0290</w:t>
      </w:r>
    </w:p>
    <w:p w14:paraId="7EBC4E2D" w14:textId="40974AF2" w:rsidR="00B7399B" w:rsidRPr="00B7399B" w:rsidRDefault="00B7399B" w:rsidP="009E50EA">
      <w:pPr>
        <w:spacing w:line="480" w:lineRule="auto"/>
        <w:ind w:left="720" w:hanging="720"/>
        <w:rPr>
          <w:rFonts w:ascii="Times New Roman" w:hAnsi="Times New Roman" w:cs="Times New Roman"/>
          <w:color w:val="000000" w:themeColor="text1"/>
        </w:rPr>
      </w:pPr>
      <w:r>
        <w:rPr>
          <w:rFonts w:ascii="Times New Roman" w:hAnsi="Times New Roman" w:cs="Times New Roman"/>
          <w:color w:val="000000" w:themeColor="text1"/>
        </w:rPr>
        <w:t xml:space="preserve">Bush, S., </w:t>
      </w:r>
      <w:proofErr w:type="spellStart"/>
      <w:r>
        <w:rPr>
          <w:rFonts w:ascii="Times New Roman" w:hAnsi="Times New Roman" w:cs="Times New Roman"/>
          <w:color w:val="000000" w:themeColor="text1"/>
        </w:rPr>
        <w:t>Sarp</w:t>
      </w:r>
      <w:proofErr w:type="spellEnd"/>
      <w:r>
        <w:rPr>
          <w:rFonts w:ascii="Times New Roman" w:hAnsi="Times New Roman" w:cs="Times New Roman"/>
          <w:color w:val="000000" w:themeColor="text1"/>
        </w:rPr>
        <w:t xml:space="preserve">, K., Lentz, T., &amp; Nadler, J. (2014). Community partnerships: Pathways to meaningful mathematics. </w:t>
      </w:r>
      <w:r>
        <w:rPr>
          <w:rFonts w:ascii="Times New Roman" w:hAnsi="Times New Roman" w:cs="Times New Roman"/>
          <w:i/>
          <w:iCs/>
          <w:color w:val="000000" w:themeColor="text1"/>
        </w:rPr>
        <w:t>Teaching Children Mathematics, 21</w:t>
      </w:r>
      <w:r>
        <w:rPr>
          <w:rFonts w:ascii="Times New Roman" w:hAnsi="Times New Roman" w:cs="Times New Roman"/>
          <w:color w:val="000000" w:themeColor="text1"/>
        </w:rPr>
        <w:t xml:space="preserve">(3), 170-176. Retrieved from </w:t>
      </w:r>
      <w:r w:rsidRPr="00B7399B">
        <w:rPr>
          <w:rFonts w:ascii="Times New Roman" w:hAnsi="Times New Roman" w:cs="Times New Roman"/>
          <w:color w:val="000000" w:themeColor="text1"/>
        </w:rPr>
        <w:t>https://www.jstor.org/stable/10.5951/teacchilmath.21.3.0170</w:t>
      </w:r>
    </w:p>
    <w:p w14:paraId="24D782F5" w14:textId="3218DBFD" w:rsidR="002C5C29" w:rsidRDefault="002C5C29" w:rsidP="009E50EA">
      <w:pPr>
        <w:spacing w:line="480" w:lineRule="auto"/>
        <w:ind w:left="720" w:hanging="720"/>
        <w:rPr>
          <w:rFonts w:ascii="Times New Roman" w:hAnsi="Times New Roman" w:cs="Times New Roman"/>
          <w:color w:val="000000" w:themeColor="text1"/>
        </w:rPr>
      </w:pPr>
      <w:r>
        <w:rPr>
          <w:rFonts w:ascii="Times New Roman" w:hAnsi="Times New Roman" w:cs="Times New Roman"/>
          <w:color w:val="000000" w:themeColor="text1"/>
        </w:rPr>
        <w:t xml:space="preserve">Cai, J., Morris, A., </w:t>
      </w:r>
      <w:proofErr w:type="spellStart"/>
      <w:r>
        <w:rPr>
          <w:rFonts w:ascii="Times New Roman" w:hAnsi="Times New Roman" w:cs="Times New Roman"/>
          <w:color w:val="000000" w:themeColor="text1"/>
        </w:rPr>
        <w:t>Hohensee</w:t>
      </w:r>
      <w:proofErr w:type="spellEnd"/>
      <w:r>
        <w:rPr>
          <w:rFonts w:ascii="Times New Roman" w:hAnsi="Times New Roman" w:cs="Times New Roman"/>
          <w:color w:val="000000" w:themeColor="text1"/>
        </w:rPr>
        <w:t xml:space="preserve">, C., Hwang, S., Robison, V., &amp; Hiebert, J. (2017). </w:t>
      </w:r>
      <w:r w:rsidRPr="002C5C29">
        <w:rPr>
          <w:rFonts w:ascii="Times New Roman" w:hAnsi="Times New Roman" w:cs="Times New Roman"/>
          <w:color w:val="000000" w:themeColor="text1"/>
        </w:rPr>
        <w:t xml:space="preserve">A </w:t>
      </w:r>
      <w:r>
        <w:rPr>
          <w:rFonts w:ascii="Times New Roman" w:hAnsi="Times New Roman" w:cs="Times New Roman"/>
          <w:color w:val="000000" w:themeColor="text1"/>
        </w:rPr>
        <w:t>f</w:t>
      </w:r>
      <w:r w:rsidRPr="002C5C29">
        <w:rPr>
          <w:rFonts w:ascii="Times New Roman" w:hAnsi="Times New Roman" w:cs="Times New Roman"/>
          <w:color w:val="000000" w:themeColor="text1"/>
        </w:rPr>
        <w:t xml:space="preserve">uture </w:t>
      </w:r>
      <w:r>
        <w:rPr>
          <w:rFonts w:ascii="Times New Roman" w:hAnsi="Times New Roman" w:cs="Times New Roman"/>
          <w:color w:val="000000" w:themeColor="text1"/>
        </w:rPr>
        <w:t>v</w:t>
      </w:r>
      <w:r w:rsidRPr="002C5C29">
        <w:rPr>
          <w:rFonts w:ascii="Times New Roman" w:hAnsi="Times New Roman" w:cs="Times New Roman"/>
          <w:color w:val="000000" w:themeColor="text1"/>
        </w:rPr>
        <w:t>ision of</w:t>
      </w:r>
      <w:r>
        <w:rPr>
          <w:rFonts w:ascii="Times New Roman" w:hAnsi="Times New Roman" w:cs="Times New Roman"/>
          <w:color w:val="000000" w:themeColor="text1"/>
        </w:rPr>
        <w:t xml:space="preserve"> m</w:t>
      </w:r>
      <w:r w:rsidRPr="002C5C29">
        <w:rPr>
          <w:rFonts w:ascii="Times New Roman" w:hAnsi="Times New Roman" w:cs="Times New Roman"/>
          <w:color w:val="000000" w:themeColor="text1"/>
        </w:rPr>
        <w:t xml:space="preserve">athematics </w:t>
      </w:r>
      <w:r>
        <w:rPr>
          <w:rFonts w:ascii="Times New Roman" w:hAnsi="Times New Roman" w:cs="Times New Roman"/>
          <w:color w:val="000000" w:themeColor="text1"/>
        </w:rPr>
        <w:t>e</w:t>
      </w:r>
      <w:r w:rsidRPr="002C5C29">
        <w:rPr>
          <w:rFonts w:ascii="Times New Roman" w:hAnsi="Times New Roman" w:cs="Times New Roman"/>
          <w:color w:val="000000" w:themeColor="text1"/>
        </w:rPr>
        <w:t xml:space="preserve">ducation </w:t>
      </w:r>
      <w:r>
        <w:rPr>
          <w:rFonts w:ascii="Times New Roman" w:hAnsi="Times New Roman" w:cs="Times New Roman"/>
          <w:color w:val="000000" w:themeColor="text1"/>
        </w:rPr>
        <w:t>r</w:t>
      </w:r>
      <w:r w:rsidRPr="002C5C29">
        <w:rPr>
          <w:rFonts w:ascii="Times New Roman" w:hAnsi="Times New Roman" w:cs="Times New Roman"/>
          <w:color w:val="000000" w:themeColor="text1"/>
        </w:rPr>
        <w:t xml:space="preserve">esearch: Blurring the </w:t>
      </w:r>
      <w:r>
        <w:rPr>
          <w:rFonts w:ascii="Times New Roman" w:hAnsi="Times New Roman" w:cs="Times New Roman"/>
          <w:color w:val="000000" w:themeColor="text1"/>
        </w:rPr>
        <w:t>b</w:t>
      </w:r>
      <w:r w:rsidRPr="002C5C29">
        <w:rPr>
          <w:rFonts w:ascii="Times New Roman" w:hAnsi="Times New Roman" w:cs="Times New Roman"/>
          <w:color w:val="000000" w:themeColor="text1"/>
        </w:rPr>
        <w:t xml:space="preserve">oundaries of </w:t>
      </w:r>
      <w:r>
        <w:rPr>
          <w:rFonts w:ascii="Times New Roman" w:hAnsi="Times New Roman" w:cs="Times New Roman"/>
          <w:color w:val="000000" w:themeColor="text1"/>
        </w:rPr>
        <w:t>r</w:t>
      </w:r>
      <w:r w:rsidRPr="002C5C29">
        <w:rPr>
          <w:rFonts w:ascii="Times New Roman" w:hAnsi="Times New Roman" w:cs="Times New Roman"/>
          <w:color w:val="000000" w:themeColor="text1"/>
        </w:rPr>
        <w:t xml:space="preserve">esearch and </w:t>
      </w:r>
      <w:r>
        <w:rPr>
          <w:rFonts w:ascii="Times New Roman" w:hAnsi="Times New Roman" w:cs="Times New Roman"/>
          <w:color w:val="000000" w:themeColor="text1"/>
        </w:rPr>
        <w:t>p</w:t>
      </w:r>
      <w:r w:rsidRPr="002C5C29">
        <w:rPr>
          <w:rFonts w:ascii="Times New Roman" w:hAnsi="Times New Roman" w:cs="Times New Roman"/>
          <w:color w:val="000000" w:themeColor="text1"/>
        </w:rPr>
        <w:t xml:space="preserve">ractice to </w:t>
      </w:r>
      <w:r>
        <w:rPr>
          <w:rFonts w:ascii="Times New Roman" w:hAnsi="Times New Roman" w:cs="Times New Roman"/>
          <w:color w:val="000000" w:themeColor="text1"/>
        </w:rPr>
        <w:t>a</w:t>
      </w:r>
      <w:r w:rsidRPr="002C5C29">
        <w:rPr>
          <w:rFonts w:ascii="Times New Roman" w:hAnsi="Times New Roman" w:cs="Times New Roman"/>
          <w:color w:val="000000" w:themeColor="text1"/>
        </w:rPr>
        <w:t xml:space="preserve">ddress </w:t>
      </w:r>
      <w:r>
        <w:rPr>
          <w:rFonts w:ascii="Times New Roman" w:hAnsi="Times New Roman" w:cs="Times New Roman"/>
          <w:color w:val="000000" w:themeColor="text1"/>
        </w:rPr>
        <w:t>te</w:t>
      </w:r>
      <w:r w:rsidRPr="002C5C29">
        <w:rPr>
          <w:rFonts w:ascii="Times New Roman" w:hAnsi="Times New Roman" w:cs="Times New Roman"/>
          <w:color w:val="000000" w:themeColor="text1"/>
        </w:rPr>
        <w:t xml:space="preserve">achers' </w:t>
      </w:r>
      <w:r>
        <w:rPr>
          <w:rFonts w:ascii="Times New Roman" w:hAnsi="Times New Roman" w:cs="Times New Roman"/>
          <w:color w:val="000000" w:themeColor="text1"/>
        </w:rPr>
        <w:t>p</w:t>
      </w:r>
      <w:r w:rsidRPr="002C5C29">
        <w:rPr>
          <w:rFonts w:ascii="Times New Roman" w:hAnsi="Times New Roman" w:cs="Times New Roman"/>
          <w:color w:val="000000" w:themeColor="text1"/>
        </w:rPr>
        <w:t>roblems</w:t>
      </w:r>
      <w:r>
        <w:rPr>
          <w:rFonts w:ascii="Times New Roman" w:hAnsi="Times New Roman" w:cs="Times New Roman"/>
          <w:color w:val="000000" w:themeColor="text1"/>
        </w:rPr>
        <w:t xml:space="preserve">. </w:t>
      </w:r>
      <w:r>
        <w:rPr>
          <w:rFonts w:ascii="Times New Roman" w:hAnsi="Times New Roman" w:cs="Times New Roman"/>
          <w:i/>
          <w:iCs/>
          <w:color w:val="000000" w:themeColor="text1"/>
        </w:rPr>
        <w:t>Journal for Research in Mathematics Education, 48</w:t>
      </w:r>
      <w:r>
        <w:rPr>
          <w:rFonts w:ascii="Times New Roman" w:hAnsi="Times New Roman" w:cs="Times New Roman"/>
          <w:color w:val="000000" w:themeColor="text1"/>
        </w:rPr>
        <w:t>(5), 466-473. Retrieved from</w:t>
      </w:r>
      <w:r w:rsidRPr="002C5C29">
        <w:t xml:space="preserve"> </w:t>
      </w:r>
      <w:r w:rsidRPr="002C5C29">
        <w:rPr>
          <w:rFonts w:ascii="Times New Roman" w:hAnsi="Times New Roman" w:cs="Times New Roman"/>
          <w:color w:val="000000" w:themeColor="text1"/>
        </w:rPr>
        <w:t>https://www.jstor.org/stable/10.5951/jresematheduc.48.5.0466</w:t>
      </w:r>
    </w:p>
    <w:p w14:paraId="5CB5B6F1" w14:textId="24A63C9B" w:rsidR="002C5C29" w:rsidRDefault="002C5C29" w:rsidP="002C5C29">
      <w:pPr>
        <w:spacing w:line="480" w:lineRule="auto"/>
        <w:ind w:left="720" w:hanging="720"/>
        <w:rPr>
          <w:rFonts w:ascii="Times New Roman" w:hAnsi="Times New Roman" w:cs="Times New Roman"/>
          <w:color w:val="000000" w:themeColor="text1"/>
        </w:rPr>
      </w:pPr>
      <w:r>
        <w:rPr>
          <w:rFonts w:ascii="Times New Roman" w:hAnsi="Times New Roman" w:cs="Times New Roman"/>
          <w:color w:val="000000" w:themeColor="text1"/>
        </w:rPr>
        <w:t xml:space="preserve">Henrick, E., Muñoz, M., &amp; Cobb, P. (2016). A better research-practice partnership. </w:t>
      </w:r>
      <w:r>
        <w:rPr>
          <w:rFonts w:ascii="Times New Roman" w:hAnsi="Times New Roman" w:cs="Times New Roman"/>
          <w:i/>
          <w:iCs/>
          <w:color w:val="000000" w:themeColor="text1"/>
        </w:rPr>
        <w:t xml:space="preserve">The Phi Delta </w:t>
      </w:r>
      <w:proofErr w:type="spellStart"/>
      <w:r>
        <w:rPr>
          <w:rFonts w:ascii="Times New Roman" w:hAnsi="Times New Roman" w:cs="Times New Roman"/>
          <w:i/>
          <w:iCs/>
          <w:color w:val="000000" w:themeColor="text1"/>
        </w:rPr>
        <w:t>Kappan</w:t>
      </w:r>
      <w:proofErr w:type="spellEnd"/>
      <w:r>
        <w:rPr>
          <w:rFonts w:ascii="Times New Roman" w:hAnsi="Times New Roman" w:cs="Times New Roman"/>
          <w:i/>
          <w:iCs/>
          <w:color w:val="000000" w:themeColor="text1"/>
        </w:rPr>
        <w:t>, 98</w:t>
      </w:r>
      <w:r>
        <w:rPr>
          <w:rFonts w:ascii="Times New Roman" w:hAnsi="Times New Roman" w:cs="Times New Roman"/>
          <w:color w:val="000000" w:themeColor="text1"/>
        </w:rPr>
        <w:t xml:space="preserve">(3), 23-27. Retrieved from </w:t>
      </w:r>
      <w:r w:rsidRPr="002C5C29">
        <w:rPr>
          <w:rFonts w:ascii="Times New Roman" w:hAnsi="Times New Roman" w:cs="Times New Roman"/>
          <w:color w:val="000000" w:themeColor="text1"/>
        </w:rPr>
        <w:t>https://www.jstor.org/stable/24893574</w:t>
      </w:r>
    </w:p>
    <w:p w14:paraId="509FA87A" w14:textId="2D06FA43" w:rsidR="002C5C29" w:rsidRDefault="002C5C29" w:rsidP="002C5C29">
      <w:pPr>
        <w:spacing w:line="480" w:lineRule="auto"/>
        <w:ind w:left="720" w:hanging="720"/>
        <w:rPr>
          <w:rFonts w:ascii="Times New Roman" w:hAnsi="Times New Roman" w:cs="Times New Roman"/>
          <w:color w:val="000000" w:themeColor="text1"/>
        </w:rPr>
      </w:pPr>
      <w:r>
        <w:rPr>
          <w:rFonts w:ascii="Times New Roman" w:hAnsi="Times New Roman" w:cs="Times New Roman"/>
          <w:color w:val="000000" w:themeColor="text1"/>
        </w:rPr>
        <w:t xml:space="preserve">Horne, R. &amp; Makar, K. (2013). Building relationships between state stakeholders and researchers: People, persistence and passion. In </w:t>
      </w:r>
      <w:proofErr w:type="spellStart"/>
      <w:r>
        <w:rPr>
          <w:rFonts w:ascii="Times New Roman" w:hAnsi="Times New Roman" w:cs="Times New Roman"/>
          <w:color w:val="000000" w:themeColor="text1"/>
        </w:rPr>
        <w:t>Steinle</w:t>
      </w:r>
      <w:proofErr w:type="spellEnd"/>
      <w:r>
        <w:rPr>
          <w:rFonts w:ascii="Times New Roman" w:hAnsi="Times New Roman" w:cs="Times New Roman"/>
          <w:color w:val="000000" w:themeColor="text1"/>
        </w:rPr>
        <w:t xml:space="preserve">, V. &amp; </w:t>
      </w:r>
      <w:proofErr w:type="spellStart"/>
      <w:r>
        <w:rPr>
          <w:rFonts w:ascii="Times New Roman" w:hAnsi="Times New Roman" w:cs="Times New Roman"/>
          <w:color w:val="000000" w:themeColor="text1"/>
        </w:rPr>
        <w:t>Bardini</w:t>
      </w:r>
      <w:proofErr w:type="spellEnd"/>
      <w:r>
        <w:rPr>
          <w:rFonts w:ascii="Times New Roman" w:hAnsi="Times New Roman" w:cs="Times New Roman"/>
          <w:color w:val="000000" w:themeColor="text1"/>
        </w:rPr>
        <w:t xml:space="preserve">, C. (eds.) </w:t>
      </w:r>
      <w:r w:rsidRPr="00B503FE">
        <w:rPr>
          <w:rFonts w:ascii="Times New Roman" w:hAnsi="Times New Roman" w:cs="Times New Roman"/>
          <w:i/>
          <w:iCs/>
          <w:color w:val="000000" w:themeColor="text1"/>
        </w:rPr>
        <w:t>Mathematics education: Yesterday, today and tomorrow</w:t>
      </w:r>
      <w:r w:rsidR="00B503FE">
        <w:rPr>
          <w:rFonts w:ascii="Times New Roman" w:hAnsi="Times New Roman" w:cs="Times New Roman"/>
          <w:i/>
          <w:iCs/>
          <w:color w:val="000000" w:themeColor="text1"/>
        </w:rPr>
        <w:t xml:space="preserve"> (</w:t>
      </w:r>
      <w:r w:rsidRPr="00B503FE">
        <w:rPr>
          <w:rFonts w:ascii="Times New Roman" w:hAnsi="Times New Roman" w:cs="Times New Roman"/>
          <w:i/>
          <w:iCs/>
          <w:color w:val="000000" w:themeColor="text1"/>
        </w:rPr>
        <w:t>Proceedings</w:t>
      </w:r>
      <w:r>
        <w:rPr>
          <w:rFonts w:ascii="Times New Roman" w:hAnsi="Times New Roman" w:cs="Times New Roman"/>
          <w:i/>
          <w:iCs/>
          <w:color w:val="000000" w:themeColor="text1"/>
        </w:rPr>
        <w:t xml:space="preserve"> of the 36</w:t>
      </w:r>
      <w:r w:rsidRPr="002C5C29">
        <w:rPr>
          <w:rFonts w:ascii="Times New Roman" w:hAnsi="Times New Roman" w:cs="Times New Roman"/>
          <w:i/>
          <w:iCs/>
          <w:color w:val="000000" w:themeColor="text1"/>
          <w:vertAlign w:val="superscript"/>
        </w:rPr>
        <w:t>th</w:t>
      </w:r>
      <w:r>
        <w:rPr>
          <w:rFonts w:ascii="Times New Roman" w:hAnsi="Times New Roman" w:cs="Times New Roman"/>
          <w:i/>
          <w:iCs/>
          <w:color w:val="000000" w:themeColor="text1"/>
        </w:rPr>
        <w:t xml:space="preserve"> annual </w:t>
      </w:r>
      <w:r>
        <w:rPr>
          <w:rFonts w:ascii="Times New Roman" w:hAnsi="Times New Roman" w:cs="Times New Roman"/>
          <w:i/>
          <w:iCs/>
          <w:color w:val="000000" w:themeColor="text1"/>
        </w:rPr>
        <w:lastRenderedPageBreak/>
        <w:t>conference of the Mathematics Education Research Group of Australasia</w:t>
      </w:r>
      <w:r w:rsidR="00B503FE">
        <w:rPr>
          <w:rFonts w:ascii="Times New Roman" w:hAnsi="Times New Roman" w:cs="Times New Roman"/>
          <w:i/>
          <w:iCs/>
          <w:color w:val="000000" w:themeColor="text1"/>
        </w:rPr>
        <w:t>)</w:t>
      </w:r>
      <w:r w:rsidR="00B503FE">
        <w:rPr>
          <w:rFonts w:ascii="Times New Roman" w:hAnsi="Times New Roman" w:cs="Times New Roman"/>
          <w:color w:val="000000" w:themeColor="text1"/>
        </w:rPr>
        <w:t>. Melbourne, VIC: MERGA.</w:t>
      </w:r>
    </w:p>
    <w:p w14:paraId="7FBBA996" w14:textId="679D7084" w:rsidR="00AC0A9F" w:rsidRPr="00AC0A9F" w:rsidRDefault="00AC0A9F" w:rsidP="002C5C29">
      <w:pPr>
        <w:spacing w:line="480" w:lineRule="auto"/>
        <w:ind w:left="720" w:hanging="720"/>
        <w:rPr>
          <w:rFonts w:ascii="Times New Roman" w:hAnsi="Times New Roman" w:cs="Times New Roman"/>
          <w:color w:val="000000" w:themeColor="text1"/>
        </w:rPr>
      </w:pPr>
      <w:r>
        <w:rPr>
          <w:rFonts w:ascii="Times New Roman" w:hAnsi="Times New Roman" w:cs="Times New Roman"/>
          <w:color w:val="000000" w:themeColor="text1"/>
        </w:rPr>
        <w:t xml:space="preserve">Howell, P., Carpenter, J., &amp; Jones, J. (2013). School partnerships and clinical preparation at the middle level. </w:t>
      </w:r>
      <w:r>
        <w:rPr>
          <w:rFonts w:ascii="Times New Roman" w:hAnsi="Times New Roman" w:cs="Times New Roman"/>
          <w:i/>
          <w:iCs/>
          <w:color w:val="000000" w:themeColor="text1"/>
        </w:rPr>
        <w:t>Middle School Journal, 44</w:t>
      </w:r>
      <w:r>
        <w:rPr>
          <w:rFonts w:ascii="Times New Roman" w:hAnsi="Times New Roman" w:cs="Times New Roman"/>
          <w:color w:val="000000" w:themeColor="text1"/>
        </w:rPr>
        <w:t>(4), 40-49. Retrieved from</w:t>
      </w:r>
      <w:r w:rsidRPr="00AC0A9F">
        <w:rPr>
          <w:rFonts w:ascii="Times New Roman" w:hAnsi="Times New Roman" w:cs="Times New Roman"/>
          <w:color w:val="000000" w:themeColor="text1"/>
        </w:rPr>
        <w:t>https://www.jstor.org/stable/41982224</w:t>
      </w:r>
    </w:p>
    <w:p w14:paraId="36450A17" w14:textId="1C7FB2A8" w:rsidR="00F40178" w:rsidRDefault="00F40178" w:rsidP="00F40178">
      <w:pPr>
        <w:spacing w:line="480" w:lineRule="auto"/>
        <w:ind w:left="720" w:hanging="720"/>
        <w:rPr>
          <w:rFonts w:ascii="Times New Roman" w:hAnsi="Times New Roman" w:cs="Times New Roman"/>
          <w:color w:val="000000" w:themeColor="text1"/>
        </w:rPr>
      </w:pPr>
      <w:r w:rsidRPr="00F40178">
        <w:rPr>
          <w:rFonts w:ascii="Times New Roman" w:hAnsi="Times New Roman" w:cs="Times New Roman"/>
          <w:color w:val="000000" w:themeColor="text1"/>
        </w:rPr>
        <w:t xml:space="preserve">Jenkins, D., Brown, A. E., Fink, J., Lahr, H., &amp; </w:t>
      </w:r>
      <w:proofErr w:type="spellStart"/>
      <w:r w:rsidRPr="00F40178">
        <w:rPr>
          <w:rFonts w:ascii="Times New Roman" w:hAnsi="Times New Roman" w:cs="Times New Roman"/>
          <w:color w:val="000000" w:themeColor="text1"/>
        </w:rPr>
        <w:t>Yanagiura</w:t>
      </w:r>
      <w:proofErr w:type="spellEnd"/>
      <w:r w:rsidRPr="00F40178">
        <w:rPr>
          <w:rFonts w:ascii="Times New Roman" w:hAnsi="Times New Roman" w:cs="Times New Roman"/>
          <w:color w:val="000000" w:themeColor="text1"/>
        </w:rPr>
        <w:t xml:space="preserve">, T. (2018). Building guided pathways to community college student success: Promising practices and early evidence from </w:t>
      </w:r>
      <w:r>
        <w:rPr>
          <w:rFonts w:ascii="Times New Roman" w:hAnsi="Times New Roman" w:cs="Times New Roman"/>
          <w:color w:val="000000" w:themeColor="text1"/>
        </w:rPr>
        <w:t>T</w:t>
      </w:r>
      <w:r w:rsidRPr="00F40178">
        <w:rPr>
          <w:rFonts w:ascii="Times New Roman" w:hAnsi="Times New Roman" w:cs="Times New Roman"/>
          <w:color w:val="000000" w:themeColor="text1"/>
        </w:rPr>
        <w:t>ennessee.</w:t>
      </w:r>
      <w:r>
        <w:rPr>
          <w:rFonts w:ascii="Times New Roman" w:hAnsi="Times New Roman" w:cs="Times New Roman"/>
          <w:color w:val="000000" w:themeColor="text1"/>
        </w:rPr>
        <w:t xml:space="preserve"> </w:t>
      </w:r>
      <w:r w:rsidRPr="00F40178">
        <w:rPr>
          <w:rFonts w:ascii="Times New Roman" w:hAnsi="Times New Roman" w:cs="Times New Roman"/>
          <w:color w:val="000000" w:themeColor="text1"/>
        </w:rPr>
        <w:t>Community College Research Center, Available from: CCRC Publications. Teachers College, Columbia University, 525 West 120th Street Box 174, New York, NY 10027. Retrieved from ERIC Retrieved from https://login.proxy.lib.utk.edu:443/login?url=https://search-proquest-com.proxy.lib.utk.edu/docview/2155994340?accountid=14766</w:t>
      </w:r>
    </w:p>
    <w:p w14:paraId="74E242C9" w14:textId="74F6AC83" w:rsidR="00AC0A9F" w:rsidRDefault="00AC0A9F" w:rsidP="002C5C29">
      <w:pPr>
        <w:spacing w:line="480" w:lineRule="auto"/>
        <w:ind w:left="720" w:hanging="720"/>
        <w:rPr>
          <w:rFonts w:ascii="Times New Roman" w:hAnsi="Times New Roman" w:cs="Times New Roman"/>
          <w:color w:val="000000" w:themeColor="text1"/>
        </w:rPr>
      </w:pPr>
      <w:r>
        <w:rPr>
          <w:rFonts w:ascii="Times New Roman" w:hAnsi="Times New Roman" w:cs="Times New Roman"/>
          <w:color w:val="000000" w:themeColor="text1"/>
        </w:rPr>
        <w:t xml:space="preserve">Johnson, C. (2012). Implementation of STEM education policy: Challenges, progress, and lessons learned. </w:t>
      </w:r>
      <w:r>
        <w:rPr>
          <w:rFonts w:ascii="Times New Roman" w:hAnsi="Times New Roman" w:cs="Times New Roman"/>
          <w:i/>
          <w:iCs/>
          <w:color w:val="000000" w:themeColor="text1"/>
        </w:rPr>
        <w:t>School Science and Mathematics, 116</w:t>
      </w:r>
      <w:r>
        <w:rPr>
          <w:rFonts w:ascii="Times New Roman" w:hAnsi="Times New Roman" w:cs="Times New Roman"/>
          <w:color w:val="000000" w:themeColor="text1"/>
        </w:rPr>
        <w:t>(2), 104-110. doi</w:t>
      </w:r>
      <w:r w:rsidRPr="00AC0A9F">
        <w:rPr>
          <w:rFonts w:ascii="Times New Roman" w:hAnsi="Times New Roman" w:cs="Times New Roman"/>
          <w:color w:val="000000" w:themeColor="text1"/>
        </w:rPr>
        <w:t>:10.1111/ssm.12155</w:t>
      </w:r>
    </w:p>
    <w:p w14:paraId="1155A23E" w14:textId="6154D49F" w:rsidR="00AC4333" w:rsidRDefault="00AC4333" w:rsidP="002C5C29">
      <w:pPr>
        <w:spacing w:line="480" w:lineRule="auto"/>
        <w:ind w:left="720" w:hanging="720"/>
        <w:rPr>
          <w:rFonts w:ascii="Times New Roman" w:hAnsi="Times New Roman" w:cs="Times New Roman"/>
          <w:color w:val="000000" w:themeColor="text1"/>
        </w:rPr>
      </w:pPr>
      <w:r>
        <w:rPr>
          <w:rFonts w:ascii="Times New Roman" w:hAnsi="Times New Roman" w:cs="Times New Roman"/>
          <w:color w:val="000000" w:themeColor="text1"/>
        </w:rPr>
        <w:t xml:space="preserve">Johnson, R., Severance, S., Penuel, W., &amp; Leary, H. (2016). Teachers, tasks, and tensions: Lessons from a research-practice partnership. </w:t>
      </w:r>
      <w:r>
        <w:rPr>
          <w:rFonts w:ascii="Times New Roman" w:hAnsi="Times New Roman" w:cs="Times New Roman"/>
          <w:i/>
          <w:iCs/>
          <w:color w:val="000000" w:themeColor="text1"/>
        </w:rPr>
        <w:t>Journal of Mathematics Teacher Education, 19</w:t>
      </w:r>
      <w:r>
        <w:rPr>
          <w:rFonts w:ascii="Times New Roman" w:hAnsi="Times New Roman" w:cs="Times New Roman"/>
          <w:color w:val="000000" w:themeColor="text1"/>
        </w:rPr>
        <w:t xml:space="preserve">(2-3), 169-185. Retrieved from </w:t>
      </w:r>
      <w:r w:rsidR="007D57E1" w:rsidRPr="00C644E3">
        <w:rPr>
          <w:rFonts w:ascii="Times New Roman" w:hAnsi="Times New Roman" w:cs="Times New Roman"/>
          <w:color w:val="000000" w:themeColor="text1"/>
        </w:rPr>
        <w:t>http://dx.doi.org/10.1007/s10857-015-9338-</w:t>
      </w:r>
      <w:bookmarkStart w:id="0" w:name="_GoBack"/>
      <w:bookmarkEnd w:id="0"/>
      <w:r w:rsidRPr="00AC4333">
        <w:rPr>
          <w:rFonts w:ascii="Times New Roman" w:hAnsi="Times New Roman" w:cs="Times New Roman"/>
          <w:color w:val="000000" w:themeColor="text1"/>
        </w:rPr>
        <w:t>3</w:t>
      </w:r>
    </w:p>
    <w:p w14:paraId="759F2F64" w14:textId="5B395F5C" w:rsidR="007D57E1" w:rsidRDefault="007D57E1" w:rsidP="002C5C29">
      <w:pPr>
        <w:spacing w:line="480" w:lineRule="auto"/>
        <w:ind w:left="720" w:hanging="720"/>
        <w:rPr>
          <w:rFonts w:ascii="Times New Roman" w:hAnsi="Times New Roman" w:cs="Times New Roman"/>
          <w:color w:val="000000" w:themeColor="text1"/>
        </w:rPr>
      </w:pPr>
      <w:r>
        <w:rPr>
          <w:rFonts w:ascii="Times New Roman" w:hAnsi="Times New Roman" w:cs="Times New Roman"/>
          <w:color w:val="000000" w:themeColor="text1"/>
        </w:rPr>
        <w:t>Lea</w:t>
      </w:r>
      <w:r w:rsidR="00AF4704">
        <w:rPr>
          <w:rFonts w:ascii="Times New Roman" w:hAnsi="Times New Roman" w:cs="Times New Roman"/>
          <w:color w:val="000000" w:themeColor="text1"/>
        </w:rPr>
        <w:t>h</w:t>
      </w:r>
      <w:r>
        <w:rPr>
          <w:rFonts w:ascii="Times New Roman" w:hAnsi="Times New Roman" w:cs="Times New Roman"/>
          <w:color w:val="000000" w:themeColor="text1"/>
        </w:rPr>
        <w:t xml:space="preserve">y, M., Davis, N., Lewin, C., </w:t>
      </w:r>
      <w:proofErr w:type="spellStart"/>
      <w:r>
        <w:rPr>
          <w:rFonts w:ascii="Times New Roman" w:hAnsi="Times New Roman" w:cs="Times New Roman"/>
          <w:color w:val="000000" w:themeColor="text1"/>
        </w:rPr>
        <w:t>Charania</w:t>
      </w:r>
      <w:proofErr w:type="spellEnd"/>
      <w:r>
        <w:rPr>
          <w:rFonts w:ascii="Times New Roman" w:hAnsi="Times New Roman" w:cs="Times New Roman"/>
          <w:color w:val="000000" w:themeColor="text1"/>
        </w:rPr>
        <w:t xml:space="preserve">, A., </w:t>
      </w:r>
      <w:proofErr w:type="spellStart"/>
      <w:r>
        <w:rPr>
          <w:rFonts w:ascii="Times New Roman" w:hAnsi="Times New Roman" w:cs="Times New Roman"/>
          <w:color w:val="000000" w:themeColor="text1"/>
        </w:rPr>
        <w:t>Nordin</w:t>
      </w:r>
      <w:proofErr w:type="spellEnd"/>
      <w:r>
        <w:rPr>
          <w:rFonts w:ascii="Times New Roman" w:hAnsi="Times New Roman" w:cs="Times New Roman"/>
          <w:color w:val="000000" w:themeColor="text1"/>
        </w:rPr>
        <w:t xml:space="preserve">, H., </w:t>
      </w:r>
      <w:proofErr w:type="spellStart"/>
      <w:r>
        <w:rPr>
          <w:rFonts w:ascii="Times New Roman" w:hAnsi="Times New Roman" w:cs="Times New Roman"/>
          <w:color w:val="000000" w:themeColor="text1"/>
        </w:rPr>
        <w:t>Orlič</w:t>
      </w:r>
      <w:proofErr w:type="spellEnd"/>
      <w:r>
        <w:rPr>
          <w:rFonts w:ascii="Times New Roman" w:hAnsi="Times New Roman" w:cs="Times New Roman"/>
          <w:color w:val="000000" w:themeColor="text1"/>
        </w:rPr>
        <w:t>, D., Butler, D., &amp; Lopez-</w:t>
      </w:r>
      <w:proofErr w:type="spellStart"/>
      <w:r>
        <w:rPr>
          <w:rFonts w:ascii="Times New Roman" w:hAnsi="Times New Roman" w:cs="Times New Roman"/>
          <w:color w:val="000000" w:themeColor="text1"/>
        </w:rPr>
        <w:t>Fernadez</w:t>
      </w:r>
      <w:proofErr w:type="spellEnd"/>
      <w:r>
        <w:rPr>
          <w:rFonts w:ascii="Times New Roman" w:hAnsi="Times New Roman" w:cs="Times New Roman"/>
          <w:color w:val="000000" w:themeColor="text1"/>
        </w:rPr>
        <w:t xml:space="preserve">, O. (2016). Smart partnerships to increase equity in education. </w:t>
      </w:r>
      <w:r>
        <w:rPr>
          <w:rFonts w:ascii="Times New Roman" w:hAnsi="Times New Roman" w:cs="Times New Roman"/>
          <w:i/>
          <w:iCs/>
          <w:color w:val="000000" w:themeColor="text1"/>
        </w:rPr>
        <w:t>Journal of Educational Technology &amp; Society, 19</w:t>
      </w:r>
      <w:r>
        <w:rPr>
          <w:rFonts w:ascii="Times New Roman" w:hAnsi="Times New Roman" w:cs="Times New Roman"/>
          <w:color w:val="000000" w:themeColor="text1"/>
        </w:rPr>
        <w:t xml:space="preserve">(3), 84-98. Retrieved from </w:t>
      </w:r>
      <w:r w:rsidRPr="007D57E1">
        <w:rPr>
          <w:rFonts w:ascii="Times New Roman" w:hAnsi="Times New Roman" w:cs="Times New Roman"/>
          <w:color w:val="000000" w:themeColor="text1"/>
        </w:rPr>
        <w:t>https://www.jstor.org/stable/10.2307/jeductechsoci.19.3.84</w:t>
      </w:r>
    </w:p>
    <w:p w14:paraId="6670AFC0" w14:textId="7AD1AC0A" w:rsidR="009B79EF" w:rsidRPr="009B79EF" w:rsidRDefault="009B79EF" w:rsidP="002C5C29">
      <w:pPr>
        <w:spacing w:line="480" w:lineRule="auto"/>
        <w:ind w:left="720" w:hanging="720"/>
        <w:rPr>
          <w:rFonts w:ascii="Times New Roman" w:hAnsi="Times New Roman" w:cs="Times New Roman"/>
          <w:color w:val="000000" w:themeColor="text1"/>
        </w:rPr>
      </w:pPr>
      <w:proofErr w:type="spellStart"/>
      <w:r>
        <w:rPr>
          <w:rFonts w:ascii="Times New Roman" w:hAnsi="Times New Roman" w:cs="Times New Roman"/>
          <w:color w:val="000000" w:themeColor="text1"/>
        </w:rPr>
        <w:lastRenderedPageBreak/>
        <w:t>Legnard</w:t>
      </w:r>
      <w:proofErr w:type="spellEnd"/>
      <w:r>
        <w:rPr>
          <w:rFonts w:ascii="Times New Roman" w:hAnsi="Times New Roman" w:cs="Times New Roman"/>
          <w:color w:val="000000" w:themeColor="text1"/>
        </w:rPr>
        <w:t xml:space="preserve">, D. &amp; Austin, S. (2014). The math promise: Celebrating at home and school. </w:t>
      </w:r>
      <w:r>
        <w:rPr>
          <w:rFonts w:ascii="Times New Roman" w:hAnsi="Times New Roman" w:cs="Times New Roman"/>
          <w:i/>
          <w:iCs/>
          <w:color w:val="000000" w:themeColor="text1"/>
        </w:rPr>
        <w:t>Teaching Children Mathematics, 21</w:t>
      </w:r>
      <w:r>
        <w:rPr>
          <w:rFonts w:ascii="Times New Roman" w:hAnsi="Times New Roman" w:cs="Times New Roman"/>
          <w:color w:val="000000" w:themeColor="text1"/>
        </w:rPr>
        <w:t>(3), 178-184. Retrieved from https://www.jstor/org/stable/10.5951/teacchilmath.21.3.0178</w:t>
      </w:r>
    </w:p>
    <w:p w14:paraId="373AAECD" w14:textId="3C92CA89" w:rsidR="00FC7856" w:rsidRDefault="00FC7856" w:rsidP="002C5C29">
      <w:pPr>
        <w:spacing w:line="480" w:lineRule="auto"/>
        <w:ind w:left="720" w:hanging="720"/>
        <w:rPr>
          <w:rFonts w:ascii="Times New Roman" w:hAnsi="Times New Roman" w:cs="Times New Roman"/>
          <w:color w:val="000000" w:themeColor="text1"/>
        </w:rPr>
      </w:pPr>
      <w:r>
        <w:rPr>
          <w:rFonts w:ascii="Times New Roman" w:hAnsi="Times New Roman" w:cs="Times New Roman"/>
          <w:color w:val="000000" w:themeColor="text1"/>
        </w:rPr>
        <w:t xml:space="preserve">Nader, J. (2008). </w:t>
      </w:r>
      <w:r w:rsidR="00BF69E1">
        <w:rPr>
          <w:rFonts w:ascii="Times New Roman" w:hAnsi="Times New Roman" w:cs="Times New Roman"/>
          <w:color w:val="000000" w:themeColor="text1"/>
        </w:rPr>
        <w:t>Stakeholders in student success: Public-private partnerships strengthening K-12 education. Washington, DC</w:t>
      </w:r>
      <w:r w:rsidR="00997750">
        <w:rPr>
          <w:rFonts w:ascii="Times New Roman" w:hAnsi="Times New Roman" w:cs="Times New Roman"/>
          <w:color w:val="000000" w:themeColor="text1"/>
        </w:rPr>
        <w:t>: Woodrow Wilson International Center for Scholars.</w:t>
      </w:r>
    </w:p>
    <w:p w14:paraId="7295B840" w14:textId="207D7ACC" w:rsidR="00997750" w:rsidRPr="007D57E1" w:rsidRDefault="00997750" w:rsidP="002C5C29">
      <w:pPr>
        <w:spacing w:line="480" w:lineRule="auto"/>
        <w:ind w:left="720" w:hanging="720"/>
        <w:rPr>
          <w:rFonts w:ascii="Times New Roman" w:hAnsi="Times New Roman" w:cs="Times New Roman"/>
          <w:color w:val="000000" w:themeColor="text1"/>
        </w:rPr>
      </w:pPr>
      <w:proofErr w:type="spellStart"/>
      <w:r>
        <w:rPr>
          <w:rFonts w:ascii="Times New Roman" w:hAnsi="Times New Roman" w:cs="Times New Roman"/>
          <w:color w:val="000000" w:themeColor="text1"/>
        </w:rPr>
        <w:t>Otterbourg</w:t>
      </w:r>
      <w:proofErr w:type="spellEnd"/>
      <w:r>
        <w:rPr>
          <w:rFonts w:ascii="Times New Roman" w:hAnsi="Times New Roman" w:cs="Times New Roman"/>
          <w:color w:val="000000" w:themeColor="text1"/>
        </w:rPr>
        <w:t>, S. (1998). Investing in partnerships for student success: A basic tool for community stakeholders to guide educational partnership development and management</w:t>
      </w:r>
      <w:r w:rsidR="00707DD0">
        <w:rPr>
          <w:rFonts w:ascii="Times New Roman" w:hAnsi="Times New Roman" w:cs="Times New Roman"/>
          <w:color w:val="000000" w:themeColor="text1"/>
        </w:rPr>
        <w:t xml:space="preserve">, </w:t>
      </w:r>
      <w:r w:rsidRPr="00997750">
        <w:rPr>
          <w:rFonts w:ascii="Times New Roman" w:hAnsi="Times New Roman" w:cs="Times New Roman"/>
          <w:color w:val="000000" w:themeColor="text1"/>
        </w:rPr>
        <w:t>1-66. Boston, MA: Boston University Center on Work and Family.</w:t>
      </w:r>
    </w:p>
    <w:p w14:paraId="6C9F85B0" w14:textId="2455948E" w:rsidR="00D90726" w:rsidRPr="00D90726" w:rsidRDefault="00D90726" w:rsidP="002C5C29">
      <w:pPr>
        <w:spacing w:line="480" w:lineRule="auto"/>
        <w:ind w:left="720" w:hanging="720"/>
        <w:rPr>
          <w:rFonts w:ascii="Times New Roman" w:hAnsi="Times New Roman" w:cs="Times New Roman"/>
          <w:color w:val="000000" w:themeColor="text1"/>
        </w:rPr>
      </w:pPr>
      <w:r>
        <w:rPr>
          <w:rFonts w:ascii="Times New Roman" w:hAnsi="Times New Roman" w:cs="Times New Roman"/>
          <w:color w:val="000000" w:themeColor="text1"/>
        </w:rPr>
        <w:t xml:space="preserve">Scherer, J. (2008). A review of instruments to evaluate partnerships in math and science education. </w:t>
      </w:r>
      <w:r>
        <w:rPr>
          <w:rFonts w:ascii="Times New Roman" w:hAnsi="Times New Roman" w:cs="Times New Roman"/>
          <w:i/>
          <w:iCs/>
          <w:color w:val="000000" w:themeColor="text1"/>
        </w:rPr>
        <w:t>Peabody Journal of Education, 83</w:t>
      </w:r>
      <w:r>
        <w:rPr>
          <w:rFonts w:ascii="Times New Roman" w:hAnsi="Times New Roman" w:cs="Times New Roman"/>
          <w:color w:val="000000" w:themeColor="text1"/>
        </w:rPr>
        <w:t xml:space="preserve">(4), 611-636. Retrieved from </w:t>
      </w:r>
      <w:r w:rsidRPr="00D90726">
        <w:rPr>
          <w:rFonts w:ascii="Times New Roman" w:hAnsi="Times New Roman" w:cs="Times New Roman"/>
          <w:color w:val="000000" w:themeColor="text1"/>
        </w:rPr>
        <w:t>https://www.jstor.org/stable/25594812</w:t>
      </w:r>
    </w:p>
    <w:p w14:paraId="5B34DF08" w14:textId="0ADC32BA" w:rsidR="009B79EF" w:rsidRPr="009B79EF" w:rsidRDefault="009B79EF" w:rsidP="00D04522">
      <w:pPr>
        <w:spacing w:line="480" w:lineRule="auto"/>
        <w:ind w:left="720" w:hanging="720"/>
        <w:rPr>
          <w:rFonts w:ascii="Times New Roman" w:hAnsi="Times New Roman" w:cs="Times New Roman"/>
          <w:color w:val="000000" w:themeColor="text1"/>
        </w:rPr>
      </w:pPr>
      <w:r>
        <w:rPr>
          <w:rFonts w:ascii="Times New Roman" w:hAnsi="Times New Roman" w:cs="Times New Roman"/>
          <w:color w:val="000000" w:themeColor="text1"/>
        </w:rPr>
        <w:t xml:space="preserve">Schoenfeld, A. (1993). Partnerships. </w:t>
      </w:r>
      <w:r>
        <w:rPr>
          <w:rFonts w:ascii="Times New Roman" w:hAnsi="Times New Roman" w:cs="Times New Roman"/>
          <w:i/>
          <w:iCs/>
          <w:color w:val="000000" w:themeColor="text1"/>
        </w:rPr>
        <w:t>The American Mathematical Monthly, 100</w:t>
      </w:r>
      <w:r>
        <w:rPr>
          <w:rFonts w:ascii="Times New Roman" w:hAnsi="Times New Roman" w:cs="Times New Roman"/>
          <w:color w:val="000000" w:themeColor="text1"/>
        </w:rPr>
        <w:t>(10), 926-939. Retrieved from https://www.jstor/org/stable/2324213</w:t>
      </w:r>
    </w:p>
    <w:p w14:paraId="4FE534FA" w14:textId="142143DB" w:rsidR="00D04522" w:rsidRPr="00D04522" w:rsidRDefault="00D04522" w:rsidP="00D04522">
      <w:pPr>
        <w:spacing w:line="480" w:lineRule="auto"/>
        <w:ind w:left="720" w:hanging="720"/>
        <w:rPr>
          <w:rFonts w:ascii="Times New Roman" w:hAnsi="Times New Roman" w:cs="Times New Roman"/>
          <w:color w:val="000000" w:themeColor="text1"/>
        </w:rPr>
      </w:pPr>
      <w:r>
        <w:rPr>
          <w:rFonts w:ascii="Times New Roman" w:hAnsi="Times New Roman" w:cs="Times New Roman"/>
          <w:color w:val="000000" w:themeColor="text1"/>
        </w:rPr>
        <w:t xml:space="preserve">Shroyer, G., </w:t>
      </w:r>
      <w:proofErr w:type="spellStart"/>
      <w:r>
        <w:rPr>
          <w:rFonts w:ascii="Times New Roman" w:hAnsi="Times New Roman" w:cs="Times New Roman"/>
          <w:color w:val="000000" w:themeColor="text1"/>
        </w:rPr>
        <w:t>Yahnke</w:t>
      </w:r>
      <w:proofErr w:type="spellEnd"/>
      <w:r>
        <w:rPr>
          <w:rFonts w:ascii="Times New Roman" w:hAnsi="Times New Roman" w:cs="Times New Roman"/>
          <w:color w:val="000000" w:themeColor="text1"/>
        </w:rPr>
        <w:t xml:space="preserve">, S., Bennett, A., &amp; Dunn, C. (2007). Simultaneous renewal through professional development school partnerships. </w:t>
      </w:r>
      <w:r>
        <w:rPr>
          <w:rFonts w:ascii="Times New Roman" w:hAnsi="Times New Roman" w:cs="Times New Roman"/>
          <w:i/>
          <w:iCs/>
          <w:color w:val="000000" w:themeColor="text1"/>
        </w:rPr>
        <w:t>The Journal of Educational Research, 100</w:t>
      </w:r>
      <w:r>
        <w:rPr>
          <w:rFonts w:ascii="Times New Roman" w:hAnsi="Times New Roman" w:cs="Times New Roman"/>
          <w:color w:val="000000" w:themeColor="text1"/>
        </w:rPr>
        <w:t xml:space="preserve">(4), 211-224. Retrieved form </w:t>
      </w:r>
      <w:r w:rsidRPr="00D04522">
        <w:rPr>
          <w:rFonts w:ascii="Times New Roman" w:hAnsi="Times New Roman" w:cs="Times New Roman"/>
          <w:color w:val="000000" w:themeColor="text1"/>
        </w:rPr>
        <w:t>https://www.jstor.org/stable/27548183</w:t>
      </w:r>
    </w:p>
    <w:p w14:paraId="62C69C8F" w14:textId="39C80392" w:rsidR="00D04522" w:rsidRPr="00D04522" w:rsidRDefault="00D04522" w:rsidP="002C5C29">
      <w:pPr>
        <w:spacing w:line="480" w:lineRule="auto"/>
        <w:ind w:left="720" w:hanging="720"/>
        <w:rPr>
          <w:rFonts w:ascii="Times New Roman" w:hAnsi="Times New Roman" w:cs="Times New Roman"/>
          <w:color w:val="000000" w:themeColor="text1"/>
        </w:rPr>
      </w:pPr>
      <w:r>
        <w:rPr>
          <w:rFonts w:ascii="Times New Roman" w:hAnsi="Times New Roman" w:cs="Times New Roman"/>
          <w:color w:val="000000" w:themeColor="text1"/>
        </w:rPr>
        <w:t xml:space="preserve">Shroyer, G., </w:t>
      </w:r>
      <w:proofErr w:type="spellStart"/>
      <w:r>
        <w:rPr>
          <w:rFonts w:ascii="Times New Roman" w:hAnsi="Times New Roman" w:cs="Times New Roman"/>
          <w:color w:val="000000" w:themeColor="text1"/>
        </w:rPr>
        <w:t>Yahnke</w:t>
      </w:r>
      <w:proofErr w:type="spellEnd"/>
      <w:r>
        <w:rPr>
          <w:rFonts w:ascii="Times New Roman" w:hAnsi="Times New Roman" w:cs="Times New Roman"/>
          <w:color w:val="000000" w:themeColor="text1"/>
        </w:rPr>
        <w:t xml:space="preserve">, S., &amp; Heller, M. (2007). Collaborative reconstruction and simultaneous renewal: The impact of professional development schools. </w:t>
      </w:r>
      <w:r>
        <w:rPr>
          <w:rFonts w:ascii="Times New Roman" w:hAnsi="Times New Roman" w:cs="Times New Roman"/>
          <w:i/>
          <w:iCs/>
          <w:color w:val="000000" w:themeColor="text1"/>
        </w:rPr>
        <w:t>The Journal of Educational Research, 100</w:t>
      </w:r>
      <w:r>
        <w:rPr>
          <w:rFonts w:ascii="Times New Roman" w:hAnsi="Times New Roman" w:cs="Times New Roman"/>
          <w:color w:val="000000" w:themeColor="text1"/>
        </w:rPr>
        <w:t xml:space="preserve">(4), 195-196. Retrieved from </w:t>
      </w:r>
      <w:r w:rsidRPr="00D04522">
        <w:rPr>
          <w:rFonts w:ascii="Times New Roman" w:hAnsi="Times New Roman" w:cs="Times New Roman"/>
          <w:color w:val="000000" w:themeColor="text1"/>
        </w:rPr>
        <w:t>https://www.jstor.org/stable/27548180</w:t>
      </w:r>
    </w:p>
    <w:p w14:paraId="7247CC05" w14:textId="0AA40622" w:rsidR="00AE1ED2" w:rsidRDefault="00AE1ED2" w:rsidP="002C5C29">
      <w:pPr>
        <w:spacing w:line="480" w:lineRule="auto"/>
        <w:ind w:left="720" w:hanging="720"/>
        <w:rPr>
          <w:rFonts w:ascii="Times New Roman" w:hAnsi="Times New Roman" w:cs="Times New Roman"/>
          <w:color w:val="000000" w:themeColor="text1"/>
        </w:rPr>
      </w:pPr>
      <w:proofErr w:type="spellStart"/>
      <w:r>
        <w:rPr>
          <w:rFonts w:ascii="Times New Roman" w:hAnsi="Times New Roman" w:cs="Times New Roman"/>
          <w:color w:val="000000" w:themeColor="text1"/>
        </w:rPr>
        <w:t>Sondergold</w:t>
      </w:r>
      <w:proofErr w:type="spellEnd"/>
      <w:r>
        <w:rPr>
          <w:rFonts w:ascii="Times New Roman" w:hAnsi="Times New Roman" w:cs="Times New Roman"/>
          <w:color w:val="000000" w:themeColor="text1"/>
        </w:rPr>
        <w:t xml:space="preserve">, T., Johnson, C., &amp; </w:t>
      </w:r>
      <w:proofErr w:type="spellStart"/>
      <w:r>
        <w:rPr>
          <w:rFonts w:ascii="Times New Roman" w:hAnsi="Times New Roman" w:cs="Times New Roman"/>
          <w:color w:val="000000" w:themeColor="text1"/>
        </w:rPr>
        <w:t>Walten</w:t>
      </w:r>
      <w:proofErr w:type="spellEnd"/>
      <w:r>
        <w:rPr>
          <w:rFonts w:ascii="Times New Roman" w:hAnsi="Times New Roman" w:cs="Times New Roman"/>
          <w:color w:val="000000" w:themeColor="text1"/>
        </w:rPr>
        <w:t xml:space="preserve">, J. (2016). </w:t>
      </w:r>
      <w:r w:rsidRPr="00AE1ED2">
        <w:rPr>
          <w:rFonts w:ascii="Times New Roman" w:hAnsi="Times New Roman" w:cs="Times New Roman"/>
          <w:color w:val="000000" w:themeColor="text1"/>
        </w:rPr>
        <w:t xml:space="preserve">Assessing the </w:t>
      </w:r>
      <w:r>
        <w:rPr>
          <w:rFonts w:ascii="Times New Roman" w:hAnsi="Times New Roman" w:cs="Times New Roman"/>
          <w:color w:val="000000" w:themeColor="text1"/>
        </w:rPr>
        <w:t>i</w:t>
      </w:r>
      <w:r w:rsidRPr="00AE1ED2">
        <w:rPr>
          <w:rFonts w:ascii="Times New Roman" w:hAnsi="Times New Roman" w:cs="Times New Roman"/>
          <w:color w:val="000000" w:themeColor="text1"/>
        </w:rPr>
        <w:t xml:space="preserve">mpact of a </w:t>
      </w:r>
      <w:r>
        <w:rPr>
          <w:rFonts w:ascii="Times New Roman" w:hAnsi="Times New Roman" w:cs="Times New Roman"/>
          <w:color w:val="000000" w:themeColor="text1"/>
        </w:rPr>
        <w:t>s</w:t>
      </w:r>
      <w:r w:rsidRPr="00AE1ED2">
        <w:rPr>
          <w:rFonts w:ascii="Times New Roman" w:hAnsi="Times New Roman" w:cs="Times New Roman"/>
          <w:color w:val="000000" w:themeColor="text1"/>
        </w:rPr>
        <w:t xml:space="preserve">tatewide STEM </w:t>
      </w:r>
      <w:r>
        <w:rPr>
          <w:rFonts w:ascii="Times New Roman" w:hAnsi="Times New Roman" w:cs="Times New Roman"/>
          <w:color w:val="000000" w:themeColor="text1"/>
        </w:rPr>
        <w:t>i</w:t>
      </w:r>
      <w:r w:rsidRPr="00AE1ED2">
        <w:rPr>
          <w:rFonts w:ascii="Times New Roman" w:hAnsi="Times New Roman" w:cs="Times New Roman"/>
          <w:color w:val="000000" w:themeColor="text1"/>
        </w:rPr>
        <w:t xml:space="preserve">nvestment on K–12, </w:t>
      </w:r>
      <w:r>
        <w:rPr>
          <w:rFonts w:ascii="Times New Roman" w:hAnsi="Times New Roman" w:cs="Times New Roman"/>
          <w:color w:val="000000" w:themeColor="text1"/>
        </w:rPr>
        <w:t>h</w:t>
      </w:r>
      <w:r w:rsidRPr="00AE1ED2">
        <w:rPr>
          <w:rFonts w:ascii="Times New Roman" w:hAnsi="Times New Roman" w:cs="Times New Roman"/>
          <w:color w:val="000000" w:themeColor="text1"/>
        </w:rPr>
        <w:t xml:space="preserve">igher </w:t>
      </w:r>
      <w:r>
        <w:rPr>
          <w:rFonts w:ascii="Times New Roman" w:hAnsi="Times New Roman" w:cs="Times New Roman"/>
          <w:color w:val="000000" w:themeColor="text1"/>
        </w:rPr>
        <w:t>ed</w:t>
      </w:r>
      <w:r w:rsidRPr="00AE1ED2">
        <w:rPr>
          <w:rFonts w:ascii="Times New Roman" w:hAnsi="Times New Roman" w:cs="Times New Roman"/>
          <w:color w:val="000000" w:themeColor="text1"/>
        </w:rPr>
        <w:t xml:space="preserve">ucation, and </w:t>
      </w:r>
      <w:r>
        <w:rPr>
          <w:rFonts w:ascii="Times New Roman" w:hAnsi="Times New Roman" w:cs="Times New Roman"/>
          <w:color w:val="000000" w:themeColor="text1"/>
        </w:rPr>
        <w:t>b</w:t>
      </w:r>
      <w:r w:rsidRPr="00AE1ED2">
        <w:rPr>
          <w:rFonts w:ascii="Times New Roman" w:hAnsi="Times New Roman" w:cs="Times New Roman"/>
          <w:color w:val="000000" w:themeColor="text1"/>
        </w:rPr>
        <w:t>usiness/</w:t>
      </w:r>
      <w:r>
        <w:rPr>
          <w:rFonts w:ascii="Times New Roman" w:hAnsi="Times New Roman" w:cs="Times New Roman"/>
          <w:color w:val="000000" w:themeColor="text1"/>
        </w:rPr>
        <w:t>c</w:t>
      </w:r>
      <w:r w:rsidRPr="00AE1ED2">
        <w:rPr>
          <w:rFonts w:ascii="Times New Roman" w:hAnsi="Times New Roman" w:cs="Times New Roman"/>
          <w:color w:val="000000" w:themeColor="text1"/>
        </w:rPr>
        <w:t xml:space="preserve">ommunity STEM </w:t>
      </w:r>
      <w:r>
        <w:rPr>
          <w:rFonts w:ascii="Times New Roman" w:hAnsi="Times New Roman" w:cs="Times New Roman"/>
          <w:color w:val="000000" w:themeColor="text1"/>
        </w:rPr>
        <w:t>a</w:t>
      </w:r>
      <w:r w:rsidRPr="00AE1ED2">
        <w:rPr>
          <w:rFonts w:ascii="Times New Roman" w:hAnsi="Times New Roman" w:cs="Times New Roman"/>
          <w:color w:val="000000" w:themeColor="text1"/>
        </w:rPr>
        <w:t xml:space="preserve">wareness </w:t>
      </w:r>
      <w:r>
        <w:rPr>
          <w:rFonts w:ascii="Times New Roman" w:hAnsi="Times New Roman" w:cs="Times New Roman"/>
          <w:color w:val="000000" w:themeColor="text1"/>
        </w:rPr>
        <w:t>o</w:t>
      </w:r>
      <w:r w:rsidRPr="00AE1ED2">
        <w:rPr>
          <w:rFonts w:ascii="Times New Roman" w:hAnsi="Times New Roman" w:cs="Times New Roman"/>
          <w:color w:val="000000" w:themeColor="text1"/>
        </w:rPr>
        <w:t xml:space="preserve">ver </w:t>
      </w:r>
      <w:r>
        <w:rPr>
          <w:rFonts w:ascii="Times New Roman" w:hAnsi="Times New Roman" w:cs="Times New Roman"/>
          <w:color w:val="000000" w:themeColor="text1"/>
        </w:rPr>
        <w:t>t</w:t>
      </w:r>
      <w:r w:rsidRPr="00AE1ED2">
        <w:rPr>
          <w:rFonts w:ascii="Times New Roman" w:hAnsi="Times New Roman" w:cs="Times New Roman"/>
          <w:color w:val="000000" w:themeColor="text1"/>
        </w:rPr>
        <w:t>ime</w:t>
      </w:r>
      <w:r>
        <w:rPr>
          <w:rFonts w:ascii="Times New Roman" w:hAnsi="Times New Roman" w:cs="Times New Roman"/>
          <w:color w:val="000000" w:themeColor="text1"/>
        </w:rPr>
        <w:t xml:space="preserve">. </w:t>
      </w:r>
      <w:r>
        <w:rPr>
          <w:rFonts w:ascii="Times New Roman" w:hAnsi="Times New Roman" w:cs="Times New Roman"/>
          <w:i/>
          <w:iCs/>
          <w:color w:val="000000" w:themeColor="text1"/>
        </w:rPr>
        <w:t>School Science and Mathematics, 116</w:t>
      </w:r>
      <w:r>
        <w:rPr>
          <w:rFonts w:ascii="Times New Roman" w:hAnsi="Times New Roman" w:cs="Times New Roman"/>
          <w:color w:val="000000" w:themeColor="text1"/>
        </w:rPr>
        <w:t>(2), 104-110. doi</w:t>
      </w:r>
      <w:r w:rsidRPr="00AE1ED2">
        <w:rPr>
          <w:rFonts w:ascii="Times New Roman" w:hAnsi="Times New Roman" w:cs="Times New Roman"/>
          <w:color w:val="000000" w:themeColor="text1"/>
        </w:rPr>
        <w:t>:10.1111/ssm.12155</w:t>
      </w:r>
    </w:p>
    <w:p w14:paraId="518C097D" w14:textId="14E82B97" w:rsidR="00FE660B" w:rsidRPr="00FE660B" w:rsidRDefault="00FE660B" w:rsidP="002C5C29">
      <w:pPr>
        <w:spacing w:line="480" w:lineRule="auto"/>
        <w:ind w:left="720" w:hanging="720"/>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Turley, R. &amp; Stevens, C. (2015). Lessons from a school district-university research partnership: The Houston Education Research Consortium. </w:t>
      </w:r>
      <w:r>
        <w:rPr>
          <w:rFonts w:ascii="Times New Roman" w:hAnsi="Times New Roman" w:cs="Times New Roman"/>
          <w:i/>
          <w:iCs/>
          <w:color w:val="000000" w:themeColor="text1"/>
        </w:rPr>
        <w:t>Educational Evaluation and Policy Analysis, 37</w:t>
      </w:r>
      <w:r>
        <w:rPr>
          <w:rFonts w:ascii="Times New Roman" w:hAnsi="Times New Roman" w:cs="Times New Roman"/>
          <w:color w:val="000000" w:themeColor="text1"/>
        </w:rPr>
        <w:t xml:space="preserve">(15), 6S-15S. Retrieved from </w:t>
      </w:r>
      <w:r w:rsidRPr="00FE660B">
        <w:rPr>
          <w:rFonts w:ascii="Times New Roman" w:hAnsi="Times New Roman" w:cs="Times New Roman"/>
          <w:color w:val="000000" w:themeColor="text1"/>
        </w:rPr>
        <w:t>https://www.jstor.org/stable/43773494</w:t>
      </w:r>
    </w:p>
    <w:p w14:paraId="0BF583C7" w14:textId="19F54AEB" w:rsidR="002C5C29" w:rsidRPr="002C5C29" w:rsidRDefault="002C5C29" w:rsidP="002C5C29">
      <w:pPr>
        <w:spacing w:line="480" w:lineRule="auto"/>
        <w:ind w:left="720" w:hanging="720"/>
        <w:rPr>
          <w:rFonts w:ascii="Times New Roman" w:hAnsi="Times New Roman" w:cs="Times New Roman"/>
          <w:color w:val="000000" w:themeColor="text1"/>
        </w:rPr>
      </w:pPr>
      <w:r w:rsidRPr="002C5C29">
        <w:rPr>
          <w:rFonts w:ascii="Times New Roman" w:hAnsi="Times New Roman" w:cs="Times New Roman"/>
          <w:color w:val="000000" w:themeColor="text1"/>
        </w:rPr>
        <w:t>Walker, K., &amp; Education Partnerships, I. (EPI). (2007). School-Community Partnerships. Research Brief. Education Partnerships, Inc. Education Partnerships, Inc. Retrieved from http://search.ebscohost.com.proxy.lib.utk.edu:90/login.aspx?direct=true&amp;db=eric&amp;AN=ED538820&amp;scope=site</w:t>
      </w:r>
    </w:p>
    <w:p w14:paraId="64B47379" w14:textId="0C873BEE" w:rsidR="002C5C29" w:rsidRPr="00ED758A" w:rsidRDefault="00420BDB" w:rsidP="009E50EA">
      <w:pPr>
        <w:spacing w:line="480" w:lineRule="auto"/>
        <w:ind w:left="720" w:hanging="720"/>
        <w:rPr>
          <w:rFonts w:ascii="Times New Roman" w:hAnsi="Times New Roman" w:cs="Times New Roman"/>
          <w:color w:val="000000" w:themeColor="text1"/>
        </w:rPr>
      </w:pPr>
      <w:r>
        <w:rPr>
          <w:rFonts w:ascii="Times New Roman" w:hAnsi="Times New Roman" w:cs="Times New Roman"/>
          <w:color w:val="000000" w:themeColor="text1"/>
        </w:rPr>
        <w:t xml:space="preserve">Wang, J. &amp; </w:t>
      </w:r>
      <w:proofErr w:type="spellStart"/>
      <w:r>
        <w:rPr>
          <w:rFonts w:ascii="Times New Roman" w:hAnsi="Times New Roman" w:cs="Times New Roman"/>
          <w:color w:val="000000" w:themeColor="text1"/>
        </w:rPr>
        <w:t>Apraiz</w:t>
      </w:r>
      <w:proofErr w:type="spellEnd"/>
      <w:r>
        <w:rPr>
          <w:rFonts w:ascii="Times New Roman" w:hAnsi="Times New Roman" w:cs="Times New Roman"/>
          <w:color w:val="000000" w:themeColor="text1"/>
        </w:rPr>
        <w:t>, K. (2018)</w:t>
      </w:r>
      <w:r w:rsidR="00ED758A">
        <w:rPr>
          <w:rFonts w:ascii="Times New Roman" w:hAnsi="Times New Roman" w:cs="Times New Roman"/>
          <w:color w:val="000000" w:themeColor="text1"/>
        </w:rPr>
        <w:t xml:space="preserve">. Examining community-based mentoring experiences for pre-service teachers: Positive outcomes and challenges. </w:t>
      </w:r>
      <w:r w:rsidR="00ED758A">
        <w:rPr>
          <w:rFonts w:ascii="Times New Roman" w:hAnsi="Times New Roman" w:cs="Times New Roman"/>
          <w:i/>
          <w:iCs/>
          <w:color w:val="000000" w:themeColor="text1"/>
        </w:rPr>
        <w:t>The Excellence in Education Journal, 7</w:t>
      </w:r>
      <w:r w:rsidR="00ED758A">
        <w:rPr>
          <w:rFonts w:ascii="Times New Roman" w:hAnsi="Times New Roman" w:cs="Times New Roman"/>
          <w:color w:val="000000" w:themeColor="text1"/>
        </w:rPr>
        <w:t xml:space="preserve">(1), 38-60. </w:t>
      </w:r>
    </w:p>
    <w:sectPr w:rsidR="002C5C29" w:rsidRPr="00ED758A" w:rsidSect="00CE75DA">
      <w:headerReference w:type="even" r:id="rId7"/>
      <w:headerReference w:type="default" r:id="rId8"/>
      <w:headerReference w:type="first" r:id="rId9"/>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17159" w14:textId="77777777" w:rsidR="00B124CA" w:rsidRDefault="00B124CA">
      <w:r>
        <w:separator/>
      </w:r>
    </w:p>
  </w:endnote>
  <w:endnote w:type="continuationSeparator" w:id="0">
    <w:p w14:paraId="61D89E09" w14:textId="77777777" w:rsidR="00B124CA" w:rsidRDefault="00B12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ang">
    <w:altName w:val="Arial Unicode MS"/>
    <w:panose1 w:val="020B0604020202020204"/>
    <w:charset w:val="86"/>
    <w:family w:val="auto"/>
    <w:notTrueType/>
    <w:pitch w:val="variable"/>
    <w:sig w:usb0="00000000"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0853B" w14:textId="77777777" w:rsidR="00B124CA" w:rsidRDefault="00B124CA">
      <w:r>
        <w:separator/>
      </w:r>
    </w:p>
  </w:footnote>
  <w:footnote w:type="continuationSeparator" w:id="0">
    <w:p w14:paraId="7F081FCE" w14:textId="77777777" w:rsidR="00B124CA" w:rsidRDefault="00B124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5168376"/>
      <w:docPartObj>
        <w:docPartGallery w:val="Page Numbers (Top of Page)"/>
        <w:docPartUnique/>
      </w:docPartObj>
    </w:sdtPr>
    <w:sdtContent>
      <w:p w14:paraId="5A989AB6" w14:textId="20C49FF4" w:rsidR="00DB59EC" w:rsidRDefault="00DB59EC" w:rsidP="00B9159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6DBD14" w14:textId="77777777" w:rsidR="00DB59EC" w:rsidRDefault="00DB59EC" w:rsidP="00112EE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804807848"/>
      <w:docPartObj>
        <w:docPartGallery w:val="Page Numbers (Top of Page)"/>
        <w:docPartUnique/>
      </w:docPartObj>
    </w:sdtPr>
    <w:sdtContent>
      <w:p w14:paraId="57FDE0B5" w14:textId="6274A05B" w:rsidR="00DB59EC" w:rsidRPr="00112EE7" w:rsidRDefault="00DB59EC" w:rsidP="00B91598">
        <w:pPr>
          <w:pStyle w:val="Header"/>
          <w:framePr w:wrap="none" w:vAnchor="text" w:hAnchor="margin" w:xAlign="right" w:y="1"/>
          <w:rPr>
            <w:rStyle w:val="PageNumber"/>
            <w:rFonts w:ascii="Times New Roman" w:hAnsi="Times New Roman" w:cs="Times New Roman"/>
          </w:rPr>
        </w:pPr>
        <w:r w:rsidRPr="00112EE7">
          <w:rPr>
            <w:rStyle w:val="PageNumber"/>
            <w:rFonts w:ascii="Times New Roman" w:hAnsi="Times New Roman" w:cs="Times New Roman"/>
          </w:rPr>
          <w:fldChar w:fldCharType="begin"/>
        </w:r>
        <w:r w:rsidRPr="00112EE7">
          <w:rPr>
            <w:rStyle w:val="PageNumber"/>
            <w:rFonts w:ascii="Times New Roman" w:hAnsi="Times New Roman" w:cs="Times New Roman"/>
          </w:rPr>
          <w:instrText xml:space="preserve"> PAGE </w:instrText>
        </w:r>
        <w:r w:rsidRPr="00112EE7">
          <w:rPr>
            <w:rStyle w:val="PageNumber"/>
            <w:rFonts w:ascii="Times New Roman" w:hAnsi="Times New Roman" w:cs="Times New Roman"/>
          </w:rPr>
          <w:fldChar w:fldCharType="separate"/>
        </w:r>
        <w:r w:rsidRPr="00112EE7">
          <w:rPr>
            <w:rStyle w:val="PageNumber"/>
            <w:rFonts w:ascii="Times New Roman" w:hAnsi="Times New Roman" w:cs="Times New Roman"/>
            <w:noProof/>
          </w:rPr>
          <w:t>1</w:t>
        </w:r>
        <w:r w:rsidRPr="00112EE7">
          <w:rPr>
            <w:rStyle w:val="PageNumber"/>
            <w:rFonts w:ascii="Times New Roman" w:hAnsi="Times New Roman" w:cs="Times New Roman"/>
          </w:rPr>
          <w:fldChar w:fldCharType="end"/>
        </w:r>
      </w:p>
    </w:sdtContent>
  </w:sdt>
  <w:p w14:paraId="2F0488DF" w14:textId="21C295B8" w:rsidR="00DB59EC" w:rsidRPr="00112EE7" w:rsidRDefault="00DB59EC" w:rsidP="00112EE7">
    <w:pPr>
      <w:pBdr>
        <w:top w:val="nil"/>
        <w:left w:val="nil"/>
        <w:bottom w:val="nil"/>
        <w:right w:val="nil"/>
        <w:between w:val="nil"/>
      </w:pBdr>
      <w:tabs>
        <w:tab w:val="center" w:pos="4680"/>
        <w:tab w:val="right" w:pos="9360"/>
      </w:tabs>
      <w:ind w:right="360"/>
      <w:rPr>
        <w:rFonts w:ascii="Times New Roman" w:eastAsia="Times New Roman" w:hAnsi="Times New Roman" w:cs="Times New Roman"/>
        <w:color w:val="000000"/>
      </w:rPr>
    </w:pPr>
    <w:r w:rsidRPr="00112EE7">
      <w:rPr>
        <w:rFonts w:ascii="Times New Roman" w:eastAsia="Times New Roman" w:hAnsi="Times New Roman" w:cs="Times New Roman"/>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B7477" w14:textId="5560070C" w:rsidR="00DB59EC" w:rsidRPr="00C25F72" w:rsidRDefault="00DB59EC" w:rsidP="0005394E">
    <w:pPr>
      <w:spacing w:line="480" w:lineRule="auto"/>
      <w:rPr>
        <w:rFonts w:ascii="Times New Roman" w:eastAsia="Times New Roman" w:hAnsi="Times New Roman" w:cs="Times New Roman"/>
        <w:color w:val="000000" w:themeColor="text1"/>
      </w:rPr>
    </w:pPr>
    <w:r w:rsidRPr="00112EE7">
      <w:rPr>
        <w:rFonts w:ascii="Times New Roman" w:eastAsia="Times New Roman" w:hAnsi="Times New Roman" w:cs="Times New Roman"/>
        <w:color w:val="000000"/>
      </w:rPr>
      <w:t xml:space="preserve">Running head: </w:t>
    </w:r>
    <w:r>
      <w:rPr>
        <w:rFonts w:ascii="Times New Roman" w:eastAsia="Times New Roman" w:hAnsi="Times New Roman" w:cs="Times New Roman"/>
        <w:color w:val="000000" w:themeColor="text1"/>
      </w:rPr>
      <w:t>PARTNERSHIPS BETWEEN STAKEHOLDERS IN MATH EDUCATION</w:t>
    </w:r>
  </w:p>
  <w:p w14:paraId="7F3C8626" w14:textId="2C8347EF" w:rsidR="00DB59EC" w:rsidRDefault="00DB59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42ED5"/>
    <w:multiLevelType w:val="multilevel"/>
    <w:tmpl w:val="CD8A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2829C1"/>
    <w:multiLevelType w:val="multilevel"/>
    <w:tmpl w:val="1F0445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AA6"/>
    <w:rsid w:val="00001470"/>
    <w:rsid w:val="00020DCC"/>
    <w:rsid w:val="00030DCD"/>
    <w:rsid w:val="0005058C"/>
    <w:rsid w:val="0005394E"/>
    <w:rsid w:val="0006035B"/>
    <w:rsid w:val="00063B52"/>
    <w:rsid w:val="00067782"/>
    <w:rsid w:val="00071C41"/>
    <w:rsid w:val="000742D4"/>
    <w:rsid w:val="00076898"/>
    <w:rsid w:val="00076E3D"/>
    <w:rsid w:val="00076EEB"/>
    <w:rsid w:val="0007704C"/>
    <w:rsid w:val="000822AD"/>
    <w:rsid w:val="000853AF"/>
    <w:rsid w:val="00087F5C"/>
    <w:rsid w:val="000901B1"/>
    <w:rsid w:val="0009152C"/>
    <w:rsid w:val="000A0F39"/>
    <w:rsid w:val="000A780E"/>
    <w:rsid w:val="000C037B"/>
    <w:rsid w:val="000C1946"/>
    <w:rsid w:val="000D434B"/>
    <w:rsid w:val="000E0F26"/>
    <w:rsid w:val="000E7B87"/>
    <w:rsid w:val="000F19E8"/>
    <w:rsid w:val="000F5147"/>
    <w:rsid w:val="001001A9"/>
    <w:rsid w:val="00112EE7"/>
    <w:rsid w:val="001142AD"/>
    <w:rsid w:val="00115B5C"/>
    <w:rsid w:val="00124650"/>
    <w:rsid w:val="00132721"/>
    <w:rsid w:val="00144789"/>
    <w:rsid w:val="00147236"/>
    <w:rsid w:val="00150C31"/>
    <w:rsid w:val="00156D56"/>
    <w:rsid w:val="00160FD3"/>
    <w:rsid w:val="00165CDA"/>
    <w:rsid w:val="00172059"/>
    <w:rsid w:val="0017485E"/>
    <w:rsid w:val="0019160B"/>
    <w:rsid w:val="0019737F"/>
    <w:rsid w:val="001A3470"/>
    <w:rsid w:val="001A5323"/>
    <w:rsid w:val="001B1F4D"/>
    <w:rsid w:val="001B571B"/>
    <w:rsid w:val="001C2EE5"/>
    <w:rsid w:val="001E267C"/>
    <w:rsid w:val="0020596F"/>
    <w:rsid w:val="00205D8F"/>
    <w:rsid w:val="00205E21"/>
    <w:rsid w:val="00212824"/>
    <w:rsid w:val="00214B2D"/>
    <w:rsid w:val="0021537E"/>
    <w:rsid w:val="002227D0"/>
    <w:rsid w:val="002323B4"/>
    <w:rsid w:val="00233F64"/>
    <w:rsid w:val="0023747F"/>
    <w:rsid w:val="002524C0"/>
    <w:rsid w:val="002662BB"/>
    <w:rsid w:val="00270087"/>
    <w:rsid w:val="00290C9D"/>
    <w:rsid w:val="002A2F47"/>
    <w:rsid w:val="002A40DC"/>
    <w:rsid w:val="002A47A4"/>
    <w:rsid w:val="002B3243"/>
    <w:rsid w:val="002B7FA6"/>
    <w:rsid w:val="002C2FD4"/>
    <w:rsid w:val="002C5C29"/>
    <w:rsid w:val="002E19F0"/>
    <w:rsid w:val="002F66A4"/>
    <w:rsid w:val="002F76AB"/>
    <w:rsid w:val="0030098C"/>
    <w:rsid w:val="00302E76"/>
    <w:rsid w:val="00304F0A"/>
    <w:rsid w:val="00305375"/>
    <w:rsid w:val="0032699C"/>
    <w:rsid w:val="003276D4"/>
    <w:rsid w:val="00335B23"/>
    <w:rsid w:val="00342BB3"/>
    <w:rsid w:val="00344D5B"/>
    <w:rsid w:val="003503DB"/>
    <w:rsid w:val="00362216"/>
    <w:rsid w:val="00381AA6"/>
    <w:rsid w:val="00383E91"/>
    <w:rsid w:val="003877E3"/>
    <w:rsid w:val="00392B2C"/>
    <w:rsid w:val="003B051E"/>
    <w:rsid w:val="003B2577"/>
    <w:rsid w:val="003C4DC1"/>
    <w:rsid w:val="003D5ABD"/>
    <w:rsid w:val="00400518"/>
    <w:rsid w:val="0041100E"/>
    <w:rsid w:val="00420BDB"/>
    <w:rsid w:val="00422301"/>
    <w:rsid w:val="00435D60"/>
    <w:rsid w:val="004453AF"/>
    <w:rsid w:val="00445E7A"/>
    <w:rsid w:val="00453B77"/>
    <w:rsid w:val="00455E1B"/>
    <w:rsid w:val="00461034"/>
    <w:rsid w:val="00465712"/>
    <w:rsid w:val="004659CB"/>
    <w:rsid w:val="00475478"/>
    <w:rsid w:val="004779FB"/>
    <w:rsid w:val="00485323"/>
    <w:rsid w:val="00495E2A"/>
    <w:rsid w:val="004A0D29"/>
    <w:rsid w:val="004A71B4"/>
    <w:rsid w:val="004A770A"/>
    <w:rsid w:val="004C6F3A"/>
    <w:rsid w:val="004D027A"/>
    <w:rsid w:val="004E00A4"/>
    <w:rsid w:val="004E600B"/>
    <w:rsid w:val="00500EDD"/>
    <w:rsid w:val="005018DC"/>
    <w:rsid w:val="00501CAC"/>
    <w:rsid w:val="005049F7"/>
    <w:rsid w:val="005075B8"/>
    <w:rsid w:val="00514304"/>
    <w:rsid w:val="005334F1"/>
    <w:rsid w:val="00536966"/>
    <w:rsid w:val="00540EA4"/>
    <w:rsid w:val="005465A6"/>
    <w:rsid w:val="00547BCF"/>
    <w:rsid w:val="005501B2"/>
    <w:rsid w:val="0057799C"/>
    <w:rsid w:val="00581C88"/>
    <w:rsid w:val="005A0354"/>
    <w:rsid w:val="005A4CCA"/>
    <w:rsid w:val="005A5B4B"/>
    <w:rsid w:val="005C613E"/>
    <w:rsid w:val="005D3EE9"/>
    <w:rsid w:val="005F15AB"/>
    <w:rsid w:val="005F683A"/>
    <w:rsid w:val="00603088"/>
    <w:rsid w:val="006067A4"/>
    <w:rsid w:val="00607AA0"/>
    <w:rsid w:val="006233BA"/>
    <w:rsid w:val="006243DE"/>
    <w:rsid w:val="006243FC"/>
    <w:rsid w:val="006330F1"/>
    <w:rsid w:val="006418A0"/>
    <w:rsid w:val="00662012"/>
    <w:rsid w:val="00672951"/>
    <w:rsid w:val="0067794A"/>
    <w:rsid w:val="00686F15"/>
    <w:rsid w:val="0069777F"/>
    <w:rsid w:val="006B129C"/>
    <w:rsid w:val="006C1209"/>
    <w:rsid w:val="006C3C4F"/>
    <w:rsid w:val="006D7E47"/>
    <w:rsid w:val="006E138B"/>
    <w:rsid w:val="006E3971"/>
    <w:rsid w:val="006F27C1"/>
    <w:rsid w:val="006F5B47"/>
    <w:rsid w:val="00707DD0"/>
    <w:rsid w:val="007159EE"/>
    <w:rsid w:val="00717A5E"/>
    <w:rsid w:val="00720595"/>
    <w:rsid w:val="0072464B"/>
    <w:rsid w:val="00735A21"/>
    <w:rsid w:val="00736304"/>
    <w:rsid w:val="00740504"/>
    <w:rsid w:val="00750C72"/>
    <w:rsid w:val="007521DC"/>
    <w:rsid w:val="007549C6"/>
    <w:rsid w:val="0076302A"/>
    <w:rsid w:val="00765893"/>
    <w:rsid w:val="00770BCA"/>
    <w:rsid w:val="00774F28"/>
    <w:rsid w:val="00775B75"/>
    <w:rsid w:val="00782D1C"/>
    <w:rsid w:val="007861A0"/>
    <w:rsid w:val="00790FAC"/>
    <w:rsid w:val="007B2B1F"/>
    <w:rsid w:val="007B3533"/>
    <w:rsid w:val="007B3D71"/>
    <w:rsid w:val="007D37EE"/>
    <w:rsid w:val="007D57E1"/>
    <w:rsid w:val="007E7E44"/>
    <w:rsid w:val="008050E4"/>
    <w:rsid w:val="00811AF1"/>
    <w:rsid w:val="00823A9B"/>
    <w:rsid w:val="00834069"/>
    <w:rsid w:val="00843EA8"/>
    <w:rsid w:val="00844552"/>
    <w:rsid w:val="008454BC"/>
    <w:rsid w:val="008543F3"/>
    <w:rsid w:val="00861AD2"/>
    <w:rsid w:val="0086288E"/>
    <w:rsid w:val="0086473C"/>
    <w:rsid w:val="008867B1"/>
    <w:rsid w:val="008A4BF6"/>
    <w:rsid w:val="008B29F1"/>
    <w:rsid w:val="008B5130"/>
    <w:rsid w:val="008C1102"/>
    <w:rsid w:val="008C2D9B"/>
    <w:rsid w:val="008C3CE1"/>
    <w:rsid w:val="008D1352"/>
    <w:rsid w:val="008D2C53"/>
    <w:rsid w:val="008E266E"/>
    <w:rsid w:val="008F0D20"/>
    <w:rsid w:val="008F7A36"/>
    <w:rsid w:val="00900E39"/>
    <w:rsid w:val="009119EC"/>
    <w:rsid w:val="00912F84"/>
    <w:rsid w:val="00914C75"/>
    <w:rsid w:val="009265A4"/>
    <w:rsid w:val="00937084"/>
    <w:rsid w:val="00942D05"/>
    <w:rsid w:val="0095647B"/>
    <w:rsid w:val="00961586"/>
    <w:rsid w:val="00961DDF"/>
    <w:rsid w:val="0097234F"/>
    <w:rsid w:val="00972841"/>
    <w:rsid w:val="0098036C"/>
    <w:rsid w:val="009867B6"/>
    <w:rsid w:val="00997750"/>
    <w:rsid w:val="009A4C75"/>
    <w:rsid w:val="009A4D27"/>
    <w:rsid w:val="009B4130"/>
    <w:rsid w:val="009B5DF0"/>
    <w:rsid w:val="009B79EF"/>
    <w:rsid w:val="009C3A58"/>
    <w:rsid w:val="009C46C3"/>
    <w:rsid w:val="009C7722"/>
    <w:rsid w:val="009D0004"/>
    <w:rsid w:val="009D0516"/>
    <w:rsid w:val="009D5BC1"/>
    <w:rsid w:val="009E50EA"/>
    <w:rsid w:val="009F25AE"/>
    <w:rsid w:val="009F4D73"/>
    <w:rsid w:val="00A00C0A"/>
    <w:rsid w:val="00A048CE"/>
    <w:rsid w:val="00A05AC9"/>
    <w:rsid w:val="00A1241D"/>
    <w:rsid w:val="00A131E7"/>
    <w:rsid w:val="00A22844"/>
    <w:rsid w:val="00A416C0"/>
    <w:rsid w:val="00A64D6E"/>
    <w:rsid w:val="00A64FE3"/>
    <w:rsid w:val="00A73BA9"/>
    <w:rsid w:val="00A81FE5"/>
    <w:rsid w:val="00A87349"/>
    <w:rsid w:val="00A94A7F"/>
    <w:rsid w:val="00AA0D08"/>
    <w:rsid w:val="00AB23B6"/>
    <w:rsid w:val="00AB3AE2"/>
    <w:rsid w:val="00AB4F18"/>
    <w:rsid w:val="00AB5186"/>
    <w:rsid w:val="00AB570B"/>
    <w:rsid w:val="00AC0A9F"/>
    <w:rsid w:val="00AC4081"/>
    <w:rsid w:val="00AC4333"/>
    <w:rsid w:val="00AC7FC1"/>
    <w:rsid w:val="00AD11FD"/>
    <w:rsid w:val="00AE1ED2"/>
    <w:rsid w:val="00AF4704"/>
    <w:rsid w:val="00B016FB"/>
    <w:rsid w:val="00B021C5"/>
    <w:rsid w:val="00B119CA"/>
    <w:rsid w:val="00B124CA"/>
    <w:rsid w:val="00B1415E"/>
    <w:rsid w:val="00B14E02"/>
    <w:rsid w:val="00B23AE5"/>
    <w:rsid w:val="00B30713"/>
    <w:rsid w:val="00B350D1"/>
    <w:rsid w:val="00B37BE0"/>
    <w:rsid w:val="00B410F8"/>
    <w:rsid w:val="00B41219"/>
    <w:rsid w:val="00B4683D"/>
    <w:rsid w:val="00B472B2"/>
    <w:rsid w:val="00B503FE"/>
    <w:rsid w:val="00B517F3"/>
    <w:rsid w:val="00B51AAD"/>
    <w:rsid w:val="00B6472F"/>
    <w:rsid w:val="00B64EAC"/>
    <w:rsid w:val="00B66CE7"/>
    <w:rsid w:val="00B7399B"/>
    <w:rsid w:val="00B91598"/>
    <w:rsid w:val="00B9243C"/>
    <w:rsid w:val="00B94613"/>
    <w:rsid w:val="00B9697C"/>
    <w:rsid w:val="00BA3478"/>
    <w:rsid w:val="00BA6CEE"/>
    <w:rsid w:val="00BD3C06"/>
    <w:rsid w:val="00BD56C5"/>
    <w:rsid w:val="00BE0920"/>
    <w:rsid w:val="00BE4172"/>
    <w:rsid w:val="00BE523D"/>
    <w:rsid w:val="00BF341C"/>
    <w:rsid w:val="00BF69E1"/>
    <w:rsid w:val="00C13941"/>
    <w:rsid w:val="00C14B10"/>
    <w:rsid w:val="00C168C1"/>
    <w:rsid w:val="00C23B08"/>
    <w:rsid w:val="00C25F72"/>
    <w:rsid w:val="00C26AF0"/>
    <w:rsid w:val="00C4773B"/>
    <w:rsid w:val="00C62369"/>
    <w:rsid w:val="00C63D94"/>
    <w:rsid w:val="00C644E3"/>
    <w:rsid w:val="00C777A3"/>
    <w:rsid w:val="00C815F4"/>
    <w:rsid w:val="00C92D3E"/>
    <w:rsid w:val="00CA3727"/>
    <w:rsid w:val="00CA6470"/>
    <w:rsid w:val="00CB2260"/>
    <w:rsid w:val="00CC5AA0"/>
    <w:rsid w:val="00CC66C3"/>
    <w:rsid w:val="00CC7F52"/>
    <w:rsid w:val="00CD266E"/>
    <w:rsid w:val="00CD2E69"/>
    <w:rsid w:val="00CE29CA"/>
    <w:rsid w:val="00CE5C8E"/>
    <w:rsid w:val="00CE6BEC"/>
    <w:rsid w:val="00CE75DA"/>
    <w:rsid w:val="00CF61A0"/>
    <w:rsid w:val="00D04522"/>
    <w:rsid w:val="00D12487"/>
    <w:rsid w:val="00D17EC0"/>
    <w:rsid w:val="00D5481B"/>
    <w:rsid w:val="00D6342D"/>
    <w:rsid w:val="00D720EC"/>
    <w:rsid w:val="00D90726"/>
    <w:rsid w:val="00D938C2"/>
    <w:rsid w:val="00D95745"/>
    <w:rsid w:val="00D97002"/>
    <w:rsid w:val="00DB59EC"/>
    <w:rsid w:val="00DC0BA2"/>
    <w:rsid w:val="00DE36A9"/>
    <w:rsid w:val="00DE7689"/>
    <w:rsid w:val="00DF01C5"/>
    <w:rsid w:val="00DF7823"/>
    <w:rsid w:val="00E076F3"/>
    <w:rsid w:val="00E11928"/>
    <w:rsid w:val="00E34982"/>
    <w:rsid w:val="00E4654F"/>
    <w:rsid w:val="00E5468F"/>
    <w:rsid w:val="00E55BF3"/>
    <w:rsid w:val="00E66276"/>
    <w:rsid w:val="00E713D2"/>
    <w:rsid w:val="00E77BAF"/>
    <w:rsid w:val="00E802C4"/>
    <w:rsid w:val="00E814A2"/>
    <w:rsid w:val="00E86977"/>
    <w:rsid w:val="00E911FA"/>
    <w:rsid w:val="00E9504B"/>
    <w:rsid w:val="00ED5FEF"/>
    <w:rsid w:val="00ED758A"/>
    <w:rsid w:val="00EF0739"/>
    <w:rsid w:val="00F001C2"/>
    <w:rsid w:val="00F044C3"/>
    <w:rsid w:val="00F16829"/>
    <w:rsid w:val="00F16D2A"/>
    <w:rsid w:val="00F23024"/>
    <w:rsid w:val="00F270E5"/>
    <w:rsid w:val="00F2795C"/>
    <w:rsid w:val="00F32DC7"/>
    <w:rsid w:val="00F40178"/>
    <w:rsid w:val="00F53247"/>
    <w:rsid w:val="00F56514"/>
    <w:rsid w:val="00F65EAF"/>
    <w:rsid w:val="00F76F53"/>
    <w:rsid w:val="00F8269F"/>
    <w:rsid w:val="00F9052D"/>
    <w:rsid w:val="00F94EF9"/>
    <w:rsid w:val="00F958AD"/>
    <w:rsid w:val="00FA42B7"/>
    <w:rsid w:val="00FB110D"/>
    <w:rsid w:val="00FC7856"/>
    <w:rsid w:val="00FD4965"/>
    <w:rsid w:val="00FD7D5C"/>
    <w:rsid w:val="00FE52A3"/>
    <w:rsid w:val="00FE5672"/>
    <w:rsid w:val="00FE6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0ED71"/>
  <w15:docId w15:val="{A906B033-D25B-BC4C-B519-6969E6694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94613"/>
    <w:pPr>
      <w:tabs>
        <w:tab w:val="center" w:pos="4680"/>
        <w:tab w:val="right" w:pos="9360"/>
      </w:tabs>
    </w:pPr>
  </w:style>
  <w:style w:type="character" w:customStyle="1" w:styleId="HeaderChar">
    <w:name w:val="Header Char"/>
    <w:basedOn w:val="DefaultParagraphFont"/>
    <w:link w:val="Header"/>
    <w:uiPriority w:val="99"/>
    <w:rsid w:val="00B94613"/>
  </w:style>
  <w:style w:type="paragraph" w:styleId="Footer">
    <w:name w:val="footer"/>
    <w:basedOn w:val="Normal"/>
    <w:link w:val="FooterChar"/>
    <w:uiPriority w:val="99"/>
    <w:unhideWhenUsed/>
    <w:rsid w:val="00B94613"/>
    <w:pPr>
      <w:tabs>
        <w:tab w:val="center" w:pos="4680"/>
        <w:tab w:val="right" w:pos="9360"/>
      </w:tabs>
    </w:pPr>
  </w:style>
  <w:style w:type="character" w:customStyle="1" w:styleId="FooterChar">
    <w:name w:val="Footer Char"/>
    <w:basedOn w:val="DefaultParagraphFont"/>
    <w:link w:val="Footer"/>
    <w:uiPriority w:val="99"/>
    <w:rsid w:val="00B94613"/>
  </w:style>
  <w:style w:type="character" w:styleId="Hyperlink">
    <w:name w:val="Hyperlink"/>
    <w:basedOn w:val="DefaultParagraphFont"/>
    <w:uiPriority w:val="99"/>
    <w:unhideWhenUsed/>
    <w:rsid w:val="00A131E7"/>
    <w:rPr>
      <w:color w:val="0000FF" w:themeColor="hyperlink"/>
      <w:u w:val="single"/>
    </w:rPr>
  </w:style>
  <w:style w:type="character" w:styleId="UnresolvedMention">
    <w:name w:val="Unresolved Mention"/>
    <w:basedOn w:val="DefaultParagraphFont"/>
    <w:uiPriority w:val="99"/>
    <w:semiHidden/>
    <w:unhideWhenUsed/>
    <w:rsid w:val="00A131E7"/>
    <w:rPr>
      <w:color w:val="605E5C"/>
      <w:shd w:val="clear" w:color="auto" w:fill="E1DFDD"/>
    </w:rPr>
  </w:style>
  <w:style w:type="paragraph" w:styleId="NormalWeb">
    <w:name w:val="Normal (Web)"/>
    <w:basedOn w:val="Normal"/>
    <w:uiPriority w:val="99"/>
    <w:semiHidden/>
    <w:unhideWhenUsed/>
    <w:rsid w:val="00AB5186"/>
    <w:pPr>
      <w:spacing w:before="100" w:beforeAutospacing="1" w:after="100" w:afterAutospacing="1"/>
    </w:pPr>
    <w:rPr>
      <w:rFonts w:ascii="Times New Roman" w:eastAsia="Times New Roman" w:hAnsi="Times New Roman" w:cs="Times New Roman"/>
    </w:rPr>
  </w:style>
  <w:style w:type="character" w:customStyle="1" w:styleId="layout-fill">
    <w:name w:val="layout-fill"/>
    <w:basedOn w:val="DefaultParagraphFont"/>
    <w:rsid w:val="00E713D2"/>
  </w:style>
  <w:style w:type="character" w:styleId="PageNumber">
    <w:name w:val="page number"/>
    <w:basedOn w:val="DefaultParagraphFont"/>
    <w:uiPriority w:val="99"/>
    <w:semiHidden/>
    <w:unhideWhenUsed/>
    <w:rsid w:val="00112EE7"/>
  </w:style>
  <w:style w:type="paragraph" w:customStyle="1" w:styleId="citation">
    <w:name w:val="citation"/>
    <w:basedOn w:val="Normal"/>
    <w:rsid w:val="00214B2D"/>
    <w:pPr>
      <w:spacing w:before="100" w:beforeAutospacing="1" w:after="100" w:afterAutospacing="1"/>
    </w:pPr>
    <w:rPr>
      <w:rFonts w:ascii="Times New Roman" w:eastAsia="Times New Roman" w:hAnsi="Times New Roman" w:cs="Times New Roman"/>
    </w:rPr>
  </w:style>
  <w:style w:type="paragraph" w:customStyle="1" w:styleId="PMENA-Heading1">
    <w:name w:val="PMENA-Heading 1"/>
    <w:basedOn w:val="Normal"/>
    <w:autoRedefine/>
    <w:qFormat/>
    <w:rsid w:val="00D938C2"/>
    <w:pPr>
      <w:keepNext/>
      <w:widowControl w:val="0"/>
      <w:autoSpaceDE w:val="0"/>
      <w:autoSpaceDN w:val="0"/>
      <w:adjustRightInd w:val="0"/>
      <w:spacing w:before="240"/>
      <w:jc w:val="center"/>
      <w:outlineLvl w:val="0"/>
    </w:pPr>
    <w:rPr>
      <w:rFonts w:ascii="Times New Roman" w:eastAsia="Simang" w:hAnsi="Times New Roman" w:cs="Times New Roman"/>
      <w:b/>
    </w:rPr>
  </w:style>
  <w:style w:type="paragraph" w:customStyle="1" w:styleId="PMEReferences">
    <w:name w:val="PME References"/>
    <w:basedOn w:val="Normal"/>
    <w:uiPriority w:val="99"/>
    <w:rsid w:val="00A64D6E"/>
    <w:pPr>
      <w:autoSpaceDE w:val="0"/>
      <w:autoSpaceDN w:val="0"/>
      <w:spacing w:after="120" w:line="260" w:lineRule="atLeast"/>
      <w:ind w:left="289" w:hanging="289"/>
      <w:jc w:val="both"/>
    </w:pPr>
    <w:rPr>
      <w:rFonts w:ascii="Times New Roman" w:eastAsia="PMingLiU" w:hAnsi="Times New Roman" w:cs="Times New Roman"/>
      <w:sz w:val="26"/>
      <w:szCs w:val="26"/>
      <w:lang w:val="en-AU" w:eastAsia="es-ES"/>
    </w:rPr>
  </w:style>
  <w:style w:type="table" w:styleId="TableGrid">
    <w:name w:val="Table Grid"/>
    <w:basedOn w:val="TableNormal"/>
    <w:uiPriority w:val="39"/>
    <w:rsid w:val="00B9697C"/>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fld-contribauthor">
    <w:name w:val="hlfld-contribauthor"/>
    <w:basedOn w:val="DefaultParagraphFont"/>
    <w:rsid w:val="00FA42B7"/>
  </w:style>
  <w:style w:type="character" w:customStyle="1" w:styleId="nlmgiven-names">
    <w:name w:val="nlm_given-names"/>
    <w:basedOn w:val="DefaultParagraphFont"/>
    <w:rsid w:val="00FA42B7"/>
  </w:style>
  <w:style w:type="character" w:customStyle="1" w:styleId="nlmyear">
    <w:name w:val="nlm_year"/>
    <w:basedOn w:val="DefaultParagraphFont"/>
    <w:rsid w:val="00FA42B7"/>
  </w:style>
  <w:style w:type="character" w:customStyle="1" w:styleId="nlmarticle-title">
    <w:name w:val="nlm_article-title"/>
    <w:basedOn w:val="DefaultParagraphFont"/>
    <w:rsid w:val="00FA42B7"/>
  </w:style>
  <w:style w:type="character" w:customStyle="1" w:styleId="nlmfpage">
    <w:name w:val="nlm_fpage"/>
    <w:basedOn w:val="DefaultParagraphFont"/>
    <w:rsid w:val="00FA42B7"/>
  </w:style>
  <w:style w:type="character" w:customStyle="1" w:styleId="nlmlpage">
    <w:name w:val="nlm_lpage"/>
    <w:basedOn w:val="DefaultParagraphFont"/>
    <w:rsid w:val="00FA42B7"/>
  </w:style>
  <w:style w:type="character" w:customStyle="1" w:styleId="nlmpublisher-loc">
    <w:name w:val="nlm_publisher-loc"/>
    <w:basedOn w:val="DefaultParagraphFont"/>
    <w:rsid w:val="00FA42B7"/>
  </w:style>
  <w:style w:type="character" w:customStyle="1" w:styleId="nlmpublisher-name">
    <w:name w:val="nlm_publisher-name"/>
    <w:basedOn w:val="DefaultParagraphFont"/>
    <w:rsid w:val="00FA42B7"/>
  </w:style>
  <w:style w:type="character" w:styleId="CommentReference">
    <w:name w:val="annotation reference"/>
    <w:basedOn w:val="DefaultParagraphFont"/>
    <w:uiPriority w:val="99"/>
    <w:semiHidden/>
    <w:unhideWhenUsed/>
    <w:rsid w:val="0076302A"/>
    <w:rPr>
      <w:sz w:val="16"/>
      <w:szCs w:val="16"/>
    </w:rPr>
  </w:style>
  <w:style w:type="paragraph" w:styleId="CommentText">
    <w:name w:val="annotation text"/>
    <w:basedOn w:val="Normal"/>
    <w:link w:val="CommentTextChar"/>
    <w:uiPriority w:val="99"/>
    <w:semiHidden/>
    <w:unhideWhenUsed/>
    <w:rsid w:val="0076302A"/>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6302A"/>
    <w:rPr>
      <w:rFonts w:asciiTheme="minorHAnsi" w:eastAsiaTheme="minorHAnsi" w:hAnsiTheme="minorHAnsi" w:cstheme="minorBidi"/>
      <w:sz w:val="20"/>
      <w:szCs w:val="20"/>
    </w:rPr>
  </w:style>
  <w:style w:type="paragraph" w:styleId="BalloonText">
    <w:name w:val="Balloon Text"/>
    <w:basedOn w:val="Normal"/>
    <w:link w:val="BalloonTextChar"/>
    <w:uiPriority w:val="99"/>
    <w:semiHidden/>
    <w:unhideWhenUsed/>
    <w:rsid w:val="007630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302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67187">
      <w:bodyDiv w:val="1"/>
      <w:marLeft w:val="0"/>
      <w:marRight w:val="0"/>
      <w:marTop w:val="0"/>
      <w:marBottom w:val="0"/>
      <w:divBdr>
        <w:top w:val="none" w:sz="0" w:space="0" w:color="auto"/>
        <w:left w:val="none" w:sz="0" w:space="0" w:color="auto"/>
        <w:bottom w:val="none" w:sz="0" w:space="0" w:color="auto"/>
        <w:right w:val="none" w:sz="0" w:space="0" w:color="auto"/>
      </w:divBdr>
      <w:divsChild>
        <w:div w:id="1492864262">
          <w:marLeft w:val="0"/>
          <w:marRight w:val="0"/>
          <w:marTop w:val="0"/>
          <w:marBottom w:val="0"/>
          <w:divBdr>
            <w:top w:val="none" w:sz="0" w:space="0" w:color="auto"/>
            <w:left w:val="none" w:sz="0" w:space="0" w:color="auto"/>
            <w:bottom w:val="none" w:sz="0" w:space="0" w:color="auto"/>
            <w:right w:val="none" w:sz="0" w:space="0" w:color="auto"/>
          </w:divBdr>
          <w:divsChild>
            <w:div w:id="642122117">
              <w:marLeft w:val="0"/>
              <w:marRight w:val="0"/>
              <w:marTop w:val="0"/>
              <w:marBottom w:val="0"/>
              <w:divBdr>
                <w:top w:val="none" w:sz="0" w:space="0" w:color="auto"/>
                <w:left w:val="none" w:sz="0" w:space="0" w:color="auto"/>
                <w:bottom w:val="none" w:sz="0" w:space="0" w:color="auto"/>
                <w:right w:val="none" w:sz="0" w:space="0" w:color="auto"/>
              </w:divBdr>
              <w:divsChild>
                <w:div w:id="56965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6304">
      <w:bodyDiv w:val="1"/>
      <w:marLeft w:val="0"/>
      <w:marRight w:val="0"/>
      <w:marTop w:val="0"/>
      <w:marBottom w:val="0"/>
      <w:divBdr>
        <w:top w:val="none" w:sz="0" w:space="0" w:color="auto"/>
        <w:left w:val="none" w:sz="0" w:space="0" w:color="auto"/>
        <w:bottom w:val="none" w:sz="0" w:space="0" w:color="auto"/>
        <w:right w:val="none" w:sz="0" w:space="0" w:color="auto"/>
      </w:divBdr>
      <w:divsChild>
        <w:div w:id="1423070768">
          <w:marLeft w:val="0"/>
          <w:marRight w:val="0"/>
          <w:marTop w:val="0"/>
          <w:marBottom w:val="0"/>
          <w:divBdr>
            <w:top w:val="none" w:sz="0" w:space="0" w:color="auto"/>
            <w:left w:val="none" w:sz="0" w:space="0" w:color="auto"/>
            <w:bottom w:val="none" w:sz="0" w:space="0" w:color="auto"/>
            <w:right w:val="none" w:sz="0" w:space="0" w:color="auto"/>
          </w:divBdr>
          <w:divsChild>
            <w:div w:id="180364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6254">
      <w:bodyDiv w:val="1"/>
      <w:marLeft w:val="0"/>
      <w:marRight w:val="0"/>
      <w:marTop w:val="0"/>
      <w:marBottom w:val="0"/>
      <w:divBdr>
        <w:top w:val="none" w:sz="0" w:space="0" w:color="auto"/>
        <w:left w:val="none" w:sz="0" w:space="0" w:color="auto"/>
        <w:bottom w:val="none" w:sz="0" w:space="0" w:color="auto"/>
        <w:right w:val="none" w:sz="0" w:space="0" w:color="auto"/>
      </w:divBdr>
    </w:div>
    <w:div w:id="328142599">
      <w:bodyDiv w:val="1"/>
      <w:marLeft w:val="0"/>
      <w:marRight w:val="0"/>
      <w:marTop w:val="0"/>
      <w:marBottom w:val="0"/>
      <w:divBdr>
        <w:top w:val="none" w:sz="0" w:space="0" w:color="auto"/>
        <w:left w:val="none" w:sz="0" w:space="0" w:color="auto"/>
        <w:bottom w:val="none" w:sz="0" w:space="0" w:color="auto"/>
        <w:right w:val="none" w:sz="0" w:space="0" w:color="auto"/>
      </w:divBdr>
      <w:divsChild>
        <w:div w:id="1599482797">
          <w:marLeft w:val="0"/>
          <w:marRight w:val="0"/>
          <w:marTop w:val="0"/>
          <w:marBottom w:val="0"/>
          <w:divBdr>
            <w:top w:val="none" w:sz="0" w:space="0" w:color="auto"/>
            <w:left w:val="none" w:sz="0" w:space="0" w:color="auto"/>
            <w:bottom w:val="none" w:sz="0" w:space="0" w:color="auto"/>
            <w:right w:val="none" w:sz="0" w:space="0" w:color="auto"/>
          </w:divBdr>
          <w:divsChild>
            <w:div w:id="930816872">
              <w:marLeft w:val="0"/>
              <w:marRight w:val="0"/>
              <w:marTop w:val="0"/>
              <w:marBottom w:val="0"/>
              <w:divBdr>
                <w:top w:val="none" w:sz="0" w:space="0" w:color="auto"/>
                <w:left w:val="none" w:sz="0" w:space="0" w:color="auto"/>
                <w:bottom w:val="none" w:sz="0" w:space="0" w:color="auto"/>
                <w:right w:val="none" w:sz="0" w:space="0" w:color="auto"/>
              </w:divBdr>
              <w:divsChild>
                <w:div w:id="7217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168922">
      <w:bodyDiv w:val="1"/>
      <w:marLeft w:val="0"/>
      <w:marRight w:val="0"/>
      <w:marTop w:val="0"/>
      <w:marBottom w:val="0"/>
      <w:divBdr>
        <w:top w:val="none" w:sz="0" w:space="0" w:color="auto"/>
        <w:left w:val="none" w:sz="0" w:space="0" w:color="auto"/>
        <w:bottom w:val="none" w:sz="0" w:space="0" w:color="auto"/>
        <w:right w:val="none" w:sz="0" w:space="0" w:color="auto"/>
      </w:divBdr>
    </w:div>
    <w:div w:id="457380208">
      <w:bodyDiv w:val="1"/>
      <w:marLeft w:val="0"/>
      <w:marRight w:val="0"/>
      <w:marTop w:val="0"/>
      <w:marBottom w:val="0"/>
      <w:divBdr>
        <w:top w:val="none" w:sz="0" w:space="0" w:color="auto"/>
        <w:left w:val="none" w:sz="0" w:space="0" w:color="auto"/>
        <w:bottom w:val="none" w:sz="0" w:space="0" w:color="auto"/>
        <w:right w:val="none" w:sz="0" w:space="0" w:color="auto"/>
      </w:divBdr>
    </w:div>
    <w:div w:id="498085498">
      <w:bodyDiv w:val="1"/>
      <w:marLeft w:val="0"/>
      <w:marRight w:val="0"/>
      <w:marTop w:val="0"/>
      <w:marBottom w:val="0"/>
      <w:divBdr>
        <w:top w:val="none" w:sz="0" w:space="0" w:color="auto"/>
        <w:left w:val="none" w:sz="0" w:space="0" w:color="auto"/>
        <w:bottom w:val="none" w:sz="0" w:space="0" w:color="auto"/>
        <w:right w:val="none" w:sz="0" w:space="0" w:color="auto"/>
      </w:divBdr>
      <w:divsChild>
        <w:div w:id="1668359638">
          <w:marLeft w:val="0"/>
          <w:marRight w:val="0"/>
          <w:marTop w:val="0"/>
          <w:marBottom w:val="0"/>
          <w:divBdr>
            <w:top w:val="none" w:sz="0" w:space="0" w:color="auto"/>
            <w:left w:val="none" w:sz="0" w:space="0" w:color="auto"/>
            <w:bottom w:val="none" w:sz="0" w:space="0" w:color="auto"/>
            <w:right w:val="none" w:sz="0" w:space="0" w:color="auto"/>
          </w:divBdr>
          <w:divsChild>
            <w:div w:id="5954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139">
      <w:bodyDiv w:val="1"/>
      <w:marLeft w:val="0"/>
      <w:marRight w:val="0"/>
      <w:marTop w:val="0"/>
      <w:marBottom w:val="0"/>
      <w:divBdr>
        <w:top w:val="none" w:sz="0" w:space="0" w:color="auto"/>
        <w:left w:val="none" w:sz="0" w:space="0" w:color="auto"/>
        <w:bottom w:val="none" w:sz="0" w:space="0" w:color="auto"/>
        <w:right w:val="none" w:sz="0" w:space="0" w:color="auto"/>
      </w:divBdr>
      <w:divsChild>
        <w:div w:id="1759210671">
          <w:marLeft w:val="0"/>
          <w:marRight w:val="0"/>
          <w:marTop w:val="0"/>
          <w:marBottom w:val="0"/>
          <w:divBdr>
            <w:top w:val="none" w:sz="0" w:space="0" w:color="auto"/>
            <w:left w:val="none" w:sz="0" w:space="0" w:color="auto"/>
            <w:bottom w:val="none" w:sz="0" w:space="0" w:color="auto"/>
            <w:right w:val="none" w:sz="0" w:space="0" w:color="auto"/>
          </w:divBdr>
          <w:divsChild>
            <w:div w:id="4153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50742">
      <w:bodyDiv w:val="1"/>
      <w:marLeft w:val="0"/>
      <w:marRight w:val="0"/>
      <w:marTop w:val="0"/>
      <w:marBottom w:val="0"/>
      <w:divBdr>
        <w:top w:val="none" w:sz="0" w:space="0" w:color="auto"/>
        <w:left w:val="none" w:sz="0" w:space="0" w:color="auto"/>
        <w:bottom w:val="none" w:sz="0" w:space="0" w:color="auto"/>
        <w:right w:val="none" w:sz="0" w:space="0" w:color="auto"/>
      </w:divBdr>
    </w:div>
    <w:div w:id="885142568">
      <w:bodyDiv w:val="1"/>
      <w:marLeft w:val="0"/>
      <w:marRight w:val="0"/>
      <w:marTop w:val="0"/>
      <w:marBottom w:val="0"/>
      <w:divBdr>
        <w:top w:val="none" w:sz="0" w:space="0" w:color="auto"/>
        <w:left w:val="none" w:sz="0" w:space="0" w:color="auto"/>
        <w:bottom w:val="none" w:sz="0" w:space="0" w:color="auto"/>
        <w:right w:val="none" w:sz="0" w:space="0" w:color="auto"/>
      </w:divBdr>
      <w:divsChild>
        <w:div w:id="235287587">
          <w:marLeft w:val="0"/>
          <w:marRight w:val="0"/>
          <w:marTop w:val="0"/>
          <w:marBottom w:val="0"/>
          <w:divBdr>
            <w:top w:val="none" w:sz="0" w:space="0" w:color="auto"/>
            <w:left w:val="none" w:sz="0" w:space="0" w:color="auto"/>
            <w:bottom w:val="none" w:sz="0" w:space="0" w:color="auto"/>
            <w:right w:val="none" w:sz="0" w:space="0" w:color="auto"/>
          </w:divBdr>
          <w:divsChild>
            <w:div w:id="1630283846">
              <w:marLeft w:val="0"/>
              <w:marRight w:val="0"/>
              <w:marTop w:val="0"/>
              <w:marBottom w:val="0"/>
              <w:divBdr>
                <w:top w:val="none" w:sz="0" w:space="0" w:color="auto"/>
                <w:left w:val="none" w:sz="0" w:space="0" w:color="auto"/>
                <w:bottom w:val="none" w:sz="0" w:space="0" w:color="auto"/>
                <w:right w:val="none" w:sz="0" w:space="0" w:color="auto"/>
              </w:divBdr>
              <w:divsChild>
                <w:div w:id="6062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441093">
      <w:bodyDiv w:val="1"/>
      <w:marLeft w:val="0"/>
      <w:marRight w:val="0"/>
      <w:marTop w:val="0"/>
      <w:marBottom w:val="0"/>
      <w:divBdr>
        <w:top w:val="none" w:sz="0" w:space="0" w:color="auto"/>
        <w:left w:val="none" w:sz="0" w:space="0" w:color="auto"/>
        <w:bottom w:val="none" w:sz="0" w:space="0" w:color="auto"/>
        <w:right w:val="none" w:sz="0" w:space="0" w:color="auto"/>
      </w:divBdr>
    </w:div>
    <w:div w:id="979651638">
      <w:bodyDiv w:val="1"/>
      <w:marLeft w:val="0"/>
      <w:marRight w:val="0"/>
      <w:marTop w:val="0"/>
      <w:marBottom w:val="0"/>
      <w:divBdr>
        <w:top w:val="none" w:sz="0" w:space="0" w:color="auto"/>
        <w:left w:val="none" w:sz="0" w:space="0" w:color="auto"/>
        <w:bottom w:val="none" w:sz="0" w:space="0" w:color="auto"/>
        <w:right w:val="none" w:sz="0" w:space="0" w:color="auto"/>
      </w:divBdr>
      <w:divsChild>
        <w:div w:id="561984764">
          <w:marLeft w:val="0"/>
          <w:marRight w:val="0"/>
          <w:marTop w:val="0"/>
          <w:marBottom w:val="0"/>
          <w:divBdr>
            <w:top w:val="none" w:sz="0" w:space="0" w:color="auto"/>
            <w:left w:val="none" w:sz="0" w:space="0" w:color="auto"/>
            <w:bottom w:val="none" w:sz="0" w:space="0" w:color="auto"/>
            <w:right w:val="none" w:sz="0" w:space="0" w:color="auto"/>
          </w:divBdr>
          <w:divsChild>
            <w:div w:id="139827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3131">
      <w:bodyDiv w:val="1"/>
      <w:marLeft w:val="0"/>
      <w:marRight w:val="0"/>
      <w:marTop w:val="0"/>
      <w:marBottom w:val="0"/>
      <w:divBdr>
        <w:top w:val="none" w:sz="0" w:space="0" w:color="auto"/>
        <w:left w:val="none" w:sz="0" w:space="0" w:color="auto"/>
        <w:bottom w:val="none" w:sz="0" w:space="0" w:color="auto"/>
        <w:right w:val="none" w:sz="0" w:space="0" w:color="auto"/>
      </w:divBdr>
      <w:divsChild>
        <w:div w:id="1584293062">
          <w:marLeft w:val="0"/>
          <w:marRight w:val="0"/>
          <w:marTop w:val="600"/>
          <w:marBottom w:val="0"/>
          <w:divBdr>
            <w:top w:val="none" w:sz="0" w:space="0" w:color="auto"/>
            <w:left w:val="none" w:sz="0" w:space="0" w:color="auto"/>
            <w:bottom w:val="none" w:sz="0" w:space="0" w:color="auto"/>
            <w:right w:val="none" w:sz="0" w:space="0" w:color="auto"/>
          </w:divBdr>
          <w:divsChild>
            <w:div w:id="1886408265">
              <w:marLeft w:val="0"/>
              <w:marRight w:val="0"/>
              <w:marTop w:val="0"/>
              <w:marBottom w:val="0"/>
              <w:divBdr>
                <w:top w:val="none" w:sz="0" w:space="0" w:color="auto"/>
                <w:left w:val="none" w:sz="0" w:space="0" w:color="auto"/>
                <w:bottom w:val="none" w:sz="0" w:space="0" w:color="auto"/>
                <w:right w:val="none" w:sz="0" w:space="0" w:color="auto"/>
              </w:divBdr>
              <w:divsChild>
                <w:div w:id="1325427802">
                  <w:marLeft w:val="0"/>
                  <w:marRight w:val="0"/>
                  <w:marTop w:val="0"/>
                  <w:marBottom w:val="0"/>
                  <w:divBdr>
                    <w:top w:val="none" w:sz="0" w:space="0" w:color="auto"/>
                    <w:left w:val="none" w:sz="0" w:space="0" w:color="auto"/>
                    <w:bottom w:val="none" w:sz="0" w:space="0" w:color="auto"/>
                    <w:right w:val="none" w:sz="0" w:space="0" w:color="auto"/>
                  </w:divBdr>
                  <w:divsChild>
                    <w:div w:id="207180394">
                      <w:marLeft w:val="0"/>
                      <w:marRight w:val="0"/>
                      <w:marTop w:val="0"/>
                      <w:marBottom w:val="0"/>
                      <w:divBdr>
                        <w:top w:val="none" w:sz="0" w:space="0" w:color="auto"/>
                        <w:left w:val="none" w:sz="0" w:space="0" w:color="auto"/>
                        <w:bottom w:val="none" w:sz="0" w:space="0" w:color="auto"/>
                        <w:right w:val="none" w:sz="0" w:space="0" w:color="auto"/>
                      </w:divBdr>
                      <w:divsChild>
                        <w:div w:id="394743443">
                          <w:marLeft w:val="0"/>
                          <w:marRight w:val="0"/>
                          <w:marTop w:val="0"/>
                          <w:marBottom w:val="0"/>
                          <w:divBdr>
                            <w:top w:val="none" w:sz="0" w:space="0" w:color="auto"/>
                            <w:left w:val="none" w:sz="0" w:space="0" w:color="auto"/>
                            <w:bottom w:val="none" w:sz="0" w:space="0" w:color="auto"/>
                            <w:right w:val="none" w:sz="0" w:space="0" w:color="auto"/>
                          </w:divBdr>
                          <w:divsChild>
                            <w:div w:id="287513976">
                              <w:marLeft w:val="0"/>
                              <w:marRight w:val="0"/>
                              <w:marTop w:val="0"/>
                              <w:marBottom w:val="0"/>
                              <w:divBdr>
                                <w:top w:val="none" w:sz="0" w:space="0" w:color="auto"/>
                                <w:left w:val="none" w:sz="0" w:space="0" w:color="auto"/>
                                <w:bottom w:val="none" w:sz="0" w:space="0" w:color="auto"/>
                                <w:right w:val="none" w:sz="0" w:space="0" w:color="auto"/>
                              </w:divBdr>
                              <w:divsChild>
                                <w:div w:id="2116973039">
                                  <w:marLeft w:val="0"/>
                                  <w:marRight w:val="0"/>
                                  <w:marTop w:val="0"/>
                                  <w:marBottom w:val="0"/>
                                  <w:divBdr>
                                    <w:top w:val="none" w:sz="0" w:space="0" w:color="auto"/>
                                    <w:left w:val="none" w:sz="0" w:space="0" w:color="auto"/>
                                    <w:bottom w:val="none" w:sz="0" w:space="0" w:color="auto"/>
                                    <w:right w:val="none" w:sz="0" w:space="0" w:color="auto"/>
                                  </w:divBdr>
                                </w:div>
                              </w:divsChild>
                            </w:div>
                            <w:div w:id="4889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911146">
          <w:marLeft w:val="0"/>
          <w:marRight w:val="0"/>
          <w:marTop w:val="600"/>
          <w:marBottom w:val="0"/>
          <w:divBdr>
            <w:top w:val="none" w:sz="0" w:space="0" w:color="auto"/>
            <w:left w:val="none" w:sz="0" w:space="0" w:color="auto"/>
            <w:bottom w:val="none" w:sz="0" w:space="0" w:color="auto"/>
            <w:right w:val="none" w:sz="0" w:space="0" w:color="auto"/>
          </w:divBdr>
          <w:divsChild>
            <w:div w:id="1773622698">
              <w:marLeft w:val="0"/>
              <w:marRight w:val="0"/>
              <w:marTop w:val="0"/>
              <w:marBottom w:val="0"/>
              <w:divBdr>
                <w:top w:val="none" w:sz="0" w:space="0" w:color="auto"/>
                <w:left w:val="none" w:sz="0" w:space="0" w:color="auto"/>
                <w:bottom w:val="none" w:sz="0" w:space="0" w:color="auto"/>
                <w:right w:val="none" w:sz="0" w:space="0" w:color="auto"/>
              </w:divBdr>
              <w:divsChild>
                <w:div w:id="1770421149">
                  <w:marLeft w:val="0"/>
                  <w:marRight w:val="0"/>
                  <w:marTop w:val="0"/>
                  <w:marBottom w:val="240"/>
                  <w:divBdr>
                    <w:top w:val="none" w:sz="0" w:space="0" w:color="auto"/>
                    <w:left w:val="none" w:sz="0" w:space="0" w:color="auto"/>
                    <w:bottom w:val="none" w:sz="0" w:space="0" w:color="auto"/>
                    <w:right w:val="none" w:sz="0" w:space="0" w:color="auto"/>
                  </w:divBdr>
                  <w:divsChild>
                    <w:div w:id="78997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542389">
      <w:bodyDiv w:val="1"/>
      <w:marLeft w:val="0"/>
      <w:marRight w:val="0"/>
      <w:marTop w:val="0"/>
      <w:marBottom w:val="0"/>
      <w:divBdr>
        <w:top w:val="none" w:sz="0" w:space="0" w:color="auto"/>
        <w:left w:val="none" w:sz="0" w:space="0" w:color="auto"/>
        <w:bottom w:val="none" w:sz="0" w:space="0" w:color="auto"/>
        <w:right w:val="none" w:sz="0" w:space="0" w:color="auto"/>
      </w:divBdr>
    </w:div>
    <w:div w:id="1395739816">
      <w:bodyDiv w:val="1"/>
      <w:marLeft w:val="0"/>
      <w:marRight w:val="0"/>
      <w:marTop w:val="0"/>
      <w:marBottom w:val="0"/>
      <w:divBdr>
        <w:top w:val="none" w:sz="0" w:space="0" w:color="auto"/>
        <w:left w:val="none" w:sz="0" w:space="0" w:color="auto"/>
        <w:bottom w:val="none" w:sz="0" w:space="0" w:color="auto"/>
        <w:right w:val="none" w:sz="0" w:space="0" w:color="auto"/>
      </w:divBdr>
    </w:div>
    <w:div w:id="1754818788">
      <w:bodyDiv w:val="1"/>
      <w:marLeft w:val="0"/>
      <w:marRight w:val="0"/>
      <w:marTop w:val="0"/>
      <w:marBottom w:val="0"/>
      <w:divBdr>
        <w:top w:val="none" w:sz="0" w:space="0" w:color="auto"/>
        <w:left w:val="none" w:sz="0" w:space="0" w:color="auto"/>
        <w:bottom w:val="none" w:sz="0" w:space="0" w:color="auto"/>
        <w:right w:val="none" w:sz="0" w:space="0" w:color="auto"/>
      </w:divBdr>
    </w:div>
    <w:div w:id="1933659280">
      <w:bodyDiv w:val="1"/>
      <w:marLeft w:val="0"/>
      <w:marRight w:val="0"/>
      <w:marTop w:val="0"/>
      <w:marBottom w:val="0"/>
      <w:divBdr>
        <w:top w:val="none" w:sz="0" w:space="0" w:color="auto"/>
        <w:left w:val="none" w:sz="0" w:space="0" w:color="auto"/>
        <w:bottom w:val="none" w:sz="0" w:space="0" w:color="auto"/>
        <w:right w:val="none" w:sz="0" w:space="0" w:color="auto"/>
      </w:divBdr>
    </w:div>
    <w:div w:id="1978145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20</Pages>
  <Words>5128</Words>
  <Characters>29231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Shande King</cp:lastModifiedBy>
  <cp:revision>56</cp:revision>
  <dcterms:created xsi:type="dcterms:W3CDTF">2019-06-15T13:30:00Z</dcterms:created>
  <dcterms:modified xsi:type="dcterms:W3CDTF">2019-06-15T20:05:00Z</dcterms:modified>
</cp:coreProperties>
</file>