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transform from consumers of knowledge to creators of knowledge (Hancock, Kaput, &amp; Goldsmith, 1992; Lehrer &amp; Schauble, 2015; Lee &amp; Wilkerson, 2018; Finzer,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1" w:name="defining-work-with-data-need-to-cut-500-"/>
      <w:bookmarkEnd w:id="1"/>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2" w:name="the-role-of-working-with-data-in-stem-le"/>
      <w:bookmarkStart w:id="3" w:name="what-is-known-about-how-youth-work-with-"/>
      <w:bookmarkEnd w:id="2"/>
      <w:bookmarkEnd w:id="3"/>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t xml:space="preserve">Finzer, 2013; </w:t>
      </w:r>
      <w:r>
        <w:t>Konold &amp; Pollatsek,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AFE31ED"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 Gopnik, </w:t>
      </w:r>
      <w:r w:rsidR="00010AD0">
        <w:t>Sobel, Schulz, &amp; Glymour, 2001).</w:t>
      </w:r>
      <w:r w:rsidR="00AE7D63">
        <w:t xml:space="preserve"> A key outcome of engaging in work with data has to do with how learners account for variability (</w:t>
      </w:r>
      <w:r w:rsidR="00CB45B0">
        <w:t>Lee, Angotti, &amp; Tarr, 2010</w:t>
      </w:r>
      <w:commentRangeStart w:id="4"/>
      <w:commentRangeEnd w:id="4"/>
      <w:r w:rsidR="00CB45B0">
        <w:t xml:space="preserve">; </w:t>
      </w:r>
      <w:r w:rsidR="00AE7D63">
        <w:t>Lehrer, Kim, &amp; Schauble, 2007; Lesh, Middleton, Caylor, &amp; Gupta, 2008</w:t>
      </w:r>
      <w:r w:rsidR="00CB45B0">
        <w:t>; Petrosino et al., 2003</w:t>
      </w:r>
      <w:r w:rsidR="00AE7D63">
        <w:t>), arguably the main goal of engaging in work with data (Konold &amp; Pollatsek,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t xml:space="preserve"> &amp; Yarden</w:t>
      </w:r>
      <w:r>
        <w:t xml:space="preserve">, 2016; Hasson &amp; Yarden, 2012). Making observations and generating data, such as of the height of the school’s flagpole, requires negotiation not only of what to measure, but how and how many times to measure it (Lehrer, Kim, &amp; Schauble, 2007). </w:t>
      </w:r>
      <w:r>
        <w:lastRenderedPageBreak/>
        <w:t>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Hollebrands,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(Konold, Finzer, &amp; Kreetong,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Kindermann, &amp; </w:t>
      </w:r>
      <w:r w:rsidRPr="00D17E96">
        <w:lastRenderedPageBreak/>
        <w:t>Furrer, 2009</w:t>
      </w:r>
      <w:r w:rsidR="00970189">
        <w:t>.</w:t>
      </w:r>
      <w:r>
        <w:t xml:space="preserve"> </w:t>
      </w:r>
      <w:r w:rsidRPr="00D17E96">
        <w:t>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116FF26"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Dika, 2002). Finally, affective engagement </w:t>
      </w:r>
      <w:r w:rsidR="00097511">
        <w:t xml:space="preserve">can be defined </w:t>
      </w:r>
      <w:r w:rsidRPr="00D17E96">
        <w:t>as emotional responses to activities, such as being excited, angry, or relaxed (Pekrun &amp; Linnenbrink-Gar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w:t>
      </w:r>
      <w:r w:rsidR="00D17E96" w:rsidRPr="00D17E96">
        <w:lastRenderedPageBreak/>
        <w:t xml:space="preserve">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r w:rsidR="00D17E96" w:rsidRPr="00D17E96">
        <w:t>Shernoff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sutdents’ engagement </w:t>
      </w:r>
      <w:r w:rsidR="00EF3BC0" w:rsidRPr="00C33880">
        <w:t xml:space="preserve">(Shernoff et al., 2003; Shernoff et al., 2016; Shumow, Schmidt, &amp; Zaleski, 2013). </w:t>
      </w:r>
      <w:r w:rsidR="00EF3BC0">
        <w:t>In addition, some studies have shown that there are gender-related differences in engagement (Kackar, Shumow, Schmidt, &amp; Grzetich,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Laina, &amp; Gravel, 2016), sustained support from those leading youth activities is an essential component of </w:t>
      </w:r>
      <w:r w:rsidRPr="00C33880">
        <w:lastRenderedPageBreak/>
        <w:t xml:space="preserve">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Salmela-Aro, Moeller, Schneider, Spicer, &amp; Lavonen, 2016a; Salmela-Aro, Muotka, Alho, Hakkarainen, &amp; Lonka, 2016b; Van Rooij,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r w:rsidRPr="008A2EF7">
        <w:t>Salmela-Aro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5" w:name="need-for-the-present-study"/>
      <w:bookmarkEnd w:id="5"/>
      <w:r>
        <w:t>The Present Study</w:t>
      </w:r>
    </w:p>
    <w:p w14:paraId="092C9B7A" w14:textId="4D206678"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 xml:space="preserve">(Fredricks, Blumenfeld, &amp; Paris, 2014). </w:t>
      </w:r>
      <w:r>
        <w:t xml:space="preserve">Doing this can help us to understand work with data in terms of learner’s </w:t>
      </w:r>
      <w:r w:rsidR="00655EFF">
        <w:t>engagement</w:t>
      </w:r>
      <w:r>
        <w:t xml:space="preserve">, which we know from past research impacts what and how students learn (Sinatra et al., 2015). Knowing more about students’ engagement can help us to design activities and interventions focused around work with data. </w:t>
      </w:r>
      <w:r w:rsidR="00D608BD">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6" w:name="conceptual-framework-and-research-questi"/>
      <w:bookmarkEnd w:id="6"/>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r w:rsidR="00A10FB3">
        <w:rPr>
          <w:rStyle w:val="CommentReference"/>
          <w:rFonts w:asciiTheme="minorHAnsi" w:hAnsiTheme="minorHAnsi"/>
        </w:rPr>
        <w:commentReference w:id="7"/>
      </w:r>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21953ED0" w:rsidR="00AC194B" w:rsidRDefault="00AC194B"/>
    <w:p w14:paraId="75978268" w14:textId="5072CF9C" w:rsidR="003A5EB9" w:rsidRDefault="003A5EB9">
      <w:r>
        <w:rPr>
          <w:noProof/>
        </w:rPr>
        <w:drawing>
          <wp:inline distT="0" distB="0" distL="0" distR="0" wp14:anchorId="5F936903" wp14:editId="06C5DD4E">
            <wp:extent cx="6864085" cy="43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019-01-17.png"/>
                    <pic:cNvPicPr/>
                  </pic:nvPicPr>
                  <pic:blipFill>
                    <a:blip r:embed="rId10">
                      <a:extLst>
                        <a:ext uri="{28A0092B-C50C-407E-A947-70E740481C1C}">
                          <a14:useLocalDpi xmlns:a14="http://schemas.microsoft.com/office/drawing/2010/main" val="0"/>
                        </a:ext>
                      </a:extLst>
                    </a:blip>
                    <a:stretch>
                      <a:fillRect/>
                    </a:stretch>
                  </pic:blipFill>
                  <pic:spPr>
                    <a:xfrm>
                      <a:off x="0" y="0"/>
                      <a:ext cx="6937497" cy="4409339"/>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8" w:name="methods"/>
      <w:bookmarkEnd w:id="8"/>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1E2915AA" w:rsidR="00A05DB7" w:rsidRPr="00422BB9" w:rsidRDefault="00A05DB7" w:rsidP="00B22B40">
      <w:pPr>
        <w:pStyle w:val="BodyText"/>
        <w:ind w:firstLine="720"/>
      </w:pPr>
      <w:r>
        <w:t>This study makes use of an innovative ESM methodology (Hektner et al., 2007)</w:t>
      </w:r>
      <w:r w:rsidR="009E19B1">
        <w:t xml:space="preserve"> to understand youths’ experience in work with data  in-the-moment .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w:t>
      </w:r>
      <w:r w:rsidR="005262C9">
        <w:t>by research team members</w:t>
      </w:r>
      <w:r w:rsidR="005262C9">
        <w:t xml:space="preserve"> only</w:t>
      </w:r>
      <w:r w:rsidR="005262C9">
        <w:t xml:space="preserve">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9"/>
      <w:commentRangeStart w:id="10"/>
      <w:r>
        <w:t>Data Sources and Measures</w:t>
      </w:r>
      <w:commentRangeEnd w:id="9"/>
      <w:r w:rsidR="007F3D51">
        <w:rPr>
          <w:rStyle w:val="CommentReference"/>
          <w:rFonts w:asciiTheme="minorHAnsi" w:eastAsiaTheme="minorHAnsi" w:hAnsiTheme="minorHAnsi" w:cstheme="minorBidi"/>
          <w:b w:val="0"/>
          <w:bCs w:val="0"/>
        </w:rPr>
        <w:commentReference w:id="9"/>
      </w:r>
      <w:commentRangeEnd w:id="10"/>
      <w:r w:rsidR="00266AD6">
        <w:rPr>
          <w:rStyle w:val="CommentReference"/>
          <w:rFonts w:asciiTheme="minorHAnsi" w:eastAsiaTheme="minorHAnsi" w:hAnsiTheme="minorHAnsi" w:cstheme="minorBidi"/>
          <w:b w:val="0"/>
          <w:bCs w:val="0"/>
        </w:rPr>
        <w:commentReference w:id="10"/>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1"/>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1"/>
      <w:r w:rsidR="00CE6D3F">
        <w:rPr>
          <w:rStyle w:val="CommentReference"/>
          <w:rFonts w:asciiTheme="minorHAnsi" w:eastAsiaTheme="minorHAnsi" w:hAnsiTheme="minorHAnsi" w:cstheme="minorBidi"/>
          <w:b w:val="0"/>
          <w:bCs w:val="0"/>
        </w:rPr>
        <w:commentReference w:id="11"/>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codeable,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Three items adapted from Vandell, Hall, O’Cadiz, and Karsh (2012) were used to measure youths’ pre-program interest in STEM</w:t>
      </w:r>
      <w:r w:rsidR="00891137">
        <w:t xml:space="preserve">. </w:t>
      </w:r>
      <w:r w:rsidR="00891137">
        <w:t>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Vandell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301F8F94" w:rsidR="00331748" w:rsidRDefault="00331748" w:rsidP="00331748">
      <w:pPr>
        <w:pStyle w:val="FirstParagraph"/>
        <w:ind w:firstLine="0"/>
      </w:pPr>
      <w:r>
        <w:t xml:space="preserve">. Demographic information for youths’ gender, and their racial and ethnic group were used to construct </w:t>
      </w:r>
      <w:commentRangeStart w:id="12"/>
      <w:r>
        <w:t>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commentRangeEnd w:id="12"/>
      <w:r w:rsidR="007F3D51">
        <w:rPr>
          <w:rStyle w:val="CommentReference"/>
          <w:rFonts w:asciiTheme="minorHAnsi" w:hAnsiTheme="minorHAnsi"/>
        </w:rPr>
        <w:commentReference w:id="12"/>
      </w:r>
    </w:p>
    <w:p w14:paraId="3D8DDF68" w14:textId="4D070939" w:rsidR="00331748" w:rsidRDefault="00331748" w:rsidP="00331748">
      <w:pPr>
        <w:pStyle w:val="Heading2"/>
      </w:pPr>
      <w:commentRangeStart w:id="13"/>
      <w:r>
        <w:t>Data Analysis</w:t>
      </w:r>
      <w:commentRangeEnd w:id="13"/>
      <w:r w:rsidR="007F3D51">
        <w:rPr>
          <w:rStyle w:val="CommentReference"/>
          <w:rFonts w:asciiTheme="minorHAnsi" w:eastAsiaTheme="minorHAnsi" w:hAnsiTheme="minorHAnsi" w:cstheme="minorBidi"/>
          <w:b w:val="0"/>
          <w:bCs w:val="0"/>
        </w:rPr>
        <w:commentReference w:id="13"/>
      </w:r>
    </w:p>
    <w:p w14:paraId="06C060DE" w14:textId="77777777" w:rsidR="00331748" w:rsidRDefault="00331748" w:rsidP="00331748">
      <w:pPr>
        <w:pStyle w:val="BodyText"/>
      </w:pPr>
      <w:r w:rsidRPr="00CF3A84">
        <w:rPr>
          <w:b/>
        </w:rPr>
        <w:t>Preliminary analyses</w:t>
      </w:r>
      <w:r>
        <w:t>. Correlations (first-order Pearson) and the frequency, range, mean (</w:t>
      </w:r>
      <w:r>
        <w:rPr>
          <w:i/>
        </w:rPr>
        <w:t>M</w:t>
      </w:r>
      <w:r>
        <w:t>), and standard deviation (</w:t>
      </w:r>
      <w:r>
        <w:rPr>
          <w:i/>
        </w:rPr>
        <w:t>SD</w:t>
      </w:r>
      <w:r>
        <w:t>) are first reported for all variables. In addition, the frequencies of the codes for aspects of work with data and the numbers of responses by youth, program, and instructional episode are presented.</w:t>
      </w:r>
    </w:p>
    <w:p w14:paraId="1D50CE16" w14:textId="77777777" w:rsidR="00331748" w:rsidRDefault="00331748" w:rsidP="00331748">
      <w:pPr>
        <w:pStyle w:val="Heading3"/>
        <w:framePr w:wrap="around"/>
      </w:pPr>
      <w:r>
        <w:t>Analysis for Research Question #1 (the frequency of work with data)</w:t>
      </w:r>
    </w:p>
    <w:p w14:paraId="3FFEE6A0" w14:textId="77777777" w:rsidR="00331748" w:rsidRDefault="00331748" w:rsidP="00331748">
      <w:pPr>
        <w:pStyle w:val="FirstParagraph"/>
        <w:ind w:firstLine="0"/>
      </w:pPr>
      <w:r>
        <w:t xml:space="preserve">. </w:t>
      </w:r>
    </w:p>
    <w:p w14:paraId="02F2A5A3" w14:textId="31C915BD" w:rsidR="00E374DB" w:rsidRDefault="00331748" w:rsidP="00E374DB">
      <w:pPr>
        <w:pStyle w:val="BodyText"/>
      </w:pPr>
      <w: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p>
    <w:p w14:paraId="7A08790D" w14:textId="77777777" w:rsidR="00331748" w:rsidRDefault="00331748" w:rsidP="00331748">
      <w:pPr>
        <w:pStyle w:val="Heading3"/>
        <w:framePr w:wrap="around"/>
      </w:pPr>
      <w:r>
        <w:t>Analysis for Research Question #2 (what profiles of engagement emerge)</w:t>
      </w:r>
    </w:p>
    <w:p w14:paraId="49AC8AF2" w14:textId="77777777" w:rsidR="00E374DB" w:rsidRDefault="00E374DB" w:rsidP="00BF2B9D">
      <w:pPr>
        <w:pStyle w:val="FirstParagraph"/>
      </w:pPr>
    </w:p>
    <w:p w14:paraId="3218E561" w14:textId="0A53BDFF" w:rsidR="00331748" w:rsidRDefault="00331748" w:rsidP="00BF2B9D">
      <w:pPr>
        <w:pStyle w:val="FirstParagraph"/>
      </w:pPr>
      <w:r>
        <w:t xml:space="preserve">Latent Profile Analysis (LPA; Harring &amp; Hodis, 2016; Muthen, 2004) were used to identify profiles of engagement. A key benefit of the use of LPA is that it outputs the probability of an observation being a member of a cluster (unlike in cluster analysis). For these analyses, five </w:t>
      </w:r>
      <w:r>
        <w:lastRenderedPageBreak/>
        <w:t xml:space="preserve">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r w:rsidRPr="006522C8">
        <w:t>tidyLPA package</w:t>
      </w:r>
      <w:r>
        <w:t xml:space="preserve"> (Authors, 2018) and the MPlus software (Muthen &amp; Muthen, 1998-2017) was used to carry out LPA through open-source statistical software we developed.</w:t>
      </w:r>
    </w:p>
    <w:p w14:paraId="0024853F" w14:textId="77777777" w:rsidR="00331748" w:rsidRDefault="00331748" w:rsidP="00331748">
      <w:pPr>
        <w:pStyle w:val="BodyText"/>
      </w:pPr>
      <w:r>
        <w:t>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interpretability and parsimony. On the basis of these criteria, a particular solution was selected and used as part of subsequent analyses.</w:t>
      </w:r>
    </w:p>
    <w:p w14:paraId="14186E8C" w14:textId="77777777" w:rsidR="00331748" w:rsidRDefault="00331748" w:rsidP="00331748">
      <w:pPr>
        <w:pStyle w:val="Heading3"/>
        <w:framePr w:wrap="around"/>
      </w:pPr>
      <w:r>
        <w:t>Analysis for Research Question #3 (how work with data relate to engagement) and Research Question #4 (how youth characteristics relate to engagement)</w:t>
      </w:r>
    </w:p>
    <w:p w14:paraId="0855AE3B" w14:textId="2CCF2CBF" w:rsidR="00331748" w:rsidRDefault="00331748" w:rsidP="001E7E52">
      <w:pPr>
        <w:pStyle w:val="FirstParagraph"/>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w:t>
      </w:r>
      <w:r>
        <w:rPr>
          <w:i/>
        </w:rPr>
        <w:t>lme4</w:t>
      </w:r>
      <w:r>
        <w:t xml:space="preserve"> R package (Bates, Martin, Bolker, &amp; Walker, 2015) was used. All of the models for this and the subsequent research question use random effects for youth, </w:t>
      </w:r>
      <w:r>
        <w:lastRenderedPageBreak/>
        <w:t>instructional episode, and program effects</w:t>
      </w:r>
      <w:r>
        <w:rPr>
          <w:rStyle w:val="FootnoteReference"/>
        </w:rPr>
        <w:footnoteReference w:id="3"/>
      </w:r>
      <w:r w:rsidR="00562672">
        <w:t xml:space="preserve">, and the first set of models that we ran included only these effects. This was so that we could calculate the Intra-class Correlation Coefficient, the </w:t>
      </w:r>
      <w:r w:rsidR="00562672">
        <w:rPr>
          <w:i/>
        </w:rPr>
        <w:t xml:space="preserve">ICC, </w:t>
      </w:r>
      <w:r w:rsidR="00562672">
        <w:t xml:space="preserve">which we carried out individually for each profile. The </w:t>
      </w:r>
      <w:r w:rsidR="00562672" w:rsidRPr="00562672">
        <w:rPr>
          <w:i/>
        </w:rPr>
        <w:t>ICC</w:t>
      </w:r>
      <w:r w:rsidR="00562672">
        <w:t xml:space="preserve">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w:t>
      </w:r>
      <w:r>
        <w:t xml:space="preserve"> probability of a response belonging to the profile was the dependent variable, and the aspects of work with data are the independent variables.</w:t>
      </w:r>
      <w:r w:rsidR="00562672">
        <w:t xml:space="preserve"> </w:t>
      </w:r>
    </w:p>
    <w:p w14:paraId="5A09C636" w14:textId="77777777" w:rsidR="00331748" w:rsidRDefault="00331748" w:rsidP="00331748">
      <w:pPr>
        <w:pStyle w:val="BodyText"/>
      </w:pPr>
      <w:r>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4405DB2B" w14:textId="77777777" w:rsidR="00331748" w:rsidRDefault="00331748" w:rsidP="00331748">
      <w:pPr>
        <w:pStyle w:val="BodyText"/>
      </w:pPr>
      <w:r>
        <w:t xml:space="preserve">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w:t>
      </w:r>
      <w:r>
        <w:lastRenderedPageBreak/>
        <w:t>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12DB79D4" w:rsidR="00331748" w:rsidRDefault="00331748" w:rsidP="00331748">
      <w:pPr>
        <w:pStyle w:val="FirstParagraph"/>
      </w:pPr>
      <w:r>
        <w:t>First, descriptive statistics for the five engagement variables that were used to estimate the profiles were calculated.</w:t>
      </w:r>
      <w:r w:rsidR="00CE6D3F">
        <w:t xml:space="preserve"> </w:t>
      </w:r>
      <w:r>
        <w:t>These descriptive statistics show high overall levels of cognitive (</w:t>
      </w:r>
      <w:r>
        <w:rPr>
          <w:i/>
        </w:rPr>
        <w:t>M</w:t>
      </w:r>
      <w:r>
        <w:t xml:space="preserve"> = 2.768, </w:t>
      </w:r>
      <w:r>
        <w:rPr>
          <w:i/>
        </w:rPr>
        <w:t>SD</w:t>
      </w:r>
      <w:r>
        <w:t xml:space="preserve"> = 1.063), behavioral (</w:t>
      </w:r>
      <w:r>
        <w:rPr>
          <w:i/>
        </w:rPr>
        <w:t>M</w:t>
      </w:r>
      <w:r>
        <w:t xml:space="preserve"> = 2.863, </w:t>
      </w:r>
      <w:r>
        <w:rPr>
          <w:i/>
        </w:rPr>
        <w:t>SD</w:t>
      </w:r>
      <w:r>
        <w:t xml:space="preserve"> = 1.044) and affective (</w:t>
      </w:r>
      <w:r>
        <w:rPr>
          <w:i/>
        </w:rPr>
        <w:t>M</w:t>
      </w:r>
      <w:r>
        <w:t xml:space="preserve"> = 2.831, </w:t>
      </w:r>
      <w:r>
        <w:rPr>
          <w:i/>
        </w:rPr>
        <w:t>SD</w:t>
      </w:r>
      <w:r>
        <w:t xml:space="preserve"> = 1.051) engagement. These statistics also show high perceptions of competence (</w:t>
      </w:r>
      <w:r>
        <w:rPr>
          <w:i/>
        </w:rPr>
        <w:t>M</w:t>
      </w:r>
      <w:r>
        <w:t xml:space="preserve"> = 3.000 (</w:t>
      </w:r>
      <w:r>
        <w:rPr>
          <w:i/>
        </w:rPr>
        <w:t>SD</w:t>
      </w:r>
      <w:r>
        <w:t xml:space="preserve"> = 0.952)) and moderate perceptions of challenge (</w:t>
      </w:r>
      <w:r>
        <w:rPr>
          <w:i/>
        </w:rPr>
        <w:t>M</w:t>
      </w:r>
      <w:r>
        <w:t xml:space="preserve"> = 2.270 (</w:t>
      </w:r>
      <w:r>
        <w:rPr>
          <w:i/>
        </w:rPr>
        <w:t>SD</w:t>
      </w:r>
      <w:r>
        <w:t xml:space="preserve"> = 1.117)). </w:t>
      </w:r>
    </w:p>
    <w:p w14:paraId="0C82BA66" w14:textId="77777777" w:rsidR="00331748" w:rsidRDefault="00331748" w:rsidP="00331748">
      <w:pPr>
        <w:pStyle w:val="Heading2"/>
      </w:pPr>
      <w:commentRangeStart w:id="14"/>
      <w:r>
        <w:t>Correlations among the study variables</w:t>
      </w:r>
      <w:commentRangeEnd w:id="14"/>
      <w:r w:rsidR="00CE6D3F">
        <w:rPr>
          <w:rStyle w:val="CommentReference"/>
          <w:rFonts w:asciiTheme="minorHAnsi" w:eastAsiaTheme="minorHAnsi" w:hAnsiTheme="minorHAnsi" w:cstheme="minorBidi"/>
          <w:b w:val="0"/>
          <w:bCs w:val="0"/>
        </w:rPr>
        <w:commentReference w:id="14"/>
      </w:r>
    </w:p>
    <w:p w14:paraId="3573828E" w14:textId="3F545527" w:rsidR="00331748" w:rsidRDefault="00331748" w:rsidP="00F573F3">
      <w:pPr>
        <w:pStyle w:val="FirstParagraph"/>
      </w:pPr>
      <w:r>
        <w:t>Correlations between the variables that were used to create the profiles of engagement and the one other variable which was continuous (rather than a code for groups, in particular youths’ 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29"/>
        <w:gridCol w:w="928"/>
        <w:gridCol w:w="683"/>
        <w:gridCol w:w="669"/>
        <w:gridCol w:w="629"/>
        <w:gridCol w:w="796"/>
        <w:gridCol w:w="863"/>
        <w:gridCol w:w="663"/>
        <w:gridCol w:w="663"/>
        <w:gridCol w:w="676"/>
        <w:gridCol w:w="730"/>
        <w:gridCol w:w="117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5"/>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Cog. eng.</w:t>
            </w:r>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r>
              <w:t>Beh. eng.</w:t>
            </w:r>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r>
              <w:t>Aff. eng.</w:t>
            </w:r>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r>
              <w:t>Chall.</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5"/>
            <w:r w:rsidR="00CE6D3F">
              <w:rPr>
                <w:rStyle w:val="CommentReference"/>
                <w:rFonts w:asciiTheme="minorHAnsi" w:hAnsiTheme="minorHAnsi"/>
              </w:rPr>
              <w:commentReference w:id="15"/>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lastRenderedPageBreak/>
              <w:t>Cog. eng.</w:t>
            </w:r>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r>
              <w:t>Beh. eng.</w:t>
            </w:r>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r>
              <w:t>Aff. eng.</w:t>
            </w:r>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r>
              <w:t>Chall.</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259F8508" w:rsidR="00E55A9B" w:rsidRDefault="00331748" w:rsidP="00E55A9B">
      <w:pPr>
        <w:pStyle w:val="Heading3"/>
        <w:framePr w:wrap="auto" w:vAnchor="margin" w:yAlign="inline"/>
        <w:spacing w:line="480" w:lineRule="auto"/>
        <w:rPr>
          <w:b w:val="0"/>
        </w:rPr>
      </w:pPr>
      <w:r w:rsidRPr="00791196">
        <w:rPr>
          <w:b w:val="0"/>
        </w:rPr>
        <w:t xml:space="preserve">Of the 236 instructional episodes used in the analysis, 170 (72%) </w:t>
      </w:r>
      <w:r w:rsidR="00CE6D3F">
        <w:rPr>
          <w:b w:val="0"/>
        </w:rPr>
        <w:t>involved</w:t>
      </w:r>
      <w:r w:rsidRPr="00791196">
        <w:rPr>
          <w:b w:val="0"/>
        </w:rPr>
        <w:t xml:space="preserve"> one or more of the five aspects of work with data. As presented in </w:t>
      </w:r>
      <w:r w:rsidR="00BF2B9D">
        <w:rPr>
          <w:b w:val="0"/>
        </w:rPr>
        <w:t>Figure 2</w:t>
      </w:r>
      <w:r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5D7D8247" w14:textId="0CC9AE7B" w:rsidR="00331748" w:rsidRDefault="00331748" w:rsidP="0016307C">
      <w:pPr>
        <w:pStyle w:val="BodyText"/>
      </w:pPr>
      <w:commentRangeStart w:id="16"/>
      <w:r>
        <w:t>Taking the information criteria, likelihood ratio tests, and concerns of interpretability and parsimony into consideration when reviewing the models that converged, either a model one type, six profile so</w:t>
      </w:r>
      <w:commentRangeEnd w:id="16"/>
      <w:r w:rsidR="00CE6D3F">
        <w:rPr>
          <w:rStyle w:val="CommentReference"/>
          <w:rFonts w:asciiTheme="minorHAnsi" w:hAnsiTheme="minorHAnsi"/>
        </w:rPr>
        <w:commentReference w:id="16"/>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7"/>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7"/>
      <w:r w:rsidR="00CE6D3F">
        <w:rPr>
          <w:rStyle w:val="CommentReference"/>
          <w:rFonts w:asciiTheme="minorHAnsi" w:hAnsiTheme="minorHAnsi"/>
        </w:rPr>
        <w:commentReference w:id="17"/>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8"/>
      <w:r>
        <w:lastRenderedPageBreak/>
        <w:t>Table 6. Descriptions of the six profiles</w:t>
      </w:r>
      <w:commentRangeEnd w:id="18"/>
      <w:r w:rsidR="00CE6D3F">
        <w:rPr>
          <w:rStyle w:val="CommentReference"/>
          <w:rFonts w:asciiTheme="minorHAnsi" w:hAnsiTheme="minorHAnsi"/>
        </w:rPr>
        <w:commentReference w:id="1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Results for Research Questions #3 and #4: Relations of aspects of work with data and youth characteristics and the profiles of engagement</w:t>
      </w:r>
    </w:p>
    <w:p w14:paraId="34C07D08" w14:textId="77777777" w:rsidR="00331748" w:rsidRDefault="00331748" w:rsidP="00331748">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(Halekoh &amp; Hojsgaard,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Eng. and comp., not chall.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lastRenderedPageBreak/>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19"/>
            <w:r>
              <w:t xml:space="preserve">-0.038 </w:t>
            </w:r>
            <w:commentRangeEnd w:id="19"/>
            <w:r w:rsidR="00D82E8F">
              <w:rPr>
                <w:rStyle w:val="CommentReference"/>
                <w:rFonts w:asciiTheme="minorHAnsi" w:hAnsiTheme="minorHAnsi"/>
              </w:rPr>
              <w:commentReference w:id="19"/>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3F38C1F9" w:rsidR="00331748" w:rsidRDefault="00331748" w:rsidP="00331748">
      <w:pPr>
        <w:pStyle w:val="BodyText"/>
        <w:ind w:firstLine="0"/>
      </w:pPr>
      <w:r>
        <w:rPr>
          <w:i/>
        </w:rPr>
        <w:t xml:space="preserve">Note. </w:t>
      </w:r>
      <w:r>
        <w:t>+ p &lt; .10;  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20" w:name="context"/>
      <w:bookmarkStart w:id="21" w:name="participants"/>
      <w:bookmarkStart w:id="22" w:name="procedure"/>
      <w:bookmarkStart w:id="23" w:name="data-sources-and-measures"/>
      <w:bookmarkStart w:id="24" w:name="esm-measures-of-engagement-for-the-profi"/>
      <w:bookmarkStart w:id="25" w:name="measures-from-video-for-work-with-data"/>
      <w:bookmarkStart w:id="26" w:name="survey-measures-of-pre-interest-in-stem"/>
      <w:bookmarkStart w:id="27" w:name="other-youth-characteristics"/>
      <w:bookmarkStart w:id="28" w:name="data-analysis"/>
      <w:bookmarkStart w:id="29" w:name="analysis-for-research-question-1-the-fre"/>
      <w:bookmarkStart w:id="30" w:name="analysis-for-research-question-2-what-pr"/>
      <w:bookmarkStart w:id="31" w:name="analysis-for-research-question-3-how-wor"/>
      <w:bookmarkStart w:id="32" w:name="results"/>
      <w:bookmarkStart w:id="33" w:name="descriptive-statistics-for-the-engagemen"/>
      <w:bookmarkStart w:id="34" w:name="correlations-among-the-study-variables"/>
      <w:bookmarkStart w:id="35" w:name="results-for-research-question-1"/>
      <w:bookmarkStart w:id="36" w:name="results-for-research-question-2-what-pro"/>
      <w:bookmarkStart w:id="37" w:name="results-for-research-questions-3-and-4-a"/>
      <w:bookmarkStart w:id="38" w:name="discussion"/>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commentRangeStart w:id="39"/>
      <w:r>
        <w:t>Discussion</w:t>
      </w:r>
      <w:commentRangeEnd w:id="39"/>
      <w:r w:rsidR="00D82E8F">
        <w:rPr>
          <w:rStyle w:val="CommentReference"/>
          <w:rFonts w:asciiTheme="minorHAnsi" w:eastAsiaTheme="minorHAnsi" w:hAnsiTheme="minorHAnsi" w:cstheme="minorBidi"/>
          <w:b w:val="0"/>
          <w:bCs w:val="0"/>
        </w:rPr>
        <w:commentReference w:id="39"/>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w:t>
      </w:r>
      <w:r>
        <w:lastRenderedPageBreak/>
        <w:t>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40" w:name="key-findings-related-to-work-with-data-i"/>
      <w:bookmarkEnd w:id="40"/>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41" w:name="key-findings-related-to-engagement"/>
      <w:bookmarkEnd w:id="41"/>
      <w:r>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w:t>
      </w:r>
      <w:r>
        <w:lastRenderedPageBreak/>
        <w:t xml:space="preserve">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Shernoff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w:t>
      </w:r>
      <w:r>
        <w:lastRenderedPageBreak/>
        <w:t>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Shernoff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42" w:name="key-findings-related-to-work-with-data-a"/>
      <w:bookmarkEnd w:id="42"/>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 xml:space="preserve">inscriptions serve </w:t>
      </w:r>
      <w:r w:rsidR="00AE7D63">
        <w:rPr>
          <w:i/>
        </w:rPr>
        <w:lastRenderedPageBreak/>
        <w:t>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r w:rsidR="00A96451">
        <w:t>Stroupe, 2014)</w:t>
      </w:r>
      <w:r w:rsidR="00AE7D63">
        <w:t xml:space="preserve"> and likely in other STEM content areas, we well.</w:t>
      </w:r>
    </w:p>
    <w:p w14:paraId="61337CD0" w14:textId="0875F523"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2017).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w:t>
      </w:r>
      <w:r>
        <w:lastRenderedPageBreak/>
        <w:t>engagement at the youth level</w:t>
      </w:r>
      <w:r w:rsidR="006B0F3B">
        <w:t xml:space="preserve">. This was also surprising as </w:t>
      </w:r>
      <w:r w:rsidR="00AE7D63">
        <w:t xml:space="preserve">past theory and research have suggested that learners’ gender, URM status, and individual or pre-program interest can predict engagement (Bystydzienski, Eisenhart, &amp; Bruning, 2015; Hidi &amp; Renninger, 2006; Shernoff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(Shernoff et al., 2003; Shernoff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Naftzger, 2018).</w:t>
      </w:r>
    </w:p>
    <w:p w14:paraId="5BC4C319" w14:textId="1B17CFE6" w:rsidR="005F327F" w:rsidRDefault="00AE7D63">
      <w:pPr>
        <w:pStyle w:val="Heading2"/>
      </w:pPr>
      <w:bookmarkStart w:id="43" w:name="limitations-to-the-present-study-and-rec"/>
      <w:bookmarkEnd w:id="43"/>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w:t>
      </w:r>
      <w:r w:rsidR="00AE7D63">
        <w:lastRenderedPageBreak/>
        <w:t>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little variability at the instructional episode level was noteworthy because it means that few relations between variables at the instructional episode were expected. In particular, there were small ICCs at the instructional episode level for all six profiles. This </w:t>
      </w:r>
      <w:r>
        <w:lastRenderedPageBreak/>
        <w:t>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44" w:name="implications-for-practice"/>
      <w:bookmarkEnd w:id="44"/>
      <w:r>
        <w:t>Implications for Practice</w:t>
      </w:r>
    </w:p>
    <w:p w14:paraId="3467386F" w14:textId="77777777"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2018; McNeill &amp; Berland, 2017; Hancock et al., 1992;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t>
      </w:r>
      <w:r>
        <w:lastRenderedPageBreak/>
        <w:t xml:space="preserve">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45" w:name="references"/>
      <w:bookmarkEnd w:id="45"/>
      <w:r>
        <w:br w:type="page"/>
      </w:r>
    </w:p>
    <w:p w14:paraId="1F6EC0F3" w14:textId="52319F3C" w:rsidR="00A23D5F" w:rsidRPr="006609ED" w:rsidRDefault="00AE7D63" w:rsidP="00A23D5F">
      <w:pPr>
        <w:pStyle w:val="Heading1"/>
        <w:rPr>
          <w:b w:val="0"/>
        </w:rPr>
      </w:pPr>
      <w:r w:rsidRPr="006609ED">
        <w:rPr>
          <w:b w:val="0"/>
        </w:rPr>
        <w:lastRenderedPageBreak/>
        <w:t>References</w:t>
      </w:r>
    </w:p>
    <w:p w14:paraId="5140CFA1" w14:textId="77777777" w:rsidR="0099249D" w:rsidRDefault="0099249D" w:rsidP="0099249D">
      <w:pPr>
        <w:pStyle w:val="BodyText"/>
        <w:ind w:left="720" w:hanging="720"/>
      </w:pPr>
      <w:r>
        <w:t xml:space="preserve">Berland, L. K., Schwarz, C. V., Krist, C., Kenyon, L., Lo, A. S., &amp; Reiser, B. J. (2016). Epistemologies in practice: Making scientific practices meaningful for students. </w:t>
      </w:r>
      <w:r>
        <w:rPr>
          <w:i/>
        </w:rPr>
        <w:t>Journal of Research in Science Teaching, 53</w:t>
      </w:r>
      <w:r>
        <w:t>(7), 1082-1112.</w:t>
      </w:r>
    </w:p>
    <w:p w14:paraId="3E6A2D54" w14:textId="77777777" w:rsidR="0099249D" w:rsidRDefault="0099249D" w:rsidP="0099249D">
      <w:pPr>
        <w:pStyle w:val="BodyText"/>
        <w:ind w:left="720" w:hanging="720"/>
      </w:pPr>
      <w:r>
        <w:t xml:space="preserve">Beymer, P. N., Rosenberg, J. M., Schmidt, J. A., &amp; Naftzger,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A59C131" w14:textId="77777777" w:rsidR="0099249D" w:rsidRDefault="0099249D" w:rsidP="0099249D">
      <w:pPr>
        <w:pStyle w:val="BodyText"/>
        <w:ind w:left="720" w:hanging="720"/>
      </w:pPr>
      <w:r>
        <w:t xml:space="preserve">Bielik, T., &amp; Yarden, A. (2016). Promoting the asking of research questions in a high-school biotechnology inquiry-oriented program. </w:t>
      </w:r>
      <w:r>
        <w:rPr>
          <w:i/>
        </w:rPr>
        <w:t>International Journal of STEM Education, 3</w:t>
      </w:r>
      <w:r>
        <w:t>(1), 15.</w:t>
      </w:r>
    </w:p>
    <w:p w14:paraId="305527D4" w14:textId="77777777" w:rsidR="0099249D" w:rsidRDefault="0099249D" w:rsidP="0099249D">
      <w:pPr>
        <w:pStyle w:val="BodyText"/>
        <w:ind w:left="720" w:hanging="720"/>
      </w:pPr>
      <w:r>
        <w:t xml:space="preserve">Bystydzienski, J. M., Eisenhart, M., &amp; Bruning,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4DE5BE3E" w14:textId="77777777" w:rsidR="0099249D" w:rsidRDefault="0099249D" w:rsidP="0099249D">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01C01C48" w14:textId="77777777" w:rsidR="0099249D" w:rsidRDefault="0099249D" w:rsidP="0099249D">
      <w:pPr>
        <w:pStyle w:val="BodyText"/>
        <w:ind w:left="720" w:hanging="720"/>
      </w:pPr>
      <w:r>
        <w:t xml:space="preserve">Csikszentmihalyi, M. (1997). </w:t>
      </w:r>
      <w:r>
        <w:rPr>
          <w:i/>
        </w:rPr>
        <w:t>Finding flow: The psychology of engagement with everyday life</w:t>
      </w:r>
      <w:r>
        <w:t>. New York, NY: Basic Books.</w:t>
      </w:r>
    </w:p>
    <w:p w14:paraId="42099BC5" w14:textId="77777777" w:rsidR="0099249D" w:rsidRDefault="0099249D" w:rsidP="0099249D">
      <w:pPr>
        <w:pStyle w:val="BodyText"/>
        <w:ind w:left="720" w:hanging="720"/>
      </w:pPr>
      <w:r>
        <w:t xml:space="preserve">English, L. D. (2012). Data modelling with first-grade students. </w:t>
      </w:r>
      <w:r>
        <w:rPr>
          <w:i/>
        </w:rPr>
        <w:t>Educational Studies in Mathematics, 81</w:t>
      </w:r>
      <w:r>
        <w:t>(1), 15-30.</w:t>
      </w:r>
    </w:p>
    <w:p w14:paraId="05A9B574" w14:textId="77777777" w:rsidR="0099249D" w:rsidRDefault="0099249D" w:rsidP="0099249D">
      <w:pPr>
        <w:pStyle w:val="BodyText"/>
        <w:ind w:left="720" w:hanging="720"/>
      </w:pPr>
      <w:r>
        <w:lastRenderedPageBreak/>
        <w:t xml:space="preserve">Finzer, W. (2013). The data science education dilemma. </w:t>
      </w:r>
      <w:r>
        <w:rPr>
          <w:i/>
        </w:rPr>
        <w:t>Technology Innovations in Statistics Education, 7</w:t>
      </w:r>
      <w:r>
        <w:t>(2), p. 1-9.</w:t>
      </w:r>
    </w:p>
    <w:p w14:paraId="5AA2E84C" w14:textId="77777777" w:rsidR="0099249D" w:rsidRDefault="0099249D" w:rsidP="0099249D">
      <w:pPr>
        <w:pStyle w:val="BodyText"/>
        <w:ind w:left="720" w:hanging="720"/>
      </w:pPr>
      <w:r>
        <w:t xml:space="preserve">Forum for Youth Investment. (2012). </w:t>
      </w:r>
      <w:r>
        <w:rPr>
          <w:i/>
        </w:rPr>
        <w:t>Youth Program Quality Assessment</w:t>
      </w:r>
      <w:r>
        <w:t>. Washington, DC: The Forum for Youth Investment</w:t>
      </w:r>
    </w:p>
    <w:p w14:paraId="36B69E8D" w14:textId="77777777" w:rsidR="0099249D" w:rsidRDefault="0099249D" w:rsidP="0099249D">
      <w:pPr>
        <w:pStyle w:val="BodyText"/>
        <w:ind w:left="720" w:hanging="720"/>
      </w:pPr>
      <w:r>
        <w:t xml:space="preserve">Franklin, C., Kader, G., Mewborn, D., Moreno, J., Peck, R., Perry, M., &amp; Scheaffer, R. (2007). </w:t>
      </w:r>
      <w:r>
        <w:rPr>
          <w:i/>
        </w:rPr>
        <w:t>Guidelines for assessment and instruction in statistics education (GAISE) report</w:t>
      </w:r>
      <w:r>
        <w:t>. Alexandria, VA: American Statistical Association.</w:t>
      </w:r>
    </w:p>
    <w:p w14:paraId="16ED5321" w14:textId="77777777" w:rsidR="0099249D" w:rsidRDefault="0099249D" w:rsidP="0099249D">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299ACC8A" w14:textId="77777777" w:rsidR="0099249D" w:rsidRDefault="0099249D" w:rsidP="0099249D">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2A5A2C6" w14:textId="77777777" w:rsidR="0099249D" w:rsidRDefault="0099249D" w:rsidP="0099249D">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17625B33" w14:textId="77777777" w:rsidR="0099249D" w:rsidRDefault="0099249D" w:rsidP="0099249D">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3518221" w14:textId="77777777" w:rsidR="0099249D" w:rsidRDefault="0099249D" w:rsidP="0099249D">
      <w:pPr>
        <w:pStyle w:val="BodyText"/>
        <w:ind w:left="720" w:hanging="720"/>
      </w:pPr>
      <w:r>
        <w:t xml:space="preserve">Harring, J. R., &amp; Hodis, F. A. (2016). Mixture modeling: Applications in educational psychology. </w:t>
      </w:r>
      <w:r>
        <w:rPr>
          <w:i/>
        </w:rPr>
        <w:t>Educational Psychologist, 51</w:t>
      </w:r>
      <w:r>
        <w:t>(3-4), 354-367.</w:t>
      </w:r>
    </w:p>
    <w:p w14:paraId="58F9F438" w14:textId="77777777" w:rsidR="0099249D" w:rsidRDefault="0099249D" w:rsidP="0099249D">
      <w:pPr>
        <w:pStyle w:val="BodyText"/>
        <w:ind w:left="720" w:hanging="720"/>
      </w:pPr>
      <w:r>
        <w:lastRenderedPageBreak/>
        <w:t xml:space="preserve">Hasson, E., &amp; Yarden, A. (2012). Separating the research question from the laboratory techniques: Advancing high‐school biology teachers’ ability to ask research questions. </w:t>
      </w:r>
      <w:r>
        <w:rPr>
          <w:i/>
        </w:rPr>
        <w:t>Journal of Research in Science Teaching, 49</w:t>
      </w:r>
      <w:r>
        <w:t>(10), 1296-1320.</w:t>
      </w:r>
    </w:p>
    <w:p w14:paraId="081AE615" w14:textId="77777777" w:rsidR="0099249D" w:rsidRDefault="0099249D" w:rsidP="0099249D">
      <w:pPr>
        <w:pStyle w:val="BodyText"/>
        <w:ind w:left="720" w:hanging="720"/>
      </w:pPr>
      <w:r>
        <w:t xml:space="preserve">Hektner, J. M., Schmidt, J. A., &amp; Csikszentmihalyi, M. (2007). </w:t>
      </w:r>
      <w:r>
        <w:rPr>
          <w:i/>
        </w:rPr>
        <w:t>Experience sampling method: Measuring the quality of everyday life</w:t>
      </w:r>
      <w:r>
        <w:t>. Sage.</w:t>
      </w:r>
    </w:p>
    <w:p w14:paraId="360F321A" w14:textId="179BADF2" w:rsidR="00EF3BC0" w:rsidRPr="00B22B40" w:rsidRDefault="00EF3BC0" w:rsidP="00B22B40">
      <w:pPr>
        <w:spacing w:after="0" w:line="480" w:lineRule="auto"/>
        <w:ind w:left="720" w:hanging="720"/>
        <w:rPr>
          <w:rFonts w:ascii="Times New Roman" w:eastAsia="Times New Roman" w:hAnsi="Times New Roman" w:cs="Times New Roman"/>
        </w:rPr>
      </w:pPr>
      <w:r w:rsidRPr="00EF3BC0">
        <w:rPr>
          <w:rFonts w:ascii="Times New Roman" w:eastAsia="Times New Roman" w:hAnsi="Times New Roman" w:cs="Times New Roman"/>
        </w:rPr>
        <w:t xml:space="preserve">Kackar, H. Z., Shumow, L., Schmidt, J. A., &amp; Grzetich,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AF97006" w14:textId="3ADFC82D" w:rsidR="0099249D" w:rsidRDefault="0099249D" w:rsidP="0099249D">
      <w:pPr>
        <w:pStyle w:val="BodyText"/>
        <w:ind w:left="720" w:hanging="720"/>
      </w:pPr>
      <w:r>
        <w:t xml:space="preserve">Konold, C., &amp; Pollatsek, A. (2002). Data analysis as the search for signals in noisy processes. </w:t>
      </w:r>
      <w:r>
        <w:rPr>
          <w:i/>
        </w:rPr>
        <w:t>Journal for Research in Mathematics Education, 33</w:t>
      </w:r>
      <w:r>
        <w:t>(4), 259-289.</w:t>
      </w:r>
    </w:p>
    <w:p w14:paraId="1E4B5918" w14:textId="77777777" w:rsidR="0099249D" w:rsidRDefault="0099249D" w:rsidP="0099249D">
      <w:pPr>
        <w:pStyle w:val="BodyText"/>
        <w:ind w:left="720" w:hanging="720"/>
      </w:pPr>
      <w:r>
        <w:t xml:space="preserve">Lee, H., &amp; Hollebrands, K. (2008). Preparing to teach mathematics with technology: An integrated approach to developing technological pedagogical content knowledge. </w:t>
      </w:r>
      <w:r>
        <w:rPr>
          <w:i/>
        </w:rPr>
        <w:t>Contemporary Issues in Technology and Teacher Education, 8</w:t>
      </w:r>
      <w:r>
        <w:t>(4), 326-341.</w:t>
      </w:r>
    </w:p>
    <w:p w14:paraId="4BA5A910" w14:textId="77777777" w:rsidR="0099249D" w:rsidRDefault="0099249D" w:rsidP="0099249D">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2D539F42" w14:textId="77777777" w:rsidR="0099249D" w:rsidRDefault="0099249D" w:rsidP="0099249D">
      <w:pPr>
        <w:pStyle w:val="BodyText"/>
        <w:ind w:left="720" w:hanging="720"/>
      </w:pPr>
      <w:r>
        <w:t xml:space="preserve">Lehrer, R., &amp; Romberg, T. (1996). Exploring children’s data modeling. </w:t>
      </w:r>
      <w:r>
        <w:rPr>
          <w:i/>
        </w:rPr>
        <w:t>Cognition and Instruction, 14</w:t>
      </w:r>
      <w:r>
        <w:t>(1), 69-108.</w:t>
      </w:r>
    </w:p>
    <w:p w14:paraId="7C1175A6" w14:textId="77777777" w:rsidR="0099249D" w:rsidRDefault="0099249D" w:rsidP="0099249D">
      <w:pPr>
        <w:pStyle w:val="BodyText"/>
        <w:ind w:left="720" w:hanging="720"/>
      </w:pPr>
      <w:r>
        <w:lastRenderedPageBreak/>
        <w:t xml:space="preserve">Lehrer, R., &amp; Schauble, L. (2004). Modeling natural variation through distribution. </w:t>
      </w:r>
      <w:r>
        <w:rPr>
          <w:i/>
        </w:rPr>
        <w:t>American Educational Research Journal, 41</w:t>
      </w:r>
      <w:r>
        <w:t>(3), 635-679.</w:t>
      </w:r>
    </w:p>
    <w:p w14:paraId="44DB56DE" w14:textId="77777777" w:rsidR="0099249D" w:rsidRDefault="0099249D" w:rsidP="0099249D">
      <w:pPr>
        <w:pStyle w:val="BodyText"/>
        <w:ind w:left="720" w:hanging="720"/>
      </w:pPr>
      <w:r>
        <w:t xml:space="preserve">Lehrer, R. &amp; Schauble, L. (2015). </w:t>
      </w:r>
      <w:r>
        <w:rPr>
          <w:i/>
        </w:rPr>
        <w:t>Developing scientific thinking</w:t>
      </w:r>
      <w:r>
        <w:t>. In L. S. Liben &amp; U. Müller (Eds.), Cognitive processes. Handbook of child psychology and developmental science (Vol. 2, 7th ed., pp. 671-174). Hoboken, NJ: Wiley.</w:t>
      </w:r>
    </w:p>
    <w:p w14:paraId="2DA05C57" w14:textId="77777777" w:rsidR="0099249D" w:rsidRDefault="0099249D" w:rsidP="0099249D">
      <w:pPr>
        <w:pStyle w:val="BodyText"/>
        <w:ind w:left="720" w:hanging="720"/>
      </w:pPr>
      <w:r>
        <w:t xml:space="preserve">Lehrer, R., Kim, M. J., &amp; Jones, R. S. (2011). Developing conceptions of statistics by designing measures of distribution. </w:t>
      </w:r>
      <w:r>
        <w:rPr>
          <w:i/>
        </w:rPr>
        <w:t>ZDM, 43</w:t>
      </w:r>
      <w:r>
        <w:t>(5), 723-736.</w:t>
      </w:r>
    </w:p>
    <w:p w14:paraId="7C033956" w14:textId="77777777" w:rsidR="0099249D" w:rsidRDefault="0099249D" w:rsidP="0099249D">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22BBA03D" w14:textId="77777777" w:rsidR="0099249D" w:rsidRDefault="0099249D" w:rsidP="0099249D">
      <w:pPr>
        <w:pStyle w:val="BodyText"/>
        <w:ind w:left="720" w:hanging="720"/>
      </w:pPr>
      <w:r>
        <w:t xml:space="preserve">Lesh, R., Middleton, J. A., Caylor, E., &amp; Gupta, S. (2008). A science need: Designing tasks to engage students in modeling complex data. </w:t>
      </w:r>
      <w:r>
        <w:rPr>
          <w:i/>
        </w:rPr>
        <w:t>Educational Studies in Mathematics, 68</w:t>
      </w:r>
      <w:r>
        <w:t>(2), 113-130.</w:t>
      </w:r>
    </w:p>
    <w:p w14:paraId="12FF11B7" w14:textId="77777777" w:rsidR="0099249D" w:rsidRDefault="0099249D" w:rsidP="0099249D">
      <w:pPr>
        <w:pStyle w:val="BodyText"/>
        <w:ind w:left="720" w:hanging="720"/>
      </w:pPr>
      <w:r>
        <w:t xml:space="preserve">McNeill, K. L., &amp; Berland, L. (2017). What is (or should be) scientific evidence use in k‐12 classrooms? </w:t>
      </w:r>
      <w:r>
        <w:rPr>
          <w:i/>
        </w:rPr>
        <w:t>Journal of Research in Science Teaching, 54</w:t>
      </w:r>
      <w:r>
        <w:t>(5), 672-689.</w:t>
      </w:r>
    </w:p>
    <w:p w14:paraId="5E574CE1" w14:textId="77777777" w:rsidR="0099249D" w:rsidRDefault="0099249D" w:rsidP="0099249D">
      <w:pPr>
        <w:pStyle w:val="BodyText"/>
        <w:ind w:left="720" w:hanging="720"/>
      </w:pPr>
      <w:r>
        <w:t xml:space="preserve">McNeill, K. L. &amp; Krajcik, J. (2007). </w:t>
      </w:r>
      <w:r>
        <w:rPr>
          <w:i/>
        </w:rPr>
        <w:t>Middle school students’ use of appropriate and inappropriate evidence in writing scientific explanations</w:t>
      </w:r>
      <w:r>
        <w:t>. In Lovett, M &amp; Shah, P (Eds.), Thinking with data. (pp. 233-265). New York, NY: Taylor &amp; Francis Group, LLC.</w:t>
      </w:r>
    </w:p>
    <w:p w14:paraId="562D44CE" w14:textId="77777777" w:rsidR="0099249D" w:rsidRDefault="0099249D" w:rsidP="0099249D">
      <w:pPr>
        <w:pStyle w:val="BodyText"/>
        <w:ind w:left="720" w:hanging="720"/>
      </w:pPr>
      <w:r>
        <w:t xml:space="preserve">Miller, E., Manz, E., Russ, R., Stroupe, D., &amp; Berland, L. (2018). Addressing the epistemic elephant in the room: Epistemic agency and the next generation science standards. </w:t>
      </w:r>
      <w:r>
        <w:rPr>
          <w:i/>
        </w:rPr>
        <w:lastRenderedPageBreak/>
        <w:t>Journal of Research in Science Teaching</w:t>
      </w:r>
      <w:r>
        <w:t xml:space="preserve">, </w:t>
      </w:r>
      <w:r>
        <w:rPr>
          <w:i/>
        </w:rPr>
        <w:t>55</w:t>
      </w:r>
      <w:r>
        <w:t xml:space="preserve">(7), 1053-1075. </w:t>
      </w:r>
      <w:hyperlink r:id="rId17">
        <w:r>
          <w:rPr>
            <w:rStyle w:val="Hyperlink"/>
          </w:rPr>
          <w:t>https://doi.org/10.1002/tea.21459</w:t>
        </w:r>
      </w:hyperlink>
    </w:p>
    <w:p w14:paraId="21B57059" w14:textId="77777777" w:rsidR="0099249D" w:rsidRDefault="0099249D" w:rsidP="0099249D">
      <w:pPr>
        <w:pStyle w:val="BodyText"/>
        <w:ind w:left="720" w:hanging="720"/>
      </w:pPr>
      <w:r>
        <w:t xml:space="preserve">Muthén, B. (2004). </w:t>
      </w:r>
      <w:r>
        <w:rPr>
          <w:i/>
        </w:rPr>
        <w:t>Latent variable analysis</w:t>
      </w:r>
      <w:r>
        <w:t>. The Sage handbook of quantitative methodology for the social sciences. Thousand Oaks, CA: Sage Publications, 345-68.</w:t>
      </w:r>
    </w:p>
    <w:p w14:paraId="48A3D42F" w14:textId="77777777" w:rsidR="0099249D" w:rsidRDefault="0099249D" w:rsidP="0099249D">
      <w:pPr>
        <w:pStyle w:val="BodyText"/>
        <w:ind w:left="720" w:hanging="720"/>
      </w:pPr>
      <w:r>
        <w:t xml:space="preserve">Muthén, L. K., &amp; Muthén, B. O. (1997-2017). </w:t>
      </w:r>
      <w:r>
        <w:rPr>
          <w:i/>
        </w:rPr>
        <w:t>Mplus User’s Guid</w:t>
      </w:r>
      <w:r>
        <w:t>e. Los Angeles, CA: Muthén &amp; Muthén.</w:t>
      </w:r>
    </w:p>
    <w:p w14:paraId="500FDE59" w14:textId="77777777" w:rsidR="0099249D" w:rsidRDefault="0099249D" w:rsidP="0099249D">
      <w:pPr>
        <w:pStyle w:val="BodyText"/>
        <w:ind w:left="720" w:hanging="720"/>
      </w:pPr>
      <w:r>
        <w:t xml:space="preserve">NGSS Lead States. (2013). </w:t>
      </w:r>
      <w:r>
        <w:rPr>
          <w:i/>
        </w:rPr>
        <w:t>Next generation science standards: For states, by states</w:t>
      </w:r>
      <w:r>
        <w:t>. Washington, DC: National Academies Press.</w:t>
      </w:r>
    </w:p>
    <w:p w14:paraId="0BD1DCEB" w14:textId="77777777" w:rsidR="0099249D" w:rsidRDefault="0099249D" w:rsidP="0099249D">
      <w:pPr>
        <w:pStyle w:val="BodyText"/>
        <w:ind w:left="720" w:hanging="720"/>
      </w:pPr>
      <w:r>
        <w:t xml:space="preserve">Petrosino, A., Lehrer, R., &amp; Schauble, L. (2003). Structuring error and experimental variation as distribution in the fourth grade. </w:t>
      </w:r>
      <w:r>
        <w:rPr>
          <w:i/>
        </w:rPr>
        <w:t>Mathematical Thinking and Learning, 5</w:t>
      </w:r>
      <w:r>
        <w:t>(2&amp;3), 131-156.</w:t>
      </w:r>
    </w:p>
    <w:p w14:paraId="0D14DC05" w14:textId="77777777" w:rsidR="0099249D" w:rsidRDefault="0099249D" w:rsidP="0099249D">
      <w:pPr>
        <w:pStyle w:val="BodyText"/>
        <w:ind w:left="720" w:hanging="720"/>
      </w:pPr>
      <w:r>
        <w:t xml:space="preserve">Rosenberg, J. M., Schmidt, J. A., &amp; Beymer, P. N. (2018). </w:t>
      </w:r>
      <w:r>
        <w:rPr>
          <w:i/>
        </w:rPr>
        <w:t>tidyLPA: Easily carry out Latent Profile Analysis</w:t>
      </w:r>
      <w:r>
        <w:t xml:space="preserve">. </w:t>
      </w:r>
      <w:hyperlink r:id="rId18">
        <w:r>
          <w:rPr>
            <w:rStyle w:val="Hyperlink"/>
          </w:rPr>
          <w:t>https://cran.r-project.org/web/packages/tidyLPA/index.html</w:t>
        </w:r>
      </w:hyperlink>
    </w:p>
    <w:p w14:paraId="74496B94" w14:textId="77777777" w:rsidR="0099249D" w:rsidRDefault="0099249D" w:rsidP="0099249D">
      <w:pPr>
        <w:pStyle w:val="BodyText"/>
        <w:ind w:left="720" w:hanging="720"/>
      </w:pPr>
      <w:r>
        <w:t xml:space="preserve">Rosenberg, J. M., Xu, R., &amp; Frank, K. A. (2018). </w:t>
      </w:r>
      <w:r>
        <w:rPr>
          <w:i/>
        </w:rPr>
        <w:t>KonFound-It!: Quantify the robustness of causal inferences</w:t>
      </w:r>
      <w:r>
        <w:t xml:space="preserve">. </w:t>
      </w:r>
      <w:hyperlink r:id="rId19">
        <w:r>
          <w:rPr>
            <w:rStyle w:val="Hyperlink"/>
          </w:rPr>
          <w:t>http://konfound-it.com</w:t>
        </w:r>
      </w:hyperlink>
      <w:r>
        <w:t>.</w:t>
      </w:r>
    </w:p>
    <w:p w14:paraId="3FB0FCB5" w14:textId="77777777" w:rsidR="0099249D" w:rsidRDefault="0099249D" w:rsidP="0099249D">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20">
        <w:r>
          <w:rPr>
            <w:rStyle w:val="Hyperlink"/>
          </w:rPr>
          <w:t>https://dx.doi.org/10.1002/tea.21409</w:t>
        </w:r>
      </w:hyperlink>
    </w:p>
    <w:p w14:paraId="03DB93FC" w14:textId="77777777" w:rsidR="0099249D" w:rsidRDefault="0099249D" w:rsidP="0099249D">
      <w:pPr>
        <w:pStyle w:val="BodyText"/>
        <w:ind w:left="720" w:hanging="720"/>
      </w:pPr>
      <w:r>
        <w:t xml:space="preserve">Shumow, L., &amp; Schmidt, J. A. (2013). </w:t>
      </w:r>
      <w:r>
        <w:rPr>
          <w:i/>
        </w:rPr>
        <w:t>STEM interest and engagement (STEM I.E.)</w:t>
      </w:r>
      <w:r>
        <w:t>. National Science Foundation proposal for award number 1421198.</w:t>
      </w:r>
    </w:p>
    <w:p w14:paraId="19C8D110" w14:textId="77777777" w:rsidR="0099249D" w:rsidRDefault="0099249D" w:rsidP="0099249D">
      <w:pPr>
        <w:pStyle w:val="BodyText"/>
        <w:ind w:left="720" w:hanging="720"/>
      </w:pPr>
      <w:r>
        <w:lastRenderedPageBreak/>
        <w:t xml:space="preserve">Sinatra, G. M., Heddy, B. C., &amp; Lombardi, D. (2015). The challenges of defining and measuring student engagement in science. </w:t>
      </w:r>
      <w:r>
        <w:rPr>
          <w:i/>
        </w:rPr>
        <w:t>Educational Psychologist, 50</w:t>
      </w:r>
      <w:r>
        <w:t xml:space="preserve">(1), 1-13. </w:t>
      </w:r>
      <w:hyperlink r:id="rId21">
        <w:r>
          <w:rPr>
            <w:rStyle w:val="Hyperlink"/>
          </w:rPr>
          <w:t>doi:10.1080/00461520.2014.1002924</w:t>
        </w:r>
      </w:hyperlink>
    </w:p>
    <w:p w14:paraId="4809143A" w14:textId="77777777" w:rsidR="0099249D" w:rsidRDefault="0099249D" w:rsidP="0099249D">
      <w:pPr>
        <w:pStyle w:val="BodyText"/>
        <w:ind w:left="720" w:hanging="720"/>
      </w:pPr>
      <w:r>
        <w:t xml:space="preserve">Stroupe, D. (2014). Examining classroom science practice communities: How teachers and students negotiate epistemic agency and learn science‐as‐practice. </w:t>
      </w:r>
      <w:r>
        <w:rPr>
          <w:i/>
        </w:rPr>
        <w:t>Science Education, 98</w:t>
      </w:r>
      <w:r>
        <w:t>(3), 487-516.</w:t>
      </w:r>
    </w:p>
    <w:p w14:paraId="1F59BE81" w14:textId="77777777" w:rsidR="0099249D" w:rsidRDefault="0099249D" w:rsidP="0099249D">
      <w:pPr>
        <w:pStyle w:val="BodyText"/>
        <w:ind w:left="720" w:hanging="720"/>
      </w:pPr>
      <w:r>
        <w:t xml:space="preserve">Vandell, D. L., Hall, V., O’Cadiz, P., &amp; Karsh, A. (2012). </w:t>
      </w:r>
      <w:r>
        <w:rPr>
          <w:i/>
        </w:rPr>
        <w:t>Piloting outcome measures for summer learning initiative programs</w:t>
      </w:r>
      <w:r>
        <w:t xml:space="preserve">. Final report to the David and Lucile Packard Foundation, Children, Families, and Communities Program. Retrieved from </w:t>
      </w:r>
      <w:hyperlink r:id="rId22">
        <w:r>
          <w:rPr>
            <w:rStyle w:val="Hyperlink"/>
          </w:rPr>
          <w:t>http://faculty.sites.uci.edu/childcare/files/2013/07/SL-Outcomes-2011-Pilot_Edited_8.19.pdf</w:t>
        </w:r>
      </w:hyperlink>
    </w:p>
    <w:p w14:paraId="50EE0EA3" w14:textId="77777777" w:rsidR="0099249D" w:rsidRDefault="0099249D" w:rsidP="0099249D">
      <w:pPr>
        <w:pStyle w:val="BodyText"/>
        <w:ind w:left="720" w:hanging="720"/>
      </w:pPr>
      <w:r>
        <w:t xml:space="preserve">Weisberg, M. (2012). </w:t>
      </w:r>
      <w:r>
        <w:rPr>
          <w:i/>
        </w:rPr>
        <w:t>Simulation and similarity: Using models to understand the world</w:t>
      </w:r>
      <w:r>
        <w:t>. Oxford University Press: Oxford, England.</w:t>
      </w:r>
    </w:p>
    <w:p w14:paraId="57B470C2" w14:textId="77777777" w:rsidR="0099249D" w:rsidRDefault="0099249D" w:rsidP="0099249D">
      <w:pPr>
        <w:pStyle w:val="BodyText"/>
        <w:ind w:left="720" w:hanging="720"/>
      </w:pPr>
      <w:r>
        <w:t xml:space="preserve">Wild, C. J., &amp; Pfannkuch, M. (1999). Statistical thinking in empirical enquiry. </w:t>
      </w:r>
      <w:r>
        <w:rPr>
          <w:i/>
        </w:rPr>
        <w:t>International Statistical Review, 67</w:t>
      </w:r>
      <w:r>
        <w:t>(3), 223-248.</w:t>
      </w:r>
    </w:p>
    <w:p w14:paraId="0A8A20D4" w14:textId="7C4F14C7" w:rsidR="005F327F" w:rsidRDefault="0099249D" w:rsidP="0099249D">
      <w:pPr>
        <w:pStyle w:val="BodyText"/>
        <w:ind w:left="720" w:hanging="720"/>
      </w:pPr>
      <w:r>
        <w:t xml:space="preserve">Wilkerson, M. H. &amp; Fenwick, M. (2017). </w:t>
      </w:r>
      <w:r>
        <w:rPr>
          <w:i/>
        </w:rPr>
        <w:t>The practice of using mathematics and computational thinking</w:t>
      </w:r>
      <w:r>
        <w:t>. In C. V. Schwarz, C. Passmore, &amp; B. J. Reiser (Eds.), Helping Students Make Sense of the World Using Next Generation Science and Engineering Practices. Arlington, VA: National Science Teachers’ Association Press. pp. 181-204.</w:t>
      </w:r>
    </w:p>
    <w:p w14:paraId="00DD0FE8" w14:textId="3BB7E344" w:rsidR="006E715B" w:rsidRDefault="006E715B" w:rsidP="0099249D">
      <w:pPr>
        <w:pStyle w:val="BodyText"/>
        <w:ind w:left="720" w:hanging="720"/>
      </w:pPr>
    </w:p>
    <w:p w14:paraId="5101CE2C" w14:textId="3E6B9B87" w:rsidR="006E715B" w:rsidRDefault="006E715B" w:rsidP="006E715B">
      <w:pPr>
        <w:pStyle w:val="BodyText"/>
        <w:ind w:left="720" w:hanging="720"/>
        <w:jc w:val="center"/>
      </w:pPr>
      <w:r>
        <w:lastRenderedPageBreak/>
        <w:t>Appendix A: Descriptions for the Nine Summer STEM Programs.</w:t>
      </w:r>
    </w:p>
    <w:p w14:paraId="75975A6A" w14:textId="7574F8FB"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69269553"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2EB7357" w:rsidR="006E715B" w:rsidRDefault="006E715B" w:rsidP="006E715B">
      <w:pPr>
        <w:pStyle w:val="BodyText"/>
        <w:ind w:left="720" w:hanging="720"/>
      </w:pPr>
      <w:r>
        <w:lastRenderedPageBreak/>
        <w:t>Comunidad de Aprendizaje: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w:t>
      </w:r>
      <w:r>
        <w:lastRenderedPageBreak/>
        <w:t>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1ADF0812"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3C31621" w:rsidR="006E715B" w:rsidRDefault="006E715B" w:rsidP="006E715B">
      <w:pPr>
        <w:pStyle w:val="BodyText"/>
        <w:ind w:left="720" w:hanging="720"/>
      </w:pPr>
      <w:r>
        <w:t>Adventures in Mathematics</w:t>
      </w:r>
      <w:bookmarkStart w:id="46" w:name="_GoBack"/>
      <w:bookmarkEnd w:id="46"/>
      <w:r>
        <w:t>: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3"/>
      <w:headerReference w:type="default" r:id="rId24"/>
      <w:headerReference w:type="first" r:id="rId25"/>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atthew Koehler" w:date="2019-01-14T11:42:00Z" w:initials="MK">
    <w:p w14:paraId="27B508DE" w14:textId="354F5037" w:rsidR="00A10FB3" w:rsidRDefault="00A10FB3">
      <w:pPr>
        <w:pStyle w:val="CommentText"/>
      </w:pPr>
      <w:r>
        <w:rPr>
          <w:rStyle w:val="CommentReference"/>
        </w:rPr>
        <w:annotationRef/>
      </w:r>
      <w:r>
        <w:t>Interest in what?</w:t>
      </w:r>
    </w:p>
  </w:comment>
  <w:comment w:id="9"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10"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1"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2" w:author="Matthew Koehler" w:date="2019-01-14T11:57:00Z" w:initials="MK">
    <w:p w14:paraId="4D2B3F0D" w14:textId="19C372D5" w:rsidR="007F3D51" w:rsidRDefault="007F3D51">
      <w:pPr>
        <w:pStyle w:val="CommentText"/>
      </w:pPr>
      <w:r>
        <w:rPr>
          <w:rStyle w:val="CommentReference"/>
        </w:rPr>
        <w:annotationRef/>
      </w: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3" w:author="Matthew Koehler" w:date="2019-01-14T12:01:00Z" w:initials="MK">
    <w:p w14:paraId="53A59895" w14:textId="77777777" w:rsidR="007F3D51" w:rsidRDefault="007F3D51">
      <w:pPr>
        <w:pStyle w:val="CommentText"/>
      </w:pPr>
      <w:r>
        <w:rPr>
          <w:rStyle w:val="CommentReference"/>
        </w:rPr>
        <w:annotationRef/>
      </w:r>
      <w:r>
        <w:t xml:space="preserve">I think </w:t>
      </w:r>
      <w:r w:rsidR="00CE6D3F">
        <w:t>APA would put this type of discussion into results</w:t>
      </w:r>
    </w:p>
    <w:p w14:paraId="79442DE2" w14:textId="251C8EF8" w:rsidR="00CE6D3F" w:rsidRDefault="00CE6D3F">
      <w:pPr>
        <w:pStyle w:val="CommentText"/>
      </w:pPr>
    </w:p>
  </w:comment>
  <w:comment w:id="14"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5"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6" w:author="Matthew Koehler" w:date="2019-01-14T12:10:00Z" w:initials="MK">
    <w:p w14:paraId="118621D4" w14:textId="77777777" w:rsidR="00CE6D3F" w:rsidRDefault="00CE6D3F">
      <w:pPr>
        <w:pStyle w:val="CommentText"/>
      </w:pPr>
      <w:r>
        <w:rPr>
          <w:rStyle w:val="CommentReference"/>
        </w:rPr>
        <w:annotationRef/>
      </w:r>
      <w:r>
        <w:t>What “model one type” is, is not defined.  Nor does what it mean to chose, and the consequences of chosing something different.</w:t>
      </w:r>
    </w:p>
    <w:p w14:paraId="661891F2" w14:textId="68E76E7A" w:rsidR="00CE6D3F" w:rsidRDefault="00CE6D3F">
      <w:pPr>
        <w:pStyle w:val="CommentText"/>
      </w:pPr>
    </w:p>
  </w:comment>
  <w:comment w:id="17"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8"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19"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39" w:author="Matthew Koehler" w:date="2019-01-14T12:17:00Z" w:initials="MK">
    <w:p w14:paraId="4D5114A2" w14:textId="77777777" w:rsidR="00D82E8F" w:rsidRDefault="00D82E8F">
      <w:pPr>
        <w:pStyle w:val="CommentText"/>
      </w:pPr>
      <w:r>
        <w:rPr>
          <w:rStyle w:val="CommentReference"/>
        </w:rPr>
        <w:annotationRef/>
      </w:r>
      <w:r>
        <w:t>I’ll leave this to Jen, because ultimately this section has to connect to the field, and draw in previous literature.</w:t>
      </w:r>
    </w:p>
    <w:p w14:paraId="75A8994A" w14:textId="77777777" w:rsidR="00D82E8F" w:rsidRDefault="00D82E8F">
      <w:pPr>
        <w:pStyle w:val="CommentText"/>
      </w:pPr>
    </w:p>
    <w:p w14:paraId="48E0E1F3" w14:textId="77777777" w:rsidR="00D82E8F" w:rsidRDefault="00D82E8F">
      <w:pPr>
        <w:pStyle w:val="CommentText"/>
      </w:pPr>
      <w:r>
        <w:t>I don’t know either very well.</w:t>
      </w:r>
    </w:p>
    <w:p w14:paraId="6C6E8E88" w14:textId="77777777" w:rsidR="00D82E8F" w:rsidRDefault="00D82E8F">
      <w:pPr>
        <w:pStyle w:val="CommentText"/>
      </w:pPr>
    </w:p>
    <w:p w14:paraId="35A6839A" w14:textId="77777777" w:rsidR="00D82E8F" w:rsidRDefault="00D82E8F">
      <w:pPr>
        <w:pStyle w:val="CommentText"/>
      </w:pPr>
      <w:r>
        <w:t>I will argue that you tend to over-state your results focusing on the few significant, but small effects, that you did find.</w:t>
      </w:r>
    </w:p>
    <w:p w14:paraId="1710ADBF" w14:textId="77777777" w:rsidR="00D82E8F" w:rsidRDefault="00D82E8F">
      <w:pPr>
        <w:pStyle w:val="CommentText"/>
      </w:pPr>
    </w:p>
    <w:p w14:paraId="006A076F" w14:textId="52C2714C" w:rsidR="00D82E8F" w:rsidRDefault="00D82E8F" w:rsidP="00DA4DDC">
      <w:pPr>
        <w:pStyle w:val="BodyText"/>
      </w:pPr>
      <w:r>
        <w:t>As a reader, I would find it more compelling to talk about how, for the most part, what students were doing did NOT impact their engagement profiles.  Why that is could make for a fascinating discussion instead of zooming on the 2 combinations (out of 30) that did differ.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508DE" w15:done="0"/>
  <w15:commentEx w15:paraId="7EB31E41" w15:done="0"/>
  <w15:commentEx w15:paraId="5E05CE04" w15:paraIdParent="7EB31E41" w15:done="0"/>
  <w15:commentEx w15:paraId="4952F8D8" w15:done="0"/>
  <w15:commentEx w15:paraId="1E70751B" w15:done="0"/>
  <w15:commentEx w15:paraId="79442DE2" w15:done="0"/>
  <w15:commentEx w15:paraId="30C7E079" w15:done="0"/>
  <w15:commentEx w15:paraId="08DD6A7F" w15:done="0"/>
  <w15:commentEx w15:paraId="661891F2" w15:done="0"/>
  <w15:commentEx w15:paraId="61CC7DE2" w15:done="0"/>
  <w15:commentEx w15:paraId="6221AAB7" w15:done="0"/>
  <w15:commentEx w15:paraId="76F28578" w15:done="0"/>
  <w15:commentEx w15:paraId="006A0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31E41" w16cid:durableId="1FE6F84B"/>
  <w16cid:commentId w16cid:paraId="5E05CE04" w16cid:durableId="1FEAC512"/>
  <w16cid:commentId w16cid:paraId="4952F8D8" w16cid:durableId="1FE6F8F4"/>
  <w16cid:commentId w16cid:paraId="1E70751B" w16cid:durableId="1FE6F7B0"/>
  <w16cid:commentId w16cid:paraId="79442DE2" w16cid:durableId="1FE6F8A1"/>
  <w16cid:commentId w16cid:paraId="30C7E079" w16cid:durableId="1FE6F9B0"/>
  <w16cid:commentId w16cid:paraId="08DD6A7F" w16cid:durableId="1FE6F992"/>
  <w16cid:commentId w16cid:paraId="661891F2" w16cid:durableId="1FE6FA99"/>
  <w16cid:commentId w16cid:paraId="61CC7DE2" w16cid:durableId="1FE6FB20"/>
  <w16cid:commentId w16cid:paraId="6221AAB7" w16cid:durableId="1FE6FB47"/>
  <w16cid:commentId w16cid:paraId="76F28578" w16cid:durableId="1FE6FBDB"/>
  <w16cid:commentId w16cid:paraId="006A076F" w16cid:durableId="1FE6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79775" w14:textId="77777777" w:rsidR="00E46D7A" w:rsidRDefault="00E46D7A">
      <w:pPr>
        <w:spacing w:after="0"/>
      </w:pPr>
      <w:r>
        <w:separator/>
      </w:r>
    </w:p>
  </w:endnote>
  <w:endnote w:type="continuationSeparator" w:id="0">
    <w:p w14:paraId="7ECB936A" w14:textId="77777777" w:rsidR="00E46D7A" w:rsidRDefault="00E46D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4254C" w14:textId="77777777" w:rsidR="00E46D7A" w:rsidRDefault="00E46D7A">
      <w:r>
        <w:separator/>
      </w:r>
    </w:p>
  </w:footnote>
  <w:footnote w:type="continuationSeparator" w:id="0">
    <w:p w14:paraId="780D064B" w14:textId="77777777" w:rsidR="00E46D7A" w:rsidRDefault="00E46D7A">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 w:id="3">
    <w:p w14:paraId="757C849E" w14:textId="77777777" w:rsidR="00990B22" w:rsidRDefault="00990B22" w:rsidP="00331748">
      <w:pPr>
        <w:pStyle w:val="FootnoteText"/>
      </w:pPr>
      <w:r>
        <w:rPr>
          <w:rStyle w:val="FootnoteReference"/>
        </w:rPr>
        <w:footnoteRef/>
      </w:r>
      <w:r>
        <w:t xml:space="preserve"> Youth and the instructional episode can be considered to be crossed with both nested within the program.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5E30"/>
    <w:rsid w:val="000220CB"/>
    <w:rsid w:val="0002231D"/>
    <w:rsid w:val="00025E5A"/>
    <w:rsid w:val="00044028"/>
    <w:rsid w:val="00047CA0"/>
    <w:rsid w:val="000626A2"/>
    <w:rsid w:val="00084BC1"/>
    <w:rsid w:val="00090065"/>
    <w:rsid w:val="00093BF5"/>
    <w:rsid w:val="00097511"/>
    <w:rsid w:val="000A08D2"/>
    <w:rsid w:val="000E105D"/>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A3A03"/>
    <w:rsid w:val="001D2B94"/>
    <w:rsid w:val="001D4FA8"/>
    <w:rsid w:val="001E7E52"/>
    <w:rsid w:val="001F5F84"/>
    <w:rsid w:val="00216BE0"/>
    <w:rsid w:val="002216E3"/>
    <w:rsid w:val="0023797A"/>
    <w:rsid w:val="002574A8"/>
    <w:rsid w:val="00261612"/>
    <w:rsid w:val="00265F7D"/>
    <w:rsid w:val="00266AD6"/>
    <w:rsid w:val="0027285A"/>
    <w:rsid w:val="0027583B"/>
    <w:rsid w:val="0028354C"/>
    <w:rsid w:val="00291F87"/>
    <w:rsid w:val="002B5706"/>
    <w:rsid w:val="002D0490"/>
    <w:rsid w:val="002D3631"/>
    <w:rsid w:val="002E0CE8"/>
    <w:rsid w:val="002E18DA"/>
    <w:rsid w:val="002E4AF3"/>
    <w:rsid w:val="00302ECC"/>
    <w:rsid w:val="00331748"/>
    <w:rsid w:val="0035006E"/>
    <w:rsid w:val="003604E7"/>
    <w:rsid w:val="00394620"/>
    <w:rsid w:val="003A5EB9"/>
    <w:rsid w:val="003D7849"/>
    <w:rsid w:val="003F603A"/>
    <w:rsid w:val="00402B57"/>
    <w:rsid w:val="0040382F"/>
    <w:rsid w:val="00411C72"/>
    <w:rsid w:val="0041479C"/>
    <w:rsid w:val="00425F39"/>
    <w:rsid w:val="004335CE"/>
    <w:rsid w:val="0043434E"/>
    <w:rsid w:val="00480FAA"/>
    <w:rsid w:val="0048220D"/>
    <w:rsid w:val="004A3567"/>
    <w:rsid w:val="004B2B20"/>
    <w:rsid w:val="004C2FE4"/>
    <w:rsid w:val="004E0D1C"/>
    <w:rsid w:val="004E29B3"/>
    <w:rsid w:val="004F071D"/>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F3B"/>
    <w:rsid w:val="006B19D2"/>
    <w:rsid w:val="006B6F54"/>
    <w:rsid w:val="006C61AA"/>
    <w:rsid w:val="006D07E6"/>
    <w:rsid w:val="006D5012"/>
    <w:rsid w:val="006D5D20"/>
    <w:rsid w:val="006E715B"/>
    <w:rsid w:val="006F4720"/>
    <w:rsid w:val="007078EA"/>
    <w:rsid w:val="00707A7D"/>
    <w:rsid w:val="007402C3"/>
    <w:rsid w:val="00744518"/>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D1D"/>
    <w:rsid w:val="009F2C5E"/>
    <w:rsid w:val="00A05DB7"/>
    <w:rsid w:val="00A10FB3"/>
    <w:rsid w:val="00A2143C"/>
    <w:rsid w:val="00A23D5F"/>
    <w:rsid w:val="00A57FE8"/>
    <w:rsid w:val="00A61394"/>
    <w:rsid w:val="00A647A7"/>
    <w:rsid w:val="00A654FC"/>
    <w:rsid w:val="00A67428"/>
    <w:rsid w:val="00A71C18"/>
    <w:rsid w:val="00A865F2"/>
    <w:rsid w:val="00A94B50"/>
    <w:rsid w:val="00A96451"/>
    <w:rsid w:val="00AA2A4E"/>
    <w:rsid w:val="00AB0C80"/>
    <w:rsid w:val="00AC194B"/>
    <w:rsid w:val="00AD01F2"/>
    <w:rsid w:val="00AD3B41"/>
    <w:rsid w:val="00AE0376"/>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764F4"/>
    <w:rsid w:val="00B86B75"/>
    <w:rsid w:val="00B87979"/>
    <w:rsid w:val="00B95BE3"/>
    <w:rsid w:val="00BA47FB"/>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B45B0"/>
    <w:rsid w:val="00CE583A"/>
    <w:rsid w:val="00CE6D3F"/>
    <w:rsid w:val="00CF3A84"/>
    <w:rsid w:val="00D11F90"/>
    <w:rsid w:val="00D17E96"/>
    <w:rsid w:val="00D23F81"/>
    <w:rsid w:val="00D268E9"/>
    <w:rsid w:val="00D30979"/>
    <w:rsid w:val="00D357A8"/>
    <w:rsid w:val="00D40AEE"/>
    <w:rsid w:val="00D42118"/>
    <w:rsid w:val="00D44196"/>
    <w:rsid w:val="00D608BD"/>
    <w:rsid w:val="00D61643"/>
    <w:rsid w:val="00D6711A"/>
    <w:rsid w:val="00D77623"/>
    <w:rsid w:val="00D82E8F"/>
    <w:rsid w:val="00D840F8"/>
    <w:rsid w:val="00DA4DDC"/>
    <w:rsid w:val="00DC623F"/>
    <w:rsid w:val="00DC639B"/>
    <w:rsid w:val="00DD2292"/>
    <w:rsid w:val="00DD29E1"/>
    <w:rsid w:val="00DD354E"/>
    <w:rsid w:val="00DE04B3"/>
    <w:rsid w:val="00DE0A53"/>
    <w:rsid w:val="00E110BA"/>
    <w:rsid w:val="00E12747"/>
    <w:rsid w:val="00E12751"/>
    <w:rsid w:val="00E24F9C"/>
    <w:rsid w:val="00E315A3"/>
    <w:rsid w:val="00E31AEA"/>
    <w:rsid w:val="00E3580B"/>
    <w:rsid w:val="00E374DB"/>
    <w:rsid w:val="00E42AEE"/>
    <w:rsid w:val="00E46D7A"/>
    <w:rsid w:val="00E55A9B"/>
    <w:rsid w:val="00E5665E"/>
    <w:rsid w:val="00E621E1"/>
    <w:rsid w:val="00E6637E"/>
    <w:rsid w:val="00E70E71"/>
    <w:rsid w:val="00E739C7"/>
    <w:rsid w:val="00EA261F"/>
    <w:rsid w:val="00EB3ACF"/>
    <w:rsid w:val="00EB7B23"/>
    <w:rsid w:val="00EC0BA2"/>
    <w:rsid w:val="00EC23D9"/>
    <w:rsid w:val="00EC5441"/>
    <w:rsid w:val="00ED232A"/>
    <w:rsid w:val="00ED5936"/>
    <w:rsid w:val="00EE71CE"/>
    <w:rsid w:val="00EF1620"/>
    <w:rsid w:val="00EF3BC0"/>
    <w:rsid w:val="00F04757"/>
    <w:rsid w:val="00F12911"/>
    <w:rsid w:val="00F2557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doi:10.1080/00461520.2014.1002924"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doi.org/10.1002/tea.21459"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s://dx.doi.org/10.1002/tea.21409"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konfound-it.com"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faculty.sites.uci.edu/childcare/files/2013/07/SL-Outcomes-2011-Pilot_Edited_8.19.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12605</Words>
  <Characters>69205</Characters>
  <Application>Microsoft Office Word</Application>
  <DocSecurity>0</DocSecurity>
  <Lines>1235</Lines>
  <Paragraphs>278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3</cp:revision>
  <cp:lastPrinted>2018-10-05T20:16:00Z</cp:lastPrinted>
  <dcterms:created xsi:type="dcterms:W3CDTF">2019-01-17T14:17:00Z</dcterms:created>
  <dcterms:modified xsi:type="dcterms:W3CDTF">2019-01-17T14:17:00Z</dcterms:modified>
</cp:coreProperties>
</file>