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w:t>
      </w:r>
      <w:commentRangeStart w:id="0"/>
      <w:r w:rsidR="00AE7D63">
        <w:t>Approach</w:t>
      </w:r>
      <w:commentRangeEnd w:id="0"/>
      <w:r w:rsidR="00CA3205">
        <w:rPr>
          <w:rStyle w:val="CommentReference"/>
          <w:rFonts w:asciiTheme="minorHAnsi" w:eastAsiaTheme="minorHAnsi" w:hAnsiTheme="minorHAnsi" w:cstheme="minorBidi"/>
          <w:bCs w:val="0"/>
        </w:rPr>
        <w:commentReference w:id="0"/>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2" w:name="author-note"/>
      <w:bookmarkEnd w:id="2"/>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10">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transform from consumers of knowledge to creators of knowledge (Hancock, Kaput, &amp; Goldsmith, 1992; Lehrer &amp; Schauble, 2015; Lee &amp; Wilkerson, 2018; Finzer,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3" w:name="defining-work-with-data-need-to-cut-500-"/>
      <w:bookmarkEnd w:id="3"/>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4" w:name="the-role-of-working-with-data-in-stem-le"/>
      <w:bookmarkStart w:id="5" w:name="what-is-known-about-how-youth-work-with-"/>
      <w:bookmarkEnd w:id="4"/>
      <w:bookmarkEnd w:id="5"/>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t xml:space="preserve">Finzer, 2013; </w:t>
      </w:r>
      <w:r>
        <w:t>Konold &amp; Pollatsek,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3C43042"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t>).</w:t>
      </w:r>
      <w:r w:rsidR="00AE7D63">
        <w:t xml:space="preserve"> A key outcome of engaging in work with data has to do with how learners account for variability (</w:t>
      </w:r>
      <w:r w:rsidR="00CB45B0">
        <w:t xml:space="preserve">Lee, Angotti, &amp; Tarr, 2010; </w:t>
      </w:r>
      <w:r w:rsidR="00AE7D63">
        <w:t>Lehrer, Kim, &amp; Schauble, 2007; Lesh, Middleton, Caylor, &amp; Gupta, 2008</w:t>
      </w:r>
      <w:r w:rsidR="00CB45B0">
        <w:t>; Petrosino et al., 2003</w:t>
      </w:r>
      <w:r w:rsidR="00AE7D63">
        <w:t>), arguably the main goal of engaging in work with data (Konold &amp; Pollatsek,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t xml:space="preserve"> &amp; Yarden</w:t>
      </w:r>
      <w:r>
        <w:t xml:space="preserve">,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Hollebrands,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(Konold, Finzer, &amp; Kreetong,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Kindermann, &amp; Furrer, 2009</w:t>
      </w:r>
      <w:r w:rsidR="00970189">
        <w:t>.</w:t>
      </w:r>
      <w:r>
        <w:t xml:space="preserve"> </w:t>
      </w:r>
      <w:r w:rsidRPr="00D17E96">
        <w:t xml:space="preserve">We know from past research that the cognitive, behavioral, and affective </w:t>
      </w:r>
      <w:r w:rsidRPr="00D17E96">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ADE8058"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A625CD">
        <w:t>6</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Dika, 2002). Finally, affective engagement </w:t>
      </w:r>
      <w:r w:rsidR="00097511">
        <w:t xml:space="preserve">can be defined </w:t>
      </w:r>
      <w:r w:rsidRPr="00D17E96">
        <w:t>as emotional responses to activities, such as being excited, angry, or relaxed (Pekrun &amp; Linnenbrink-Gar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D17E96">
        <w:lastRenderedPageBreak/>
        <w:t xml:space="preserve">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r w:rsidR="00D17E96" w:rsidRPr="00D17E96">
        <w:t>Shernoff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sutdents’ engagement </w:t>
      </w:r>
      <w:r w:rsidR="00EF3BC0" w:rsidRPr="00C33880">
        <w:t xml:space="preserve">(Shernoff et al., 2003; Shernoff et al., 2016; Shumow, Schmidt, &amp; Zaleski, 2013). </w:t>
      </w:r>
      <w:r w:rsidR="00EF3BC0">
        <w:t>In addition, some studies have shown that there are gender-related differences in engagement (Kackar, Shumow, Schmidt, &amp; Grzetich,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Laina, &amp; Gravel, 2016), sustained support from those leading youth activities is an essential component of learners being able to work with data. Thus, how youth activity leaders plan and enact activities </w:t>
      </w:r>
      <w:r w:rsidRPr="00C33880">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Salmela-Aro, Moeller, Schneider, Spicer, &amp; Lavonen, 2016a; Salmela-Aro, Muotka, Alho, Hakkarainen, &amp; Lonka, 2016b; Van Rooij,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r w:rsidRPr="008A2EF7">
        <w:t>Salmela-Aro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6" w:name="need-for-the-present-study"/>
      <w:bookmarkEnd w:id="6"/>
      <w:r>
        <w:t>The Present Study</w:t>
      </w:r>
    </w:p>
    <w:p w14:paraId="092C9B7A" w14:textId="4E2BF47D"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(Fredricks, Blumenfeld, &amp; Paris, 2014)</w:t>
      </w:r>
      <w:r w:rsidR="001975FF">
        <w:t xml:space="preserve"> and a Latent Profile Analysis (LPA; Harring &amp; Hodis, 2016) analytic approach in order to identify profiles representing common groups of how students experience engagement. </w:t>
      </w:r>
      <w:r w:rsidR="00D608BD">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7" w:name="conceptual-framework-and-research-questi"/>
      <w:bookmarkEnd w:id="7"/>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commentRangeStart w:id="8"/>
      <w:commentRangeEnd w:id="8"/>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179D1D19" w:rsidR="00AC194B" w:rsidRDefault="00C80C47">
      <w:r>
        <w:rPr>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75978268" w14:textId="1FA3C936" w:rsidR="003A5EB9" w:rsidRDefault="003A5EB9"/>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9" w:name="methods"/>
      <w:bookmarkEnd w:id="9"/>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7C4AA609" w:rsidR="00A05DB7" w:rsidRPr="00422BB9" w:rsidRDefault="00A05DB7" w:rsidP="00B22B40">
      <w:pPr>
        <w:pStyle w:val="BodyText"/>
        <w:ind w:firstLine="720"/>
      </w:pPr>
      <w:r>
        <w:t>This study makes use of an innovative ESM methodology (Hektner et al., 2007)</w:t>
      </w:r>
      <w:r w:rsidR="009E19B1">
        <w:t xml:space="preserve"> to understand youths’ experience in work with data  in-the-moment.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by research team members only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10"/>
      <w:commentRangeStart w:id="11"/>
      <w:r>
        <w:t>Data Sources and Measures</w:t>
      </w:r>
      <w:commentRangeEnd w:id="10"/>
      <w:r w:rsidR="007F3D51">
        <w:rPr>
          <w:rStyle w:val="CommentReference"/>
          <w:rFonts w:asciiTheme="minorHAnsi" w:eastAsiaTheme="minorHAnsi" w:hAnsiTheme="minorHAnsi" w:cstheme="minorBidi"/>
          <w:b w:val="0"/>
          <w:bCs w:val="0"/>
        </w:rPr>
        <w:commentReference w:id="10"/>
      </w:r>
      <w:commentRangeEnd w:id="11"/>
      <w:r w:rsidR="00266AD6">
        <w:rPr>
          <w:rStyle w:val="CommentReference"/>
          <w:rFonts w:asciiTheme="minorHAnsi" w:eastAsiaTheme="minorHAnsi" w:hAnsiTheme="minorHAnsi" w:cstheme="minorBidi"/>
          <w:b w:val="0"/>
          <w:bCs w:val="0"/>
        </w:rPr>
        <w:commentReference w:id="11"/>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2"/>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2"/>
      <w:r w:rsidR="00CE6D3F">
        <w:rPr>
          <w:rStyle w:val="CommentReference"/>
          <w:rFonts w:asciiTheme="minorHAnsi" w:eastAsiaTheme="minorHAnsi" w:hAnsiTheme="minorHAnsi" w:cstheme="minorBidi"/>
          <w:b w:val="0"/>
          <w:bCs w:val="0"/>
        </w:rPr>
        <w:commentReference w:id="12"/>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codeable,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Three items adapted from Vandell, Hall, O’Cadiz, and Karsh (2012) were used to measure youths’ pre-program interest in STEM</w:t>
      </w:r>
      <w:r w:rsidR="00891137">
        <w:t>.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Vandell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52ED5418" w:rsidR="00331748" w:rsidRDefault="00331748" w:rsidP="00331748">
      <w:pPr>
        <w:pStyle w:val="FirstParagraph"/>
        <w:ind w:firstLine="0"/>
      </w:pPr>
      <w:r>
        <w:t>. Demographic information for youths’ gender, and their racial and ethnic group were used to construct 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p>
    <w:p w14:paraId="4857B9BD" w14:textId="3615DD93" w:rsidR="006265B0" w:rsidRDefault="006265B0" w:rsidP="006265B0">
      <w:pPr>
        <w:pStyle w:val="BodyText"/>
        <w:ind w:firstLine="0"/>
        <w:rPr>
          <w:b/>
        </w:rPr>
      </w:pPr>
      <w:r>
        <w:rPr>
          <w:b/>
        </w:rPr>
        <w:t>Data Analysis</w:t>
      </w:r>
    </w:p>
    <w:p w14:paraId="7FE20E11" w14:textId="257AC7B1" w:rsidR="006265B0" w:rsidRDefault="006265B0" w:rsidP="006265B0">
      <w:pPr>
        <w:pStyle w:val="BodyText"/>
        <w:ind w:firstLine="0"/>
      </w:pPr>
      <w:r>
        <w:tab/>
      </w:r>
      <w:r>
        <w:rPr>
          <w:b/>
        </w:rPr>
        <w:t xml:space="preserve">Latent profile analysis. </w:t>
      </w:r>
      <w:r w:rsidR="00020F54">
        <w:t xml:space="preserve">Latent Profile Analysis was used to identify engagement profiles. </w:t>
      </w:r>
      <w:r w:rsidRPr="006265B0">
        <w:t>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tidyLPA package (Authors, 2018) and the MPlus software (Muthen &amp; Muthen, 1998-2017) was used to carry out LPA through open-source statistical software we developed.</w:t>
      </w:r>
      <w:r w:rsidR="0033554E">
        <w:t xml:space="preserve"> </w:t>
      </w:r>
      <w:r w:rsidR="0033554E">
        <w:t xml:space="preserve">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w:t>
      </w:r>
      <w:r w:rsidR="0033554E">
        <w:lastRenderedPageBreak/>
        <w:t>probability), a statistical test (the bootstrapped LRT [BLRT]), and concerns of interpretability and parsimony</w:t>
      </w:r>
      <w:r w:rsidR="0033554E">
        <w:t>.</w:t>
      </w:r>
    </w:p>
    <w:p w14:paraId="4EB60BCD" w14:textId="7AC78C66" w:rsidR="0033554E" w:rsidRDefault="0033554E" w:rsidP="00020F54">
      <w:pPr>
        <w:pStyle w:val="BodyText"/>
      </w:pPr>
      <w:r>
        <w:tab/>
      </w:r>
      <w:r>
        <w:rPr>
          <w:b/>
        </w:rPr>
        <w:t>Mixed effects models</w:t>
      </w:r>
      <w:r>
        <w:t>.</w:t>
      </w:r>
      <w:r w:rsidR="00020F54">
        <w:t xml:space="preserve"> Mixed effects models were used to study the relations between the aspects of work with data and youth characteristics and engagement.</w:t>
      </w:r>
      <w:r w:rsidR="00020F54">
        <w:t xml:space="preserve"> </w:t>
      </w:r>
      <w:r w:rsidR="00020F54">
        <w:t>We used mixed effects models to</w:t>
      </w:r>
      <w:r w:rsidR="00020F54">
        <w:t xml:space="preserve"> account for the cross-classification of the instructional episode (because of the dependencies of the responses associated with each of the 248 distinct ESM signals) and youth are used and for the “nesting” of both within each of the nine programs are used. The </w:t>
      </w:r>
      <w:r w:rsidR="00020F54" w:rsidRPr="00F301A8">
        <w:rPr>
          <w:i/>
        </w:rPr>
        <w:t>lme4</w:t>
      </w:r>
      <w:r w:rsidR="00020F54">
        <w:t xml:space="preserve"> R package (Bates, Martin, Bolker,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Pr>
          <w:i/>
        </w:rPr>
        <w:t>ICC</w:t>
      </w:r>
      <w:r w:rsidR="00020F54">
        <w:t>s represent the variability (the proportion of variance explained) associated with each of the levels for each profile, as presented in Figure 2.</w:t>
      </w:r>
    </w:p>
    <w:p w14:paraId="424A466E" w14:textId="77777777" w:rsidR="0033554E" w:rsidRPr="0033554E" w:rsidRDefault="0033554E" w:rsidP="006265B0">
      <w:pPr>
        <w:pStyle w:val="BodyText"/>
        <w:ind w:firstLine="0"/>
      </w:pPr>
    </w:p>
    <w:p w14:paraId="2FB5CC9A" w14:textId="77777777" w:rsidR="00331748" w:rsidRDefault="00331748" w:rsidP="00331748">
      <w:pPr>
        <w:pStyle w:val="Heading1"/>
      </w:pPr>
      <w:r>
        <w:lastRenderedPageBreak/>
        <w:t>Results</w:t>
      </w:r>
    </w:p>
    <w:p w14:paraId="6C76EA76" w14:textId="77777777" w:rsidR="00331748" w:rsidRDefault="00331748" w:rsidP="00331748">
      <w:pPr>
        <w:pStyle w:val="Heading2"/>
      </w:pPr>
      <w:r>
        <w:t>Descriptive statistics for the engagement measures</w:t>
      </w:r>
    </w:p>
    <w:p w14:paraId="290DABC0" w14:textId="689A86EE" w:rsidR="00331748" w:rsidRDefault="000E2766" w:rsidP="00331748">
      <w:pPr>
        <w:pStyle w:val="FirstParagraph"/>
      </w:pPr>
      <w:r w:rsidRPr="000E2766">
        <w:t>Correlations (first-order Pearson) and the frequency, range, mean (</w:t>
      </w:r>
      <w:r w:rsidRPr="000E2766">
        <w:rPr>
          <w:i/>
        </w:rPr>
        <w:t>M</w:t>
      </w:r>
      <w:r w:rsidRPr="000E2766">
        <w:t>), and standard deviation (</w:t>
      </w:r>
      <w:r w:rsidRPr="000E2766">
        <w:rPr>
          <w:i/>
        </w:rPr>
        <w:t>SD</w:t>
      </w:r>
      <w:r w:rsidRPr="000E2766">
        <w:t>) are first reported for all variables. In addition, the frequencies of the codes for aspects of work with data and the numbers of responses by youth, program, and instructional episode are presented.</w:t>
      </w:r>
      <w:r w:rsidR="00331748">
        <w:t>First, descriptive statistics for the five engagement variables that were used to estimate the profiles were calculated.</w:t>
      </w:r>
      <w:r w:rsidR="00CE6D3F">
        <w:t xml:space="preserve"> </w:t>
      </w:r>
      <w:r w:rsidR="00331748">
        <w:t>These descriptive statistics show high overall levels of cognitive (</w:t>
      </w:r>
      <w:r w:rsidR="00331748">
        <w:rPr>
          <w:i/>
        </w:rPr>
        <w:t>M</w:t>
      </w:r>
      <w:r w:rsidR="00331748">
        <w:t xml:space="preserve"> = 2.768, </w:t>
      </w:r>
      <w:r w:rsidR="00331748">
        <w:rPr>
          <w:i/>
        </w:rPr>
        <w:t>SD</w:t>
      </w:r>
      <w:r w:rsidR="00331748">
        <w:t xml:space="preserve"> = 1.063), behavioral (</w:t>
      </w:r>
      <w:r w:rsidR="00331748">
        <w:rPr>
          <w:i/>
        </w:rPr>
        <w:t>M</w:t>
      </w:r>
      <w:r w:rsidR="00331748">
        <w:t xml:space="preserve"> = 2.863, </w:t>
      </w:r>
      <w:r w:rsidR="00331748">
        <w:rPr>
          <w:i/>
        </w:rPr>
        <w:t>SD</w:t>
      </w:r>
      <w:r w:rsidR="00331748">
        <w:t xml:space="preserve"> = 1.044) and affective (</w:t>
      </w:r>
      <w:r w:rsidR="00331748">
        <w:rPr>
          <w:i/>
        </w:rPr>
        <w:t>M</w:t>
      </w:r>
      <w:r w:rsidR="00331748">
        <w:t xml:space="preserve"> = 2.831, </w:t>
      </w:r>
      <w:r w:rsidR="00331748">
        <w:rPr>
          <w:i/>
        </w:rPr>
        <w:t>SD</w:t>
      </w:r>
      <w:r w:rsidR="00331748">
        <w:t xml:space="preserve"> = 1.051) engagement. These statistics also show high perceptions of competence (</w:t>
      </w:r>
      <w:r w:rsidR="00331748">
        <w:rPr>
          <w:i/>
        </w:rPr>
        <w:t>M</w:t>
      </w:r>
      <w:r w:rsidR="00331748">
        <w:t xml:space="preserve"> = 3.000 (</w:t>
      </w:r>
      <w:r w:rsidR="00331748">
        <w:rPr>
          <w:i/>
        </w:rPr>
        <w:t>SD</w:t>
      </w:r>
      <w:r w:rsidR="00331748">
        <w:t xml:space="preserve"> = 0.952)) and moderate perceptions of challenge (</w:t>
      </w:r>
      <w:r w:rsidR="00331748">
        <w:rPr>
          <w:i/>
        </w:rPr>
        <w:t>M</w:t>
      </w:r>
      <w:r w:rsidR="00331748">
        <w:t xml:space="preserve"> = 2.270 (</w:t>
      </w:r>
      <w:r w:rsidR="00331748">
        <w:rPr>
          <w:i/>
        </w:rPr>
        <w:t>SD</w:t>
      </w:r>
      <w:r w:rsidR="00331748">
        <w:t xml:space="preserve"> = 1.117)). </w:t>
      </w:r>
    </w:p>
    <w:p w14:paraId="0C82BA66" w14:textId="77777777" w:rsidR="00331748" w:rsidRDefault="00331748" w:rsidP="00331748">
      <w:pPr>
        <w:pStyle w:val="Heading2"/>
      </w:pPr>
      <w:r>
        <w:t>Correlations among the study variables</w:t>
      </w:r>
    </w:p>
    <w:p w14:paraId="3573828E" w14:textId="79718EEF" w:rsidR="00331748" w:rsidRDefault="0026634E" w:rsidP="00F573F3">
      <w:pPr>
        <w:pStyle w:val="FirstParagraph"/>
      </w:pPr>
      <w:r>
        <w:t>In order to understand whether the relations between the variables were (generally) as expected, c</w:t>
      </w:r>
      <w:r w:rsidR="00331748">
        <w:t xml:space="preserve">orrelations between the variables that were used to create the profiles of engagement </w:t>
      </w:r>
      <w:r w:rsidR="00AA2A24">
        <w:t>(cognitive, behavioral, and affective engagement [</w:t>
      </w:r>
      <w:r w:rsidR="00AA2A24">
        <w:rPr>
          <w:i/>
        </w:rPr>
        <w:t xml:space="preserve">Cog., Beh., </w:t>
      </w:r>
      <w:r w:rsidR="00AA2A24">
        <w:t xml:space="preserve">and </w:t>
      </w:r>
      <w:r w:rsidR="00AA2A24">
        <w:rPr>
          <w:i/>
        </w:rPr>
        <w:t>Aff. Eng.</w:t>
      </w:r>
      <w:r w:rsidR="00AA2A24">
        <w:t>] and challenge and competence [</w:t>
      </w:r>
      <w:r w:rsidR="00AA2A24">
        <w:rPr>
          <w:i/>
        </w:rPr>
        <w:t xml:space="preserve">Chall. </w:t>
      </w:r>
      <w:r w:rsidR="00AA2A24">
        <w:t xml:space="preserve">And </w:t>
      </w:r>
      <w:r w:rsidR="00AA2A24">
        <w:rPr>
          <w:i/>
        </w:rPr>
        <w:t>Comp.</w:t>
      </w:r>
      <w:r w:rsidR="00AA2A24">
        <w:t xml:space="preserve">]), </w:t>
      </w:r>
      <w:r w:rsidR="00331748">
        <w:t>pre-program interest in STEM (</w:t>
      </w:r>
      <w:r w:rsidR="009F1823" w:rsidRPr="009F1823">
        <w:rPr>
          <w:i/>
        </w:rPr>
        <w:t>Pre-interest</w:t>
      </w:r>
      <w:r w:rsidR="00AA2A24">
        <w:t xml:space="preserve">), and the variables for the five aspects of work with data (abbreviated in Figure 1) </w:t>
      </w:r>
      <w:r w:rsidR="00331748">
        <w:t>were</w:t>
      </w:r>
      <w:r w:rsidR="00AA2A24">
        <w:t xml:space="preserve"> calculated, as presented in Table 4</w:t>
      </w:r>
      <w:r w:rsidR="00331748">
        <w:t>.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Cog. eng.</w:t>
            </w:r>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r>
              <w:t>Beh. eng.</w:t>
            </w:r>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r>
              <w:t>Aff. eng.</w:t>
            </w:r>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r>
              <w:t>Chall.</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lastRenderedPageBreak/>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t>Cog. eng.</w:t>
            </w:r>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r>
              <w:t>Beh. eng.</w:t>
            </w:r>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r>
              <w:t>Aff. eng.</w:t>
            </w:r>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r>
              <w:t>Chall.</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0B6C3D2D" w:rsidR="00331748" w:rsidRDefault="00331748" w:rsidP="00331748">
      <w:pPr>
        <w:pStyle w:val="Heading2"/>
      </w:pPr>
      <w:r>
        <w:lastRenderedPageBreak/>
        <w:t>Results for Research Question #1</w:t>
      </w:r>
      <w:r w:rsidR="00C221CE">
        <w:t>: How frequent is work with data in summer STEM programs?</w:t>
      </w:r>
    </w:p>
    <w:p w14:paraId="11054DCF" w14:textId="5CA57BFE" w:rsidR="00E55A9B" w:rsidRDefault="000E2766" w:rsidP="00E55A9B">
      <w:pPr>
        <w:pStyle w:val="Heading3"/>
        <w:framePr w:wrap="auto" w:vAnchor="margin" w:yAlign="inline"/>
        <w:spacing w:line="480" w:lineRule="auto"/>
        <w:rPr>
          <w:b w:val="0"/>
        </w:rPr>
      </w:pPr>
      <w:r w:rsidRPr="000E2766">
        <w:rPr>
          <w:b w:val="0"/>
        </w:rP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r>
        <w:rPr>
          <w:b w:val="0"/>
        </w:rPr>
        <w:t xml:space="preserve">. </w:t>
      </w:r>
      <w:r w:rsidR="00331748" w:rsidRPr="00791196">
        <w:rPr>
          <w:b w:val="0"/>
        </w:rPr>
        <w:t xml:space="preserve">Of the 236 instructional episodes used in the analysis, 170 (72%) </w:t>
      </w:r>
      <w:r w:rsidR="00CE6D3F">
        <w:rPr>
          <w:b w:val="0"/>
        </w:rPr>
        <w:t>involved</w:t>
      </w:r>
      <w:r w:rsidR="00331748" w:rsidRPr="00791196">
        <w:rPr>
          <w:b w:val="0"/>
        </w:rPr>
        <w:t xml:space="preserve"> one or more of the five aspects of work with data. As presented in </w:t>
      </w:r>
      <w:r w:rsidR="00BF2B9D">
        <w:rPr>
          <w:b w:val="0"/>
        </w:rPr>
        <w:t>Figure 2</w:t>
      </w:r>
      <w:r w:rsidR="00331748"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338" cy="399232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2ADCA03A" w14:textId="7F493EEC" w:rsidR="006265B0" w:rsidRDefault="00AE16CF" w:rsidP="006265B0">
      <w:pPr>
        <w:pStyle w:val="BodyText"/>
      </w:pPr>
      <w:r>
        <w:t xml:space="preserve">On the basis of multiple fit indices and </w:t>
      </w:r>
      <w:r w:rsidR="00EE7710">
        <w:t>criteria, a</w:t>
      </w:r>
      <w:r w:rsidR="00DC02DF">
        <w:t xml:space="preserve"> </w:t>
      </w:r>
      <w:r w:rsidR="00331748">
        <w:t>model</w:t>
      </w:r>
      <w:r w:rsidR="00DC02DF">
        <w:t xml:space="preserve"> with equal variances and covariances fixed to zero</w:t>
      </w:r>
      <w:r w:rsidR="00331748">
        <w:t xml:space="preserve"> was found to be most reasonable. </w:t>
      </w:r>
      <w:r w:rsidR="00DC02DF">
        <w:t>This is a common model type (and is the default for the MPlus software)</w:t>
      </w:r>
      <w:r w:rsidR="004413EB">
        <w:t xml:space="preserve"> that allows for mean differences between the </w:t>
      </w:r>
      <w:r w:rsidR="00231B75">
        <w:t>profile</w:t>
      </w:r>
      <w:r w:rsidR="004413EB">
        <w:t>s</w:t>
      </w:r>
      <w:r w:rsidR="00231B75">
        <w:t xml:space="preserve"> as well as the variables’ variances across all of the profiles</w:t>
      </w:r>
      <w:r w:rsidR="004413EB">
        <w:t xml:space="preserve"> to be</w:t>
      </w:r>
      <w:r w:rsidR="00231B75">
        <w:t xml:space="preserve"> estimated</w:t>
      </w:r>
      <w:r w:rsidR="00DC02DF">
        <w:t xml:space="preserve">. </w:t>
      </w:r>
      <w:r w:rsidR="006265B0">
        <w:t>Descriptions of each the profiles taking account of their size (in terms of the number of responses for which the profile was most likely), their variable values, and what the profiles suggest about youth engagement are presented in Table 6.</w:t>
      </w:r>
    </w:p>
    <w:p w14:paraId="6CFB9F85" w14:textId="77777777" w:rsidR="006265B0" w:rsidRDefault="006265B0" w:rsidP="006265B0">
      <w:pPr>
        <w:pStyle w:val="BodyText"/>
        <w:ind w:firstLine="0"/>
      </w:pPr>
    </w:p>
    <w:p w14:paraId="0C2391FA" w14:textId="77777777" w:rsidR="006265B0" w:rsidRDefault="006265B0" w:rsidP="006265B0">
      <w:pPr>
        <w:pStyle w:val="BodyText"/>
        <w:ind w:firstLine="0"/>
      </w:pPr>
      <w:commentRangeStart w:id="13"/>
      <w:r>
        <w:t>Table 6. Descriptions of the six profiles</w:t>
      </w:r>
      <w:commentRangeEnd w:id="13"/>
      <w:r>
        <w:rPr>
          <w:rStyle w:val="CommentReference"/>
          <w:rFonts w:asciiTheme="minorHAnsi" w:hAnsiTheme="minorHAnsi"/>
        </w:rPr>
        <w:commentReference w:id="1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14:paraId="711B3156" w14:textId="77777777" w:rsidTr="0077358F">
        <w:tc>
          <w:tcPr>
            <w:tcW w:w="3131" w:type="dxa"/>
            <w:tcBorders>
              <w:bottom w:val="single" w:sz="4" w:space="0" w:color="auto"/>
            </w:tcBorders>
          </w:tcPr>
          <w:p w14:paraId="4BA3E395" w14:textId="77777777" w:rsidR="006265B0" w:rsidRDefault="006265B0" w:rsidP="0077358F">
            <w:pPr>
              <w:pStyle w:val="BodyText"/>
              <w:spacing w:line="240" w:lineRule="auto"/>
              <w:ind w:firstLine="0"/>
            </w:pPr>
            <w:r>
              <w:t>Profile</w:t>
            </w:r>
          </w:p>
        </w:tc>
        <w:tc>
          <w:tcPr>
            <w:tcW w:w="1279" w:type="dxa"/>
            <w:tcBorders>
              <w:bottom w:val="single" w:sz="4" w:space="0" w:color="auto"/>
            </w:tcBorders>
          </w:tcPr>
          <w:p w14:paraId="695EBB12" w14:textId="77777777" w:rsidR="006265B0" w:rsidRDefault="006265B0" w:rsidP="0077358F">
            <w:pPr>
              <w:pStyle w:val="BodyText"/>
              <w:spacing w:line="240" w:lineRule="auto"/>
              <w:ind w:firstLine="0"/>
            </w:pPr>
            <w:r>
              <w:t>Percentage of All Responses</w:t>
            </w:r>
          </w:p>
        </w:tc>
        <w:tc>
          <w:tcPr>
            <w:tcW w:w="4984" w:type="dxa"/>
            <w:tcBorders>
              <w:bottom w:val="single" w:sz="4" w:space="0" w:color="auto"/>
            </w:tcBorders>
          </w:tcPr>
          <w:p w14:paraId="723B899D" w14:textId="77777777" w:rsidR="006265B0" w:rsidRDefault="006265B0" w:rsidP="0077358F">
            <w:pPr>
              <w:pStyle w:val="BodyText"/>
              <w:spacing w:line="240" w:lineRule="auto"/>
              <w:ind w:firstLine="0"/>
            </w:pPr>
            <w:r>
              <w:t>Description</w:t>
            </w:r>
          </w:p>
        </w:tc>
      </w:tr>
      <w:tr w:rsidR="006265B0" w14:paraId="74227BEB" w14:textId="77777777" w:rsidTr="0077358F">
        <w:tc>
          <w:tcPr>
            <w:tcW w:w="3131" w:type="dxa"/>
            <w:tcBorders>
              <w:top w:val="single" w:sz="4" w:space="0" w:color="auto"/>
            </w:tcBorders>
          </w:tcPr>
          <w:p w14:paraId="3B40A043" w14:textId="77777777" w:rsidR="006265B0" w:rsidRDefault="006265B0" w:rsidP="0077358F">
            <w:pPr>
              <w:pStyle w:val="BodyText"/>
              <w:ind w:firstLine="0"/>
            </w:pPr>
            <w:r>
              <w:t>Universally Low</w:t>
            </w:r>
          </w:p>
        </w:tc>
        <w:tc>
          <w:tcPr>
            <w:tcW w:w="1279" w:type="dxa"/>
            <w:tcBorders>
              <w:top w:val="single" w:sz="4" w:space="0" w:color="auto"/>
            </w:tcBorders>
          </w:tcPr>
          <w:p w14:paraId="3950F319" w14:textId="77777777" w:rsidR="006265B0" w:rsidRDefault="006265B0" w:rsidP="0077358F">
            <w:pPr>
              <w:pStyle w:val="BodyText"/>
              <w:ind w:firstLine="0"/>
            </w:pPr>
            <w:r>
              <w:t>22.55</w:t>
            </w:r>
          </w:p>
        </w:tc>
        <w:tc>
          <w:tcPr>
            <w:tcW w:w="4984" w:type="dxa"/>
            <w:tcBorders>
              <w:top w:val="single" w:sz="4" w:space="0" w:color="auto"/>
            </w:tcBorders>
          </w:tcPr>
          <w:p w14:paraId="718AC7DE" w14:textId="77777777" w:rsidR="006265B0" w:rsidRDefault="006265B0" w:rsidP="0077358F">
            <w:pPr>
              <w:pStyle w:val="BodyText"/>
              <w:spacing w:line="240" w:lineRule="auto"/>
              <w:ind w:firstLine="0"/>
            </w:pPr>
            <w:r>
              <w:t>Low  levels of working hard, learning something new, and enjoying the activity, and perceptions challenge and competence.</w:t>
            </w:r>
          </w:p>
        </w:tc>
      </w:tr>
      <w:tr w:rsidR="006265B0" w14:paraId="3F1F679E" w14:textId="77777777" w:rsidTr="0077358F">
        <w:tc>
          <w:tcPr>
            <w:tcW w:w="3131" w:type="dxa"/>
          </w:tcPr>
          <w:p w14:paraId="69F8D257" w14:textId="77777777" w:rsidR="006265B0" w:rsidRDefault="006265B0" w:rsidP="0077358F">
            <w:pPr>
              <w:pStyle w:val="BodyText"/>
              <w:ind w:firstLine="0"/>
            </w:pPr>
            <w:r>
              <w:lastRenderedPageBreak/>
              <w:t>Only Behaviorally Engaged</w:t>
            </w:r>
          </w:p>
        </w:tc>
        <w:tc>
          <w:tcPr>
            <w:tcW w:w="1279" w:type="dxa"/>
          </w:tcPr>
          <w:p w14:paraId="09AA4A12" w14:textId="77777777" w:rsidR="006265B0" w:rsidRDefault="006265B0" w:rsidP="0077358F">
            <w:pPr>
              <w:pStyle w:val="BodyText"/>
              <w:ind w:firstLine="0"/>
            </w:pPr>
            <w:r>
              <w:t>12.51</w:t>
            </w:r>
          </w:p>
        </w:tc>
        <w:tc>
          <w:tcPr>
            <w:tcW w:w="4984" w:type="dxa"/>
          </w:tcPr>
          <w:p w14:paraId="64E84EAE" w14:textId="77777777" w:rsidR="006265B0" w:rsidRDefault="006265B0" w:rsidP="0077358F">
            <w:pPr>
              <w:pStyle w:val="BodyText"/>
              <w:spacing w:line="240" w:lineRule="auto"/>
              <w:ind w:firstLine="0"/>
            </w:pPr>
            <w:r>
              <w:t>Moderate levels of enjoyment, low levels of hard work, and moderate levels of learning something new, challenge, and competence.</w:t>
            </w:r>
          </w:p>
        </w:tc>
      </w:tr>
      <w:tr w:rsidR="006265B0" w14:paraId="7F8ED361" w14:textId="77777777" w:rsidTr="0077358F">
        <w:tc>
          <w:tcPr>
            <w:tcW w:w="3131" w:type="dxa"/>
          </w:tcPr>
          <w:p w14:paraId="32D6DC49" w14:textId="77777777" w:rsidR="006265B0" w:rsidRDefault="006265B0" w:rsidP="0077358F">
            <w:pPr>
              <w:pStyle w:val="BodyText"/>
              <w:ind w:firstLine="0"/>
            </w:pPr>
            <w:r>
              <w:t>Only Affectively Engaged</w:t>
            </w:r>
          </w:p>
        </w:tc>
        <w:tc>
          <w:tcPr>
            <w:tcW w:w="1279" w:type="dxa"/>
          </w:tcPr>
          <w:p w14:paraId="77CDA5B9" w14:textId="77777777" w:rsidR="006265B0" w:rsidRDefault="006265B0" w:rsidP="0077358F">
            <w:pPr>
              <w:pStyle w:val="BodyText"/>
              <w:ind w:firstLine="0"/>
            </w:pPr>
            <w:r>
              <w:t>11.66</w:t>
            </w:r>
          </w:p>
        </w:tc>
        <w:tc>
          <w:tcPr>
            <w:tcW w:w="4984" w:type="dxa"/>
          </w:tcPr>
          <w:p w14:paraId="275B95CE" w14:textId="77777777" w:rsidR="006265B0" w:rsidRDefault="006265B0" w:rsidP="0077358F">
            <w:pPr>
              <w:pStyle w:val="BodyText"/>
              <w:spacing w:line="240" w:lineRule="auto"/>
              <w:ind w:firstLine="0"/>
            </w:pPr>
            <w:r>
              <w:t>Moderate levels of enjoyment, low levels of hard work, and moderate levels of learning something new, challenge, and competence.</w:t>
            </w:r>
          </w:p>
        </w:tc>
      </w:tr>
      <w:tr w:rsidR="006265B0" w14:paraId="316EC8B9" w14:textId="77777777" w:rsidTr="0077358F">
        <w:tc>
          <w:tcPr>
            <w:tcW w:w="3131" w:type="dxa"/>
          </w:tcPr>
          <w:p w14:paraId="25501E63" w14:textId="77777777" w:rsidR="006265B0" w:rsidRDefault="006265B0" w:rsidP="0077358F">
            <w:pPr>
              <w:pStyle w:val="BodyText"/>
              <w:ind w:firstLine="0"/>
            </w:pPr>
            <w:r>
              <w:t>All Moderate</w:t>
            </w:r>
          </w:p>
        </w:tc>
        <w:tc>
          <w:tcPr>
            <w:tcW w:w="1279" w:type="dxa"/>
          </w:tcPr>
          <w:p w14:paraId="0DAA700B" w14:textId="77777777" w:rsidR="006265B0" w:rsidRDefault="006265B0" w:rsidP="0077358F">
            <w:pPr>
              <w:pStyle w:val="BodyText"/>
              <w:ind w:firstLine="0"/>
            </w:pPr>
            <w:r>
              <w:t>21.57</w:t>
            </w:r>
          </w:p>
        </w:tc>
        <w:tc>
          <w:tcPr>
            <w:tcW w:w="4984" w:type="dxa"/>
          </w:tcPr>
          <w:p w14:paraId="5E9912B0" w14:textId="77777777" w:rsidR="006265B0" w:rsidRDefault="006265B0" w:rsidP="0077358F">
            <w:pPr>
              <w:pStyle w:val="BodyText"/>
              <w:spacing w:line="240" w:lineRule="auto"/>
              <w:ind w:firstLine="0"/>
            </w:pPr>
            <w:r>
              <w:t>This profile was characterized by moderate levels of the three indicators of working hard, learning something new, enjoying the activity, challenge, and competence.</w:t>
            </w:r>
          </w:p>
        </w:tc>
      </w:tr>
      <w:tr w:rsidR="006265B0" w14:paraId="465ED285" w14:textId="77777777" w:rsidTr="0077358F">
        <w:tc>
          <w:tcPr>
            <w:tcW w:w="3131" w:type="dxa"/>
          </w:tcPr>
          <w:p w14:paraId="0217326F" w14:textId="77777777" w:rsidR="006265B0" w:rsidRDefault="006265B0" w:rsidP="0077358F">
            <w:pPr>
              <w:pStyle w:val="BodyText"/>
              <w:ind w:firstLine="0"/>
            </w:pPr>
            <w:r>
              <w:t>Engaged and Competent But Not Challenged</w:t>
            </w:r>
          </w:p>
        </w:tc>
        <w:tc>
          <w:tcPr>
            <w:tcW w:w="1279" w:type="dxa"/>
          </w:tcPr>
          <w:p w14:paraId="4EF67BE7" w14:textId="77777777" w:rsidR="006265B0" w:rsidRDefault="006265B0" w:rsidP="0077358F">
            <w:pPr>
              <w:pStyle w:val="BodyText"/>
              <w:ind w:firstLine="0"/>
            </w:pPr>
            <w:r>
              <w:t>15.21</w:t>
            </w:r>
          </w:p>
        </w:tc>
        <w:tc>
          <w:tcPr>
            <w:tcW w:w="4984" w:type="dxa"/>
          </w:tcPr>
          <w:p w14:paraId="60FC33DF" w14:textId="77777777" w:rsidR="006265B0" w:rsidRDefault="006265B0" w:rsidP="0077358F">
            <w:pPr>
              <w:pStyle w:val="BodyText"/>
              <w:spacing w:line="240" w:lineRule="auto"/>
              <w:ind w:firstLine="0"/>
            </w:pPr>
            <w:r>
              <w:t>This profile was characterized by high levels of working hard, learning something new, enjoying the activity, and competence, but low levels of challenge.</w:t>
            </w:r>
          </w:p>
        </w:tc>
      </w:tr>
      <w:tr w:rsidR="006265B0" w14:paraId="5DE85183" w14:textId="77777777" w:rsidTr="0077358F">
        <w:tc>
          <w:tcPr>
            <w:tcW w:w="3131" w:type="dxa"/>
          </w:tcPr>
          <w:p w14:paraId="3EBF105C" w14:textId="77777777" w:rsidR="006265B0" w:rsidRDefault="006265B0" w:rsidP="0077358F">
            <w:pPr>
              <w:pStyle w:val="BodyText"/>
              <w:ind w:firstLine="0"/>
            </w:pPr>
            <w:r>
              <w:t>Full</w:t>
            </w:r>
          </w:p>
        </w:tc>
        <w:tc>
          <w:tcPr>
            <w:tcW w:w="1279" w:type="dxa"/>
          </w:tcPr>
          <w:p w14:paraId="42E35D4F" w14:textId="77777777" w:rsidR="006265B0" w:rsidRDefault="006265B0" w:rsidP="0077358F">
            <w:pPr>
              <w:pStyle w:val="BodyText"/>
              <w:ind w:firstLine="0"/>
            </w:pPr>
            <w:r>
              <w:t>16.50</w:t>
            </w:r>
          </w:p>
        </w:tc>
        <w:tc>
          <w:tcPr>
            <w:tcW w:w="4984" w:type="dxa"/>
          </w:tcPr>
          <w:p w14:paraId="277F68E8" w14:textId="77777777" w:rsidR="006265B0" w:rsidRDefault="006265B0" w:rsidP="0077358F">
            <w:pPr>
              <w:pStyle w:val="BodyText"/>
              <w:spacing w:line="240" w:lineRule="auto"/>
              <w:ind w:firstLine="0"/>
            </w:pPr>
            <w:r>
              <w:t>This profile was characterized by high levels of working hard, learning something new, enjoying the activity, challenge, and competence.</w:t>
            </w:r>
          </w:p>
        </w:tc>
      </w:tr>
    </w:tbl>
    <w:p w14:paraId="5D7D8247" w14:textId="7A3F5697" w:rsidR="00331748" w:rsidRDefault="00DC02DF" w:rsidP="00DC02DF">
      <w:pPr>
        <w:pStyle w:val="BodyText"/>
      </w:pPr>
      <w:r>
        <w:t>The profiles for this solution are</w:t>
      </w:r>
      <w:r w:rsidR="00331748">
        <w:t xml:space="preserve"> presented in Figures </w:t>
      </w:r>
      <w:r w:rsidR="00F53B52">
        <w:t>3</w:t>
      </w:r>
      <w:r w:rsidR="00331748">
        <w:t xml:space="preserve"> and </w:t>
      </w:r>
      <w:r w:rsidR="00F53B52">
        <w:t>4</w:t>
      </w:r>
      <w:r w:rsidR="00331748">
        <w:t xml:space="preserve">. Figure </w:t>
      </w:r>
      <w:r w:rsidR="00F53B52">
        <w:t>3</w:t>
      </w:r>
      <w:r w:rsidR="00331748">
        <w:t xml:space="preserve"> shows the profiles with variables that were centered to have a </w:t>
      </w:r>
      <w:r w:rsidR="00331748">
        <w:rPr>
          <w:i/>
        </w:rPr>
        <w:t>mean</w:t>
      </w:r>
      <w:r w:rsidR="00331748">
        <w:t xml:space="preserve"> of 0 and a </w:t>
      </w:r>
      <w:r w:rsidR="00331748">
        <w:rPr>
          <w:i/>
        </w:rPr>
        <w:t>standard deviation</w:t>
      </w:r>
      <w:r w:rsidR="00331748">
        <w:t xml:space="preserve"> of 1. 3 shows the profiles with the raw data (not transformed). This solution represents the profiles of engagement identified to answer this research question and for use in subsequent analyses. The two plots are </w:t>
      </w:r>
      <w:r w:rsidR="00331748">
        <w:lastRenderedPageBreak/>
        <w:t>presented because they provide a different view into the composition of the profiles.</w:t>
      </w:r>
      <w:r w:rsidR="00331748">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61EF4F42" w14:textId="26B4905A" w:rsidR="00331748" w:rsidRDefault="00331748" w:rsidP="006265B0">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t>In order to provide evidence for whether the profiles are distinct from one another, we used a</w:t>
      </w:r>
      <w:r>
        <w:t xml:space="preserve"> MANOVA to 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r w:rsidR="006265B0">
        <w:t xml:space="preserve">. </w:t>
      </w:r>
    </w:p>
    <w:p w14:paraId="3F8B701D" w14:textId="4802771C" w:rsidR="00A726EB" w:rsidRDefault="00A726EB" w:rsidP="00A726EB">
      <w:pPr>
        <w:pStyle w:val="Compact"/>
        <w:rPr>
          <w:b/>
        </w:rPr>
      </w:pPr>
      <w:r>
        <w:rPr>
          <w:b/>
        </w:rPr>
        <w:t xml:space="preserve">Results for Research Questions #3 and #4: </w:t>
      </w:r>
      <w:r w:rsidRPr="00A726EB">
        <w:rPr>
          <w:b/>
        </w:rPr>
        <w:t>How does work with data relate to the profiles of engagement?</w:t>
      </w:r>
    </w:p>
    <w:p w14:paraId="21A03E8C" w14:textId="40A6972C" w:rsidR="00A726EB" w:rsidRPr="00A726EB" w:rsidRDefault="00A726EB" w:rsidP="00A726EB">
      <w:pPr>
        <w:pStyle w:val="Compact"/>
      </w:pPr>
      <w:r>
        <w:rPr>
          <w:b/>
        </w:rPr>
        <w:lastRenderedPageBreak/>
        <w:tab/>
      </w:r>
      <w:r>
        <w:t>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Note that these ICCs are from models without any predictors included, or null models, and are useful for understanding subsequent results from models that include predictor variables (for both work with data and youth characteristics).</w:t>
      </w:r>
    </w:p>
    <w:p w14:paraId="4990520F" w14:textId="06BB6888" w:rsidR="002E5BB8" w:rsidRDefault="002E5BB8" w:rsidP="002E5BB8">
      <w:pPr>
        <w:pStyle w:val="BodyText"/>
        <w:ind w:firstLine="0"/>
      </w:pPr>
      <w:r>
        <w:t xml:space="preserve">Figure 2. Sources of variability for the six engagement profiles at the instructional episode, youth, and program levels. </w:t>
      </w:r>
    </w:p>
    <w:p w14:paraId="7B34A89B" w14:textId="261DCA52" w:rsidR="002E5BB8" w:rsidRDefault="002E5BB8" w:rsidP="002E5BB8">
      <w:pPr>
        <w:pStyle w:val="BodyText"/>
        <w:ind w:firstLine="0"/>
      </w:pPr>
      <w:r w:rsidRPr="002E5BB8">
        <w:rPr>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5"/>
                    <a:stretch>
                      <a:fillRect/>
                    </a:stretch>
                  </pic:blipFill>
                  <pic:spPr>
                    <a:xfrm>
                      <a:off x="0" y="0"/>
                      <a:ext cx="5971540" cy="3678555"/>
                    </a:xfrm>
                    <a:prstGeom prst="rect">
                      <a:avLst/>
                    </a:prstGeom>
                  </pic:spPr>
                </pic:pic>
              </a:graphicData>
            </a:graphic>
          </wp:inline>
        </w:drawing>
      </w:r>
    </w:p>
    <w:p w14:paraId="1A9C6F89" w14:textId="367CC3A7" w:rsidR="006B0C5C" w:rsidRDefault="006B0C5C" w:rsidP="006B0C5C">
      <w:pPr>
        <w:pStyle w:val="FirstParagraph"/>
        <w:ind w:firstLine="720"/>
      </w:pPr>
      <w:r>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w:t>
      </w:r>
      <w:r>
        <w:lastRenderedPageBreak/>
        <w:t xml:space="preserve">for the </w:t>
      </w:r>
      <w:r>
        <w:rPr>
          <w:i/>
        </w:rPr>
        <w:t>Universally Low</w:t>
      </w:r>
      <w:r>
        <w:t xml:space="preserve"> profile. At the 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4946DCCA" w:rsidR="00EE7710" w:rsidRDefault="006B0C5C" w:rsidP="006B0C5C">
      <w:pPr>
        <w:pStyle w:val="BodyText"/>
      </w:pPr>
      <w:r>
        <w:t>To understand which aspects of work with data and youth characteristics were related to the profiles</w:t>
      </w:r>
      <w:r w:rsidR="00EE7710">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t>
      </w:r>
      <w:r>
        <w:lastRenderedPageBreak/>
        <w:t>when youth are engaged in this aspect of work with data, then they are ten percentage points more likely to report a response in that particular profile.</w:t>
      </w:r>
    </w:p>
    <w:p w14:paraId="34C07D08" w14:textId="27BFC77C" w:rsidR="00331748" w:rsidRDefault="00331748" w:rsidP="00EE7710">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(Halekoh &amp; Hojsgaard,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52"/>
        <w:gridCol w:w="1187"/>
        <w:gridCol w:w="1338"/>
        <w:gridCol w:w="1248"/>
        <w:gridCol w:w="1517"/>
        <w:gridCol w:w="1248"/>
        <w:gridCol w:w="1114"/>
      </w:tblGrid>
      <w:tr w:rsidR="00A4678E" w14:paraId="0A0C046D" w14:textId="77777777" w:rsidTr="00E353BE">
        <w:tc>
          <w:tcPr>
            <w:tcW w:w="0" w:type="auto"/>
            <w:tcBorders>
              <w:bottom w:val="single" w:sz="4" w:space="0" w:color="auto"/>
            </w:tcBorders>
            <w:vAlign w:val="center"/>
          </w:tcPr>
          <w:p w14:paraId="4BFBDA26" w14:textId="75B25B0C" w:rsidR="00A23CC5" w:rsidRPr="00EB628A" w:rsidRDefault="00A23CC5" w:rsidP="00A23CC5">
            <w:pPr>
              <w:pStyle w:val="Compact"/>
              <w:spacing w:line="240" w:lineRule="auto"/>
            </w:pPr>
          </w:p>
        </w:tc>
        <w:tc>
          <w:tcPr>
            <w:tcW w:w="593" w:type="pct"/>
            <w:tcBorders>
              <w:bottom w:val="single" w:sz="4" w:space="0" w:color="auto"/>
            </w:tcBorders>
          </w:tcPr>
          <w:p w14:paraId="17ECC8BC" w14:textId="31E2E529" w:rsidR="00A23CC5" w:rsidRPr="00C914CB" w:rsidRDefault="00A23CC5" w:rsidP="00E14404">
            <w:pPr>
              <w:pStyle w:val="Compact"/>
              <w:spacing w:line="240" w:lineRule="auto"/>
              <w:jc w:val="center"/>
              <w:rPr>
                <w:sz w:val="20"/>
                <w:szCs w:val="20"/>
              </w:rPr>
            </w:pPr>
            <w:r w:rsidRPr="00C914CB">
              <w:rPr>
                <w:rFonts w:ascii="Helvetica Neue" w:hAnsi="Helvetica Neue"/>
                <w:bCs/>
                <w:color w:val="000000"/>
                <w:sz w:val="20"/>
                <w:szCs w:val="20"/>
              </w:rPr>
              <w:t>Universally low B (SE)</w:t>
            </w:r>
          </w:p>
        </w:tc>
        <w:tc>
          <w:tcPr>
            <w:tcW w:w="718" w:type="pct"/>
            <w:tcBorders>
              <w:bottom w:val="single" w:sz="4" w:space="0" w:color="auto"/>
            </w:tcBorders>
          </w:tcPr>
          <w:p w14:paraId="71DDA178" w14:textId="7879C1B8" w:rsidR="00A23CC5" w:rsidRPr="00C914CB" w:rsidRDefault="00A23CC5" w:rsidP="00E14404">
            <w:pPr>
              <w:pStyle w:val="Compact"/>
              <w:spacing w:line="240" w:lineRule="auto"/>
              <w:jc w:val="center"/>
              <w:rPr>
                <w:sz w:val="20"/>
                <w:szCs w:val="20"/>
              </w:rPr>
            </w:pPr>
            <w:r w:rsidRPr="00C914CB">
              <w:rPr>
                <w:rFonts w:ascii="Helvetica Neue" w:hAnsi="Helvetica Neue"/>
                <w:bCs/>
                <w:color w:val="000000"/>
                <w:sz w:val="20"/>
                <w:szCs w:val="20"/>
              </w:rPr>
              <w:t>Only behavioral B (SE)</w:t>
            </w:r>
          </w:p>
        </w:tc>
        <w:tc>
          <w:tcPr>
            <w:tcW w:w="670" w:type="pct"/>
            <w:tcBorders>
              <w:bottom w:val="single" w:sz="4" w:space="0" w:color="auto"/>
            </w:tcBorders>
          </w:tcPr>
          <w:p w14:paraId="5E887C3E" w14:textId="798B247A" w:rsidR="00A23CC5" w:rsidRPr="00C914CB" w:rsidRDefault="00A23CC5" w:rsidP="00E14404">
            <w:pPr>
              <w:pStyle w:val="Compact"/>
              <w:spacing w:line="240" w:lineRule="auto"/>
              <w:jc w:val="center"/>
              <w:rPr>
                <w:sz w:val="20"/>
                <w:szCs w:val="20"/>
              </w:rPr>
            </w:pPr>
            <w:r w:rsidRPr="00C914CB">
              <w:rPr>
                <w:rFonts w:ascii="Helvetica Neue" w:hAnsi="Helvetica Neue"/>
                <w:bCs/>
                <w:color w:val="000000"/>
                <w:sz w:val="20"/>
                <w:szCs w:val="20"/>
              </w:rPr>
              <w:t>Only affective B (SE)</w:t>
            </w:r>
          </w:p>
        </w:tc>
        <w:tc>
          <w:tcPr>
            <w:tcW w:w="813" w:type="pct"/>
            <w:tcBorders>
              <w:bottom w:val="single" w:sz="4" w:space="0" w:color="auto"/>
            </w:tcBorders>
          </w:tcPr>
          <w:p w14:paraId="351335E8" w14:textId="1FB63EC5" w:rsidR="00A23CC5" w:rsidRPr="00C914CB" w:rsidRDefault="00A23CC5" w:rsidP="00E14404">
            <w:pPr>
              <w:pStyle w:val="Compact"/>
              <w:spacing w:line="240" w:lineRule="auto"/>
              <w:jc w:val="center"/>
              <w:rPr>
                <w:sz w:val="20"/>
                <w:szCs w:val="20"/>
              </w:rPr>
            </w:pPr>
            <w:r w:rsidRPr="00C914CB">
              <w:rPr>
                <w:rFonts w:ascii="Helvetica Neue" w:hAnsi="Helvetica Neue"/>
                <w:bCs/>
                <w:color w:val="000000"/>
                <w:sz w:val="20"/>
                <w:szCs w:val="20"/>
              </w:rPr>
              <w:t>Eng. and comp., not chall. B (SE)</w:t>
            </w:r>
          </w:p>
        </w:tc>
        <w:tc>
          <w:tcPr>
            <w:tcW w:w="670" w:type="pct"/>
            <w:tcBorders>
              <w:bottom w:val="single" w:sz="4" w:space="0" w:color="auto"/>
            </w:tcBorders>
          </w:tcPr>
          <w:p w14:paraId="3D07E7E3" w14:textId="768EC2ED" w:rsidR="00A23CC5" w:rsidRPr="00C914CB" w:rsidRDefault="00A23CC5" w:rsidP="00E14404">
            <w:pPr>
              <w:pStyle w:val="Compact"/>
              <w:spacing w:line="240" w:lineRule="auto"/>
              <w:jc w:val="center"/>
              <w:rPr>
                <w:sz w:val="20"/>
                <w:szCs w:val="20"/>
              </w:rPr>
            </w:pPr>
            <w:r w:rsidRPr="00C914CB">
              <w:rPr>
                <w:rFonts w:ascii="Helvetica Neue" w:hAnsi="Helvetica Neue"/>
                <w:bCs/>
                <w:color w:val="000000"/>
                <w:sz w:val="20"/>
                <w:szCs w:val="20"/>
              </w:rPr>
              <w:t>All moderate B (SE)</w:t>
            </w:r>
          </w:p>
        </w:tc>
        <w:tc>
          <w:tcPr>
            <w:tcW w:w="598" w:type="pct"/>
            <w:tcBorders>
              <w:bottom w:val="single" w:sz="4" w:space="0" w:color="auto"/>
            </w:tcBorders>
          </w:tcPr>
          <w:p w14:paraId="7357CACD" w14:textId="66D79635" w:rsidR="00A23CC5" w:rsidRPr="00C914CB" w:rsidRDefault="00A23CC5" w:rsidP="00E14404">
            <w:pPr>
              <w:pStyle w:val="Compact"/>
              <w:spacing w:line="240" w:lineRule="auto"/>
              <w:jc w:val="center"/>
              <w:rPr>
                <w:sz w:val="20"/>
                <w:szCs w:val="20"/>
              </w:rPr>
            </w:pPr>
            <w:r w:rsidRPr="00C914CB">
              <w:rPr>
                <w:rFonts w:ascii="Helvetica Neue" w:hAnsi="Helvetica Neue"/>
                <w:bCs/>
                <w:color w:val="000000"/>
                <w:sz w:val="20"/>
                <w:szCs w:val="20"/>
              </w:rPr>
              <w:t>Full B (SE)</w:t>
            </w:r>
          </w:p>
        </w:tc>
      </w:tr>
      <w:tr w:rsidR="00A4678E" w14:paraId="6152F93A" w14:textId="77777777" w:rsidTr="00E353BE">
        <w:tc>
          <w:tcPr>
            <w:tcW w:w="0" w:type="auto"/>
            <w:tcBorders>
              <w:top w:val="single" w:sz="4" w:space="0" w:color="auto"/>
            </w:tcBorders>
          </w:tcPr>
          <w:p w14:paraId="0A127715" w14:textId="77777777" w:rsidR="00A23CC5" w:rsidRPr="004F2855" w:rsidRDefault="00A23CC5" w:rsidP="00A23CC5">
            <w:pPr>
              <w:pStyle w:val="Compact"/>
              <w:spacing w:line="240" w:lineRule="auto"/>
              <w:rPr>
                <w:sz w:val="22"/>
                <w:szCs w:val="22"/>
              </w:rPr>
            </w:pPr>
            <w:r w:rsidRPr="004F2855">
              <w:rPr>
                <w:sz w:val="22"/>
                <w:szCs w:val="22"/>
              </w:rPr>
              <w:t>Pre-interest</w:t>
            </w:r>
          </w:p>
        </w:tc>
        <w:tc>
          <w:tcPr>
            <w:tcW w:w="593" w:type="pct"/>
            <w:tcBorders>
              <w:top w:val="single" w:sz="4" w:space="0" w:color="auto"/>
            </w:tcBorders>
          </w:tcPr>
          <w:p w14:paraId="016F1DED" w14:textId="5B278ADD" w:rsidR="00A23CC5" w:rsidRDefault="00A23CC5" w:rsidP="00A23CC5">
            <w:pPr>
              <w:pStyle w:val="Compact"/>
              <w:spacing w:line="240" w:lineRule="auto"/>
            </w:pPr>
            <w:r>
              <w:rPr>
                <w:rFonts w:ascii="Helvetica Neue" w:hAnsi="Helvetica Neue"/>
                <w:color w:val="000000"/>
                <w:sz w:val="15"/>
                <w:szCs w:val="15"/>
              </w:rPr>
              <w:t>0.36 (0.09)*</w:t>
            </w:r>
          </w:p>
        </w:tc>
        <w:tc>
          <w:tcPr>
            <w:tcW w:w="718" w:type="pct"/>
            <w:tcBorders>
              <w:top w:val="single" w:sz="4" w:space="0" w:color="auto"/>
            </w:tcBorders>
          </w:tcPr>
          <w:p w14:paraId="1EDBB08B" w14:textId="07D5400A" w:rsidR="00A23CC5" w:rsidRDefault="00A23CC5" w:rsidP="00A23CC5">
            <w:pPr>
              <w:pStyle w:val="Compact"/>
              <w:spacing w:line="240" w:lineRule="auto"/>
            </w:pPr>
            <w:r>
              <w:rPr>
                <w:rFonts w:ascii="Helvetica Neue" w:hAnsi="Helvetica Neue"/>
                <w:color w:val="000000"/>
                <w:sz w:val="15"/>
                <w:szCs w:val="15"/>
              </w:rPr>
              <w:t>0.12 (0.05)*</w:t>
            </w:r>
          </w:p>
        </w:tc>
        <w:tc>
          <w:tcPr>
            <w:tcW w:w="670" w:type="pct"/>
            <w:tcBorders>
              <w:top w:val="single" w:sz="4" w:space="0" w:color="auto"/>
            </w:tcBorders>
          </w:tcPr>
          <w:p w14:paraId="6D1074C0" w14:textId="6346B626" w:rsidR="00A23CC5" w:rsidRDefault="00A23CC5" w:rsidP="00A23CC5">
            <w:pPr>
              <w:pStyle w:val="Compact"/>
              <w:spacing w:line="240" w:lineRule="auto"/>
            </w:pPr>
            <w:r>
              <w:rPr>
                <w:rFonts w:ascii="Helvetica Neue" w:hAnsi="Helvetica Neue"/>
                <w:color w:val="000000"/>
                <w:sz w:val="15"/>
                <w:szCs w:val="15"/>
              </w:rPr>
              <w:t>0.35 (0.08)*</w:t>
            </w:r>
          </w:p>
        </w:tc>
        <w:tc>
          <w:tcPr>
            <w:tcW w:w="813" w:type="pct"/>
            <w:tcBorders>
              <w:top w:val="single" w:sz="4" w:space="0" w:color="auto"/>
            </w:tcBorders>
          </w:tcPr>
          <w:p w14:paraId="2B5BCE31" w14:textId="27017B97" w:rsidR="00A23CC5" w:rsidRDefault="00A23CC5" w:rsidP="00A23CC5">
            <w:pPr>
              <w:pStyle w:val="Compact"/>
              <w:spacing w:line="240" w:lineRule="auto"/>
            </w:pPr>
            <w:r>
              <w:rPr>
                <w:rFonts w:ascii="Helvetica Neue" w:hAnsi="Helvetica Neue"/>
                <w:color w:val="000000"/>
                <w:sz w:val="15"/>
                <w:szCs w:val="15"/>
              </w:rPr>
              <w:t>0.01 (0.06)</w:t>
            </w:r>
          </w:p>
        </w:tc>
        <w:tc>
          <w:tcPr>
            <w:tcW w:w="670" w:type="pct"/>
            <w:tcBorders>
              <w:top w:val="single" w:sz="4" w:space="0" w:color="auto"/>
            </w:tcBorders>
          </w:tcPr>
          <w:p w14:paraId="7C020756" w14:textId="37CEE6F5" w:rsidR="00A23CC5" w:rsidRDefault="00A23CC5" w:rsidP="00A23CC5">
            <w:pPr>
              <w:pStyle w:val="Compact"/>
              <w:spacing w:line="240" w:lineRule="auto"/>
            </w:pPr>
            <w:r>
              <w:rPr>
                <w:rFonts w:ascii="Helvetica Neue" w:hAnsi="Helvetica Neue"/>
                <w:color w:val="000000"/>
                <w:sz w:val="15"/>
                <w:szCs w:val="15"/>
              </w:rPr>
              <w:t>0.09 (0.04)*</w:t>
            </w:r>
          </w:p>
        </w:tc>
        <w:tc>
          <w:tcPr>
            <w:tcW w:w="598" w:type="pct"/>
            <w:tcBorders>
              <w:top w:val="single" w:sz="4" w:space="0" w:color="auto"/>
            </w:tcBorders>
          </w:tcPr>
          <w:p w14:paraId="74E070C4" w14:textId="02CF1625" w:rsidR="00A23CC5" w:rsidRDefault="00A23CC5" w:rsidP="00A23CC5">
            <w:pPr>
              <w:pStyle w:val="Compact"/>
              <w:spacing w:line="240" w:lineRule="auto"/>
            </w:pPr>
            <w:r>
              <w:rPr>
                <w:rFonts w:ascii="Helvetica Neue" w:hAnsi="Helvetica Neue"/>
                <w:color w:val="000000"/>
                <w:sz w:val="15"/>
                <w:szCs w:val="15"/>
              </w:rPr>
              <w:t>0.09 (0.08)</w:t>
            </w:r>
          </w:p>
        </w:tc>
      </w:tr>
      <w:tr w:rsidR="00A4678E" w14:paraId="4B152D99" w14:textId="77777777" w:rsidTr="00E353BE">
        <w:tc>
          <w:tcPr>
            <w:tcW w:w="0" w:type="auto"/>
          </w:tcPr>
          <w:p w14:paraId="473000CF" w14:textId="77777777" w:rsidR="00A23CC5" w:rsidRPr="004F2855" w:rsidRDefault="00A23CC5" w:rsidP="00A23CC5">
            <w:pPr>
              <w:pStyle w:val="Compact"/>
              <w:spacing w:line="240" w:lineRule="auto"/>
              <w:rPr>
                <w:sz w:val="22"/>
                <w:szCs w:val="22"/>
              </w:rPr>
            </w:pPr>
            <w:r w:rsidRPr="004F2855">
              <w:rPr>
                <w:sz w:val="22"/>
                <w:szCs w:val="22"/>
              </w:rPr>
              <w:t>Gender-Female</w:t>
            </w:r>
          </w:p>
        </w:tc>
        <w:tc>
          <w:tcPr>
            <w:tcW w:w="593" w:type="pct"/>
          </w:tcPr>
          <w:p w14:paraId="179BDDC4" w14:textId="27C995D3" w:rsidR="00A23CC5" w:rsidRDefault="00A23CC5" w:rsidP="00A23CC5">
            <w:pPr>
              <w:pStyle w:val="Compact"/>
              <w:spacing w:line="240" w:lineRule="auto"/>
            </w:pPr>
            <w:r>
              <w:rPr>
                <w:rFonts w:ascii="Helvetica Neue" w:hAnsi="Helvetica Neue"/>
                <w:color w:val="000000"/>
                <w:sz w:val="15"/>
                <w:szCs w:val="15"/>
              </w:rPr>
              <w:t>-0.05 (0.02)</w:t>
            </w:r>
          </w:p>
        </w:tc>
        <w:tc>
          <w:tcPr>
            <w:tcW w:w="718" w:type="pct"/>
          </w:tcPr>
          <w:p w14:paraId="51977681" w14:textId="4AF49B45" w:rsidR="00A23CC5" w:rsidRDefault="00A23CC5" w:rsidP="00A23CC5">
            <w:pPr>
              <w:pStyle w:val="Compact"/>
              <w:spacing w:line="240" w:lineRule="auto"/>
            </w:pPr>
            <w:r>
              <w:rPr>
                <w:rFonts w:ascii="Helvetica Neue" w:hAnsi="Helvetica Neue"/>
                <w:color w:val="000000"/>
                <w:sz w:val="15"/>
                <w:szCs w:val="15"/>
              </w:rPr>
              <w:t>-0.01 (0.01)</w:t>
            </w:r>
          </w:p>
        </w:tc>
        <w:tc>
          <w:tcPr>
            <w:tcW w:w="670" w:type="pct"/>
          </w:tcPr>
          <w:p w14:paraId="3AAA0596" w14:textId="7A696B3E" w:rsidR="00A23CC5" w:rsidRDefault="00A23CC5" w:rsidP="00A23CC5">
            <w:pPr>
              <w:pStyle w:val="Compact"/>
              <w:spacing w:line="240" w:lineRule="auto"/>
            </w:pPr>
            <w:r>
              <w:rPr>
                <w:rFonts w:ascii="Helvetica Neue" w:hAnsi="Helvetica Neue"/>
                <w:color w:val="000000"/>
                <w:sz w:val="15"/>
                <w:szCs w:val="15"/>
              </w:rPr>
              <w:t>-0.013 (0.02)</w:t>
            </w:r>
          </w:p>
        </w:tc>
        <w:tc>
          <w:tcPr>
            <w:tcW w:w="813" w:type="pct"/>
          </w:tcPr>
          <w:p w14:paraId="27A5135A" w14:textId="04B730B4" w:rsidR="00A23CC5" w:rsidRDefault="00A23CC5" w:rsidP="00A23CC5">
            <w:pPr>
              <w:pStyle w:val="Compact"/>
              <w:spacing w:line="240" w:lineRule="auto"/>
            </w:pPr>
            <w:r>
              <w:rPr>
                <w:rFonts w:ascii="Helvetica Neue" w:hAnsi="Helvetica Neue"/>
                <w:color w:val="000000"/>
                <w:sz w:val="15"/>
                <w:szCs w:val="15"/>
              </w:rPr>
              <w:t>0.04 (0.02)*</w:t>
            </w:r>
          </w:p>
        </w:tc>
        <w:tc>
          <w:tcPr>
            <w:tcW w:w="670" w:type="pct"/>
          </w:tcPr>
          <w:p w14:paraId="02E41E98" w14:textId="1EDFDCC3" w:rsidR="00A23CC5" w:rsidRDefault="00A23CC5" w:rsidP="00A23CC5">
            <w:pPr>
              <w:pStyle w:val="Compact"/>
              <w:spacing w:line="240" w:lineRule="auto"/>
            </w:pPr>
            <w:r>
              <w:rPr>
                <w:rFonts w:ascii="Helvetica Neue" w:hAnsi="Helvetica Neue"/>
                <w:color w:val="000000"/>
                <w:sz w:val="15"/>
                <w:szCs w:val="15"/>
              </w:rPr>
              <w:t>0.01 (0.01)</w:t>
            </w:r>
          </w:p>
        </w:tc>
        <w:tc>
          <w:tcPr>
            <w:tcW w:w="598" w:type="pct"/>
          </w:tcPr>
          <w:p w14:paraId="047657DB" w14:textId="5BAACBA8" w:rsidR="00A23CC5" w:rsidRDefault="00A23CC5" w:rsidP="00A23CC5">
            <w:pPr>
              <w:pStyle w:val="Compact"/>
              <w:spacing w:line="240" w:lineRule="auto"/>
            </w:pPr>
            <w:r>
              <w:rPr>
                <w:rFonts w:ascii="Helvetica Neue" w:hAnsi="Helvetica Neue"/>
                <w:color w:val="000000"/>
                <w:sz w:val="15"/>
                <w:szCs w:val="15"/>
              </w:rPr>
              <w:t>0.02 (0.02)</w:t>
            </w:r>
          </w:p>
        </w:tc>
      </w:tr>
      <w:tr w:rsidR="00A4678E" w14:paraId="65FA70FD" w14:textId="77777777" w:rsidTr="00E353BE">
        <w:tc>
          <w:tcPr>
            <w:tcW w:w="0" w:type="auto"/>
          </w:tcPr>
          <w:p w14:paraId="06832A88" w14:textId="77777777" w:rsidR="00A23CC5" w:rsidRPr="004F2855" w:rsidRDefault="00A23CC5" w:rsidP="00A23CC5">
            <w:pPr>
              <w:pStyle w:val="Compact"/>
              <w:spacing w:line="240" w:lineRule="auto"/>
              <w:rPr>
                <w:sz w:val="22"/>
                <w:szCs w:val="22"/>
              </w:rPr>
            </w:pPr>
            <w:r w:rsidRPr="004F2855">
              <w:rPr>
                <w:sz w:val="22"/>
                <w:szCs w:val="22"/>
              </w:rPr>
              <w:t>URM status</w:t>
            </w:r>
          </w:p>
        </w:tc>
        <w:tc>
          <w:tcPr>
            <w:tcW w:w="593" w:type="pct"/>
          </w:tcPr>
          <w:p w14:paraId="7103536F" w14:textId="256FEFF1" w:rsidR="00A23CC5" w:rsidRDefault="00A23CC5" w:rsidP="00A23CC5">
            <w:pPr>
              <w:pStyle w:val="Compact"/>
              <w:spacing w:line="240" w:lineRule="auto"/>
            </w:pPr>
            <w:r>
              <w:rPr>
                <w:rFonts w:ascii="Helvetica Neue" w:hAnsi="Helvetica Neue"/>
                <w:color w:val="000000"/>
                <w:sz w:val="15"/>
                <w:szCs w:val="15"/>
              </w:rPr>
              <w:t>0.06 (0.04)+</w:t>
            </w:r>
          </w:p>
        </w:tc>
        <w:tc>
          <w:tcPr>
            <w:tcW w:w="718" w:type="pct"/>
          </w:tcPr>
          <w:p w14:paraId="27A4B3B9" w14:textId="15C35F98"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748F9759" w14:textId="72AC04EF" w:rsidR="00A23CC5" w:rsidRDefault="00A23CC5" w:rsidP="00A23CC5">
            <w:pPr>
              <w:pStyle w:val="Compact"/>
              <w:spacing w:line="240" w:lineRule="auto"/>
            </w:pPr>
            <w:r>
              <w:rPr>
                <w:rFonts w:ascii="Helvetica Neue" w:hAnsi="Helvetica Neue"/>
                <w:color w:val="000000"/>
                <w:sz w:val="15"/>
                <w:szCs w:val="15"/>
              </w:rPr>
              <w:t>-0.04 (0.03)</w:t>
            </w:r>
          </w:p>
        </w:tc>
        <w:tc>
          <w:tcPr>
            <w:tcW w:w="813" w:type="pct"/>
          </w:tcPr>
          <w:p w14:paraId="43AE14B0" w14:textId="3B74AD04" w:rsidR="00A23CC5" w:rsidRDefault="00A23CC5" w:rsidP="00A23CC5">
            <w:pPr>
              <w:pStyle w:val="Compact"/>
              <w:spacing w:line="240" w:lineRule="auto"/>
            </w:pPr>
            <w:r>
              <w:rPr>
                <w:rFonts w:ascii="Helvetica Neue" w:hAnsi="Helvetica Neue"/>
                <w:color w:val="000000"/>
                <w:sz w:val="15"/>
                <w:szCs w:val="15"/>
              </w:rPr>
              <w:t>0.03 (0.03)</w:t>
            </w:r>
          </w:p>
        </w:tc>
        <w:tc>
          <w:tcPr>
            <w:tcW w:w="670" w:type="pct"/>
          </w:tcPr>
          <w:p w14:paraId="085C7863" w14:textId="53420C57" w:rsidR="00A23CC5" w:rsidRDefault="00A23CC5" w:rsidP="00A23CC5">
            <w:pPr>
              <w:pStyle w:val="Compact"/>
              <w:spacing w:line="240" w:lineRule="auto"/>
            </w:pPr>
            <w:r>
              <w:rPr>
                <w:rFonts w:ascii="Helvetica Neue" w:hAnsi="Helvetica Neue"/>
                <w:color w:val="000000"/>
                <w:sz w:val="15"/>
                <w:szCs w:val="15"/>
              </w:rPr>
              <w:t>-0.02 (0.02)</w:t>
            </w:r>
          </w:p>
        </w:tc>
        <w:tc>
          <w:tcPr>
            <w:tcW w:w="598" w:type="pct"/>
          </w:tcPr>
          <w:p w14:paraId="5E831646" w14:textId="61E8DED5" w:rsidR="00A23CC5" w:rsidRDefault="00A23CC5" w:rsidP="00A23CC5">
            <w:pPr>
              <w:pStyle w:val="Compact"/>
              <w:spacing w:line="240" w:lineRule="auto"/>
            </w:pPr>
            <w:r>
              <w:rPr>
                <w:rFonts w:ascii="Helvetica Neue" w:hAnsi="Helvetica Neue"/>
                <w:color w:val="000000"/>
                <w:sz w:val="15"/>
                <w:szCs w:val="15"/>
              </w:rPr>
              <w:t>-0.04 (0.04)</w:t>
            </w:r>
          </w:p>
        </w:tc>
      </w:tr>
      <w:tr w:rsidR="00A4678E" w14:paraId="7EADBE03" w14:textId="77777777" w:rsidTr="00E353BE">
        <w:tc>
          <w:tcPr>
            <w:tcW w:w="0" w:type="auto"/>
          </w:tcPr>
          <w:p w14:paraId="53CD99E3" w14:textId="77777777" w:rsidR="00A23CC5" w:rsidRPr="004F2855" w:rsidRDefault="00A23CC5" w:rsidP="00A23CC5">
            <w:pPr>
              <w:pStyle w:val="Compact"/>
              <w:spacing w:line="240" w:lineRule="auto"/>
              <w:rPr>
                <w:sz w:val="22"/>
                <w:szCs w:val="22"/>
              </w:rPr>
            </w:pPr>
            <w:r w:rsidRPr="004F2855">
              <w:rPr>
                <w:sz w:val="22"/>
                <w:szCs w:val="22"/>
              </w:rPr>
              <w:t>Asking</w:t>
            </w:r>
          </w:p>
        </w:tc>
        <w:tc>
          <w:tcPr>
            <w:tcW w:w="593" w:type="pct"/>
          </w:tcPr>
          <w:p w14:paraId="11957C99" w14:textId="1104CA78" w:rsidR="00A23CC5" w:rsidRDefault="00A23CC5" w:rsidP="00A23CC5">
            <w:pPr>
              <w:pStyle w:val="Compact"/>
              <w:spacing w:line="240" w:lineRule="auto"/>
            </w:pPr>
            <w:r>
              <w:rPr>
                <w:rFonts w:ascii="Helvetica Neue" w:hAnsi="Helvetica Neue"/>
                <w:color w:val="000000"/>
                <w:sz w:val="15"/>
                <w:szCs w:val="15"/>
              </w:rPr>
              <w:t>-0.01 (0.05)</w:t>
            </w:r>
          </w:p>
        </w:tc>
        <w:tc>
          <w:tcPr>
            <w:tcW w:w="718" w:type="pct"/>
          </w:tcPr>
          <w:p w14:paraId="2ED9B8F9" w14:textId="22CB2668" w:rsidR="00A23CC5" w:rsidRDefault="00A23CC5" w:rsidP="00A23CC5">
            <w:pPr>
              <w:pStyle w:val="Compact"/>
              <w:spacing w:line="240" w:lineRule="auto"/>
            </w:pPr>
            <w:r>
              <w:rPr>
                <w:rFonts w:ascii="Helvetica Neue" w:hAnsi="Helvetica Neue"/>
                <w:color w:val="000000"/>
                <w:sz w:val="15"/>
                <w:szCs w:val="15"/>
              </w:rPr>
              <w:t>0.03 (0.03)</w:t>
            </w:r>
          </w:p>
        </w:tc>
        <w:tc>
          <w:tcPr>
            <w:tcW w:w="670" w:type="pct"/>
          </w:tcPr>
          <w:p w14:paraId="7199F58E" w14:textId="504033F0" w:rsidR="00A23CC5" w:rsidRDefault="00A23CC5" w:rsidP="00A23CC5">
            <w:pPr>
              <w:pStyle w:val="Compact"/>
              <w:spacing w:line="240" w:lineRule="auto"/>
            </w:pPr>
            <w:r>
              <w:rPr>
                <w:rFonts w:ascii="Helvetica Neue" w:hAnsi="Helvetica Neue"/>
                <w:color w:val="000000"/>
                <w:sz w:val="15"/>
                <w:szCs w:val="15"/>
              </w:rPr>
              <w:t>-0.08 (0.05)</w:t>
            </w:r>
          </w:p>
        </w:tc>
        <w:tc>
          <w:tcPr>
            <w:tcW w:w="813" w:type="pct"/>
          </w:tcPr>
          <w:p w14:paraId="3A6E4544" w14:textId="30ADCCE8" w:rsidR="00A23CC5" w:rsidRDefault="00A23CC5" w:rsidP="00A23CC5">
            <w:pPr>
              <w:pStyle w:val="Compact"/>
              <w:spacing w:line="240" w:lineRule="auto"/>
            </w:pPr>
            <w:r>
              <w:rPr>
                <w:rFonts w:ascii="Helvetica Neue" w:hAnsi="Helvetica Neue"/>
                <w:color w:val="000000"/>
                <w:sz w:val="15"/>
                <w:szCs w:val="15"/>
              </w:rPr>
              <w:t>-0.01 (0.04)</w:t>
            </w:r>
          </w:p>
        </w:tc>
        <w:tc>
          <w:tcPr>
            <w:tcW w:w="670" w:type="pct"/>
          </w:tcPr>
          <w:p w14:paraId="33642522" w14:textId="4498FA56" w:rsidR="00A23CC5" w:rsidRDefault="00A23CC5" w:rsidP="00A23CC5">
            <w:pPr>
              <w:pStyle w:val="Compact"/>
              <w:spacing w:line="240" w:lineRule="auto"/>
            </w:pPr>
            <w:r>
              <w:rPr>
                <w:rFonts w:ascii="Helvetica Neue" w:hAnsi="Helvetica Neue"/>
                <w:color w:val="000000"/>
                <w:sz w:val="15"/>
                <w:szCs w:val="15"/>
              </w:rPr>
              <w:t>0.02 (0.03)</w:t>
            </w:r>
          </w:p>
        </w:tc>
        <w:tc>
          <w:tcPr>
            <w:tcW w:w="598" w:type="pct"/>
          </w:tcPr>
          <w:p w14:paraId="23F1649E" w14:textId="184868C0" w:rsidR="00A23CC5" w:rsidRDefault="00A23CC5" w:rsidP="00A23CC5">
            <w:pPr>
              <w:pStyle w:val="Compact"/>
              <w:spacing w:line="240" w:lineRule="auto"/>
            </w:pPr>
            <w:r>
              <w:rPr>
                <w:rFonts w:ascii="Helvetica Neue" w:hAnsi="Helvetica Neue"/>
                <w:color w:val="000000"/>
                <w:sz w:val="15"/>
                <w:szCs w:val="15"/>
              </w:rPr>
              <w:t>0.04 (0.05)</w:t>
            </w:r>
          </w:p>
        </w:tc>
      </w:tr>
      <w:tr w:rsidR="00A4678E" w14:paraId="554DB75F" w14:textId="77777777" w:rsidTr="00E353BE">
        <w:tc>
          <w:tcPr>
            <w:tcW w:w="0" w:type="auto"/>
          </w:tcPr>
          <w:p w14:paraId="6A5F7744" w14:textId="77777777" w:rsidR="00A23CC5" w:rsidRPr="004F2855" w:rsidRDefault="00A23CC5" w:rsidP="00A23CC5">
            <w:pPr>
              <w:pStyle w:val="Compact"/>
              <w:spacing w:line="240" w:lineRule="auto"/>
              <w:rPr>
                <w:sz w:val="22"/>
                <w:szCs w:val="22"/>
              </w:rPr>
            </w:pPr>
            <w:r w:rsidRPr="004F2855">
              <w:rPr>
                <w:sz w:val="22"/>
                <w:szCs w:val="22"/>
              </w:rPr>
              <w:t>Observing</w:t>
            </w:r>
          </w:p>
        </w:tc>
        <w:tc>
          <w:tcPr>
            <w:tcW w:w="593" w:type="pct"/>
          </w:tcPr>
          <w:p w14:paraId="6B6F6768" w14:textId="42C33172" w:rsidR="00A23CC5" w:rsidRDefault="00A23CC5" w:rsidP="00A23CC5">
            <w:pPr>
              <w:pStyle w:val="Compact"/>
              <w:spacing w:line="240" w:lineRule="auto"/>
            </w:pPr>
            <w:r>
              <w:rPr>
                <w:rFonts w:ascii="Helvetica Neue" w:hAnsi="Helvetica Neue"/>
                <w:color w:val="000000"/>
                <w:sz w:val="15"/>
                <w:szCs w:val="15"/>
              </w:rPr>
              <w:t>-0.02 (0.02)</w:t>
            </w:r>
          </w:p>
        </w:tc>
        <w:tc>
          <w:tcPr>
            <w:tcW w:w="718" w:type="pct"/>
          </w:tcPr>
          <w:p w14:paraId="2BDEFCB7" w14:textId="792CFA52"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2491BCBE" w14:textId="11C78049" w:rsidR="00A23CC5" w:rsidRDefault="00A23CC5" w:rsidP="00A23CC5">
            <w:pPr>
              <w:pStyle w:val="Compact"/>
              <w:spacing w:line="240" w:lineRule="auto"/>
            </w:pPr>
            <w:r>
              <w:rPr>
                <w:rFonts w:ascii="Helvetica Neue" w:hAnsi="Helvetica Neue"/>
                <w:color w:val="000000"/>
                <w:sz w:val="15"/>
                <w:szCs w:val="15"/>
              </w:rPr>
              <w:t>0.02 (0.02)+</w:t>
            </w:r>
          </w:p>
        </w:tc>
        <w:tc>
          <w:tcPr>
            <w:tcW w:w="813" w:type="pct"/>
          </w:tcPr>
          <w:p w14:paraId="06028AB6" w14:textId="333BA987" w:rsidR="00A23CC5" w:rsidRDefault="00A23CC5" w:rsidP="00A23CC5">
            <w:pPr>
              <w:pStyle w:val="Compact"/>
              <w:spacing w:line="240" w:lineRule="auto"/>
            </w:pPr>
            <w:r>
              <w:rPr>
                <w:rFonts w:ascii="Helvetica Neue" w:hAnsi="Helvetica Neue"/>
                <w:color w:val="000000"/>
                <w:sz w:val="15"/>
                <w:szCs w:val="15"/>
              </w:rPr>
              <w:t>-0.01 (0.02)</w:t>
            </w:r>
          </w:p>
        </w:tc>
        <w:tc>
          <w:tcPr>
            <w:tcW w:w="670" w:type="pct"/>
          </w:tcPr>
          <w:p w14:paraId="2A9018BF" w14:textId="38C26790" w:rsidR="00A23CC5" w:rsidRDefault="00A23CC5" w:rsidP="00A23CC5">
            <w:pPr>
              <w:pStyle w:val="Compact"/>
              <w:spacing w:line="240" w:lineRule="auto"/>
            </w:pPr>
            <w:r>
              <w:rPr>
                <w:rFonts w:ascii="Helvetica Neue" w:hAnsi="Helvetica Neue"/>
                <w:color w:val="000000"/>
                <w:sz w:val="15"/>
                <w:szCs w:val="15"/>
              </w:rPr>
              <w:t>0.01 (0.02)</w:t>
            </w:r>
          </w:p>
        </w:tc>
        <w:tc>
          <w:tcPr>
            <w:tcW w:w="598" w:type="pct"/>
          </w:tcPr>
          <w:p w14:paraId="75122CCD" w14:textId="01ECE679" w:rsidR="00A23CC5" w:rsidRDefault="00A23CC5" w:rsidP="00A23CC5">
            <w:pPr>
              <w:pStyle w:val="Compact"/>
              <w:spacing w:line="240" w:lineRule="auto"/>
            </w:pPr>
            <w:r>
              <w:rPr>
                <w:rFonts w:ascii="Helvetica Neue" w:hAnsi="Helvetica Neue"/>
                <w:color w:val="000000"/>
                <w:sz w:val="15"/>
                <w:szCs w:val="15"/>
              </w:rPr>
              <w:t>-0.02 (0.02)</w:t>
            </w:r>
          </w:p>
        </w:tc>
      </w:tr>
      <w:tr w:rsidR="00A4678E" w14:paraId="1FA05AF2" w14:textId="77777777" w:rsidTr="00E353BE">
        <w:tc>
          <w:tcPr>
            <w:tcW w:w="0" w:type="auto"/>
          </w:tcPr>
          <w:p w14:paraId="21809DF1" w14:textId="77777777" w:rsidR="00A23CC5" w:rsidRPr="004F2855" w:rsidRDefault="00A23CC5" w:rsidP="00A23CC5">
            <w:pPr>
              <w:pStyle w:val="Compact"/>
              <w:spacing w:line="240" w:lineRule="auto"/>
              <w:rPr>
                <w:sz w:val="22"/>
                <w:szCs w:val="22"/>
              </w:rPr>
            </w:pPr>
            <w:r w:rsidRPr="004F2855">
              <w:rPr>
                <w:sz w:val="22"/>
                <w:szCs w:val="22"/>
              </w:rPr>
              <w:t>Generating</w:t>
            </w:r>
          </w:p>
        </w:tc>
        <w:tc>
          <w:tcPr>
            <w:tcW w:w="593" w:type="pct"/>
          </w:tcPr>
          <w:p w14:paraId="5E37E5A4" w14:textId="0D9D7568" w:rsidR="00A23CC5" w:rsidRDefault="00A23CC5" w:rsidP="00A23CC5">
            <w:pPr>
              <w:pStyle w:val="Compact"/>
              <w:spacing w:line="240" w:lineRule="auto"/>
            </w:pPr>
            <w:r>
              <w:rPr>
                <w:rFonts w:ascii="Helvetica Neue" w:hAnsi="Helvetica Neue"/>
                <w:color w:val="000000"/>
                <w:sz w:val="15"/>
                <w:szCs w:val="15"/>
              </w:rPr>
              <w:t>0.01 (0.02)</w:t>
            </w:r>
          </w:p>
        </w:tc>
        <w:tc>
          <w:tcPr>
            <w:tcW w:w="718" w:type="pct"/>
          </w:tcPr>
          <w:p w14:paraId="21719C2C" w14:textId="602FAEED"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1E81046D" w14:textId="36591A22" w:rsidR="00A23CC5" w:rsidRDefault="00A23CC5" w:rsidP="00A23CC5">
            <w:pPr>
              <w:pStyle w:val="Compact"/>
              <w:spacing w:line="240" w:lineRule="auto"/>
            </w:pPr>
            <w:r>
              <w:rPr>
                <w:rFonts w:ascii="Helvetica Neue" w:hAnsi="Helvetica Neue"/>
                <w:color w:val="000000"/>
                <w:sz w:val="15"/>
                <w:szCs w:val="15"/>
              </w:rPr>
              <w:t>-0.01 (0.02)</w:t>
            </w:r>
          </w:p>
        </w:tc>
        <w:tc>
          <w:tcPr>
            <w:tcW w:w="813" w:type="pct"/>
          </w:tcPr>
          <w:p w14:paraId="5693852A" w14:textId="74564159" w:rsidR="00A23CC5" w:rsidRDefault="00A23CC5" w:rsidP="00A23CC5">
            <w:pPr>
              <w:pStyle w:val="Compact"/>
              <w:spacing w:line="240" w:lineRule="auto"/>
            </w:pPr>
            <w:r>
              <w:rPr>
                <w:rFonts w:ascii="Helvetica Neue" w:hAnsi="Helvetica Neue"/>
                <w:color w:val="000000"/>
                <w:sz w:val="15"/>
                <w:szCs w:val="15"/>
              </w:rPr>
              <w:t>-0.00 (0.02)</w:t>
            </w:r>
          </w:p>
        </w:tc>
        <w:tc>
          <w:tcPr>
            <w:tcW w:w="670" w:type="pct"/>
          </w:tcPr>
          <w:p w14:paraId="7468859B" w14:textId="6263128C" w:rsidR="00A23CC5" w:rsidRDefault="00A23CC5" w:rsidP="00A23CC5">
            <w:pPr>
              <w:pStyle w:val="Compact"/>
              <w:spacing w:line="240" w:lineRule="auto"/>
            </w:pPr>
            <w:r>
              <w:rPr>
                <w:rFonts w:ascii="Helvetica Neue" w:hAnsi="Helvetica Neue"/>
                <w:color w:val="000000"/>
                <w:sz w:val="15"/>
                <w:szCs w:val="15"/>
              </w:rPr>
              <w:t>-0.01 (0.02)</w:t>
            </w:r>
          </w:p>
        </w:tc>
        <w:tc>
          <w:tcPr>
            <w:tcW w:w="598" w:type="pct"/>
          </w:tcPr>
          <w:p w14:paraId="68DA73FB" w14:textId="51414511" w:rsidR="00A23CC5" w:rsidRDefault="00A23CC5" w:rsidP="00A23CC5">
            <w:pPr>
              <w:pStyle w:val="Compact"/>
              <w:spacing w:line="240" w:lineRule="auto"/>
            </w:pPr>
            <w:r>
              <w:rPr>
                <w:rFonts w:ascii="Helvetica Neue" w:hAnsi="Helvetica Neue"/>
                <w:color w:val="000000"/>
                <w:sz w:val="15"/>
                <w:szCs w:val="15"/>
              </w:rPr>
              <w:t>0.03 (0.02)*</w:t>
            </w:r>
          </w:p>
        </w:tc>
      </w:tr>
      <w:tr w:rsidR="00A4678E" w14:paraId="0C4F542A" w14:textId="77777777" w:rsidTr="00E353BE">
        <w:tc>
          <w:tcPr>
            <w:tcW w:w="0" w:type="auto"/>
          </w:tcPr>
          <w:p w14:paraId="65CDCBEE" w14:textId="77777777" w:rsidR="00A23CC5" w:rsidRPr="004F2855" w:rsidRDefault="00A23CC5" w:rsidP="00A23CC5">
            <w:pPr>
              <w:pStyle w:val="Compact"/>
              <w:spacing w:line="240" w:lineRule="auto"/>
              <w:rPr>
                <w:sz w:val="22"/>
                <w:szCs w:val="22"/>
              </w:rPr>
            </w:pPr>
            <w:r w:rsidRPr="004F2855">
              <w:rPr>
                <w:sz w:val="22"/>
                <w:szCs w:val="22"/>
              </w:rPr>
              <w:t>Modeling</w:t>
            </w:r>
          </w:p>
        </w:tc>
        <w:tc>
          <w:tcPr>
            <w:tcW w:w="593" w:type="pct"/>
          </w:tcPr>
          <w:p w14:paraId="23155762" w14:textId="2E6A181A" w:rsidR="00A23CC5" w:rsidRDefault="00A23CC5" w:rsidP="00A23CC5">
            <w:pPr>
              <w:pStyle w:val="Compact"/>
              <w:spacing w:line="240" w:lineRule="auto"/>
            </w:pPr>
            <w:r>
              <w:rPr>
                <w:rFonts w:ascii="Helvetica Neue" w:hAnsi="Helvetica Neue"/>
                <w:color w:val="000000"/>
                <w:sz w:val="15"/>
                <w:szCs w:val="15"/>
              </w:rPr>
              <w:t>0.01(0.02)</w:t>
            </w:r>
          </w:p>
        </w:tc>
        <w:tc>
          <w:tcPr>
            <w:tcW w:w="718" w:type="pct"/>
          </w:tcPr>
          <w:p w14:paraId="04C60FFD" w14:textId="1916227F" w:rsidR="00A23CC5" w:rsidRDefault="00A23CC5" w:rsidP="00A23CC5">
            <w:pPr>
              <w:pStyle w:val="Compact"/>
              <w:spacing w:line="240" w:lineRule="auto"/>
            </w:pPr>
            <w:r>
              <w:rPr>
                <w:rFonts w:ascii="Helvetica Neue" w:hAnsi="Helvetica Neue"/>
                <w:color w:val="000000"/>
                <w:sz w:val="15"/>
                <w:szCs w:val="15"/>
              </w:rPr>
              <w:t>0.00 (0.02)</w:t>
            </w:r>
          </w:p>
        </w:tc>
        <w:tc>
          <w:tcPr>
            <w:tcW w:w="670" w:type="pct"/>
          </w:tcPr>
          <w:p w14:paraId="3D601807" w14:textId="1529BFB7" w:rsidR="00A23CC5" w:rsidRDefault="00A23CC5" w:rsidP="00A23CC5">
            <w:pPr>
              <w:pStyle w:val="Compact"/>
              <w:spacing w:line="240" w:lineRule="auto"/>
            </w:pPr>
            <w:r>
              <w:rPr>
                <w:rFonts w:ascii="Helvetica Neue" w:hAnsi="Helvetica Neue"/>
                <w:color w:val="000000"/>
                <w:sz w:val="15"/>
                <w:szCs w:val="15"/>
              </w:rPr>
              <w:t>0.00 (0.02)</w:t>
            </w:r>
          </w:p>
        </w:tc>
        <w:tc>
          <w:tcPr>
            <w:tcW w:w="813" w:type="pct"/>
          </w:tcPr>
          <w:p w14:paraId="2A86AA72" w14:textId="607053EC" w:rsidR="00A23CC5" w:rsidRDefault="00A23CC5" w:rsidP="00A23CC5">
            <w:pPr>
              <w:pStyle w:val="Compact"/>
              <w:spacing w:line="240" w:lineRule="auto"/>
            </w:pPr>
            <w:r>
              <w:rPr>
                <w:rFonts w:ascii="Helvetica Neue" w:hAnsi="Helvetica Neue"/>
                <w:color w:val="000000"/>
                <w:sz w:val="15"/>
                <w:szCs w:val="15"/>
              </w:rPr>
              <w:t>0.02 (0.02)</w:t>
            </w:r>
          </w:p>
        </w:tc>
        <w:tc>
          <w:tcPr>
            <w:tcW w:w="670" w:type="pct"/>
          </w:tcPr>
          <w:p w14:paraId="0B45B275" w14:textId="398A9992" w:rsidR="00A23CC5" w:rsidRDefault="00A23CC5" w:rsidP="00A23CC5">
            <w:pPr>
              <w:pStyle w:val="Compact"/>
              <w:spacing w:line="240" w:lineRule="auto"/>
            </w:pPr>
            <w:r>
              <w:rPr>
                <w:rFonts w:ascii="Helvetica Neue" w:hAnsi="Helvetica Neue"/>
                <w:color w:val="000000"/>
                <w:sz w:val="15"/>
                <w:szCs w:val="15"/>
              </w:rPr>
              <w:t>-0.01 (0.02)</w:t>
            </w:r>
          </w:p>
        </w:tc>
        <w:tc>
          <w:tcPr>
            <w:tcW w:w="598" w:type="pct"/>
          </w:tcPr>
          <w:p w14:paraId="0BDBDA38" w14:textId="453DC746" w:rsidR="00A23CC5" w:rsidRDefault="00A23CC5" w:rsidP="00A23CC5">
            <w:pPr>
              <w:pStyle w:val="Compact"/>
              <w:spacing w:line="240" w:lineRule="auto"/>
            </w:pPr>
            <w:r>
              <w:rPr>
                <w:rFonts w:ascii="Helvetica Neue" w:hAnsi="Helvetica Neue"/>
                <w:color w:val="000000"/>
                <w:sz w:val="15"/>
                <w:szCs w:val="15"/>
              </w:rPr>
              <w:t>-0.03 (0.02)</w:t>
            </w:r>
          </w:p>
        </w:tc>
      </w:tr>
      <w:tr w:rsidR="00A4678E" w14:paraId="3DDA12B1" w14:textId="77777777" w:rsidTr="00E353BE">
        <w:tc>
          <w:tcPr>
            <w:tcW w:w="0" w:type="auto"/>
            <w:tcBorders>
              <w:bottom w:val="single" w:sz="4" w:space="0" w:color="auto"/>
            </w:tcBorders>
          </w:tcPr>
          <w:p w14:paraId="5A5C7D1D" w14:textId="77777777" w:rsidR="00A23CC5" w:rsidRPr="004F2855" w:rsidRDefault="00A23CC5" w:rsidP="00A23CC5">
            <w:pPr>
              <w:pStyle w:val="Compact"/>
              <w:spacing w:line="240" w:lineRule="auto"/>
              <w:rPr>
                <w:sz w:val="22"/>
                <w:szCs w:val="22"/>
              </w:rPr>
            </w:pPr>
            <w:r w:rsidRPr="004F2855">
              <w:rPr>
                <w:sz w:val="22"/>
                <w:szCs w:val="22"/>
              </w:rPr>
              <w:t>Communicating</w:t>
            </w:r>
          </w:p>
        </w:tc>
        <w:tc>
          <w:tcPr>
            <w:tcW w:w="593" w:type="pct"/>
            <w:tcBorders>
              <w:bottom w:val="single" w:sz="4" w:space="0" w:color="auto"/>
            </w:tcBorders>
          </w:tcPr>
          <w:p w14:paraId="2938A1AB" w14:textId="5BF941F6" w:rsidR="00A23CC5" w:rsidRDefault="00A23CC5" w:rsidP="00A23CC5">
            <w:pPr>
              <w:pStyle w:val="Compact"/>
              <w:spacing w:line="240" w:lineRule="auto"/>
            </w:pPr>
            <w:r>
              <w:rPr>
                <w:rFonts w:ascii="Helvetica Neue" w:hAnsi="Helvetica Neue"/>
                <w:color w:val="000000"/>
                <w:sz w:val="15"/>
                <w:szCs w:val="15"/>
              </w:rPr>
              <w:t>0.01 (0.02)</w:t>
            </w:r>
          </w:p>
        </w:tc>
        <w:tc>
          <w:tcPr>
            <w:tcW w:w="718" w:type="pct"/>
            <w:tcBorders>
              <w:bottom w:val="single" w:sz="4" w:space="0" w:color="auto"/>
            </w:tcBorders>
          </w:tcPr>
          <w:p w14:paraId="7C9EF8AE" w14:textId="19F9302B" w:rsidR="00A23CC5" w:rsidRDefault="00A23CC5" w:rsidP="00A23CC5">
            <w:pPr>
              <w:pStyle w:val="Compact"/>
              <w:spacing w:line="240" w:lineRule="auto"/>
            </w:pPr>
            <w:r>
              <w:rPr>
                <w:rFonts w:ascii="Helvetica Neue" w:hAnsi="Helvetica Neue"/>
                <w:color w:val="000000"/>
                <w:sz w:val="15"/>
                <w:szCs w:val="15"/>
              </w:rPr>
              <w:t>-0.02 (0.02)</w:t>
            </w:r>
          </w:p>
        </w:tc>
        <w:tc>
          <w:tcPr>
            <w:tcW w:w="670" w:type="pct"/>
            <w:tcBorders>
              <w:bottom w:val="single" w:sz="4" w:space="0" w:color="auto"/>
            </w:tcBorders>
          </w:tcPr>
          <w:p w14:paraId="79B72A10" w14:textId="76126C52" w:rsidR="00A23CC5" w:rsidRDefault="00A23CC5" w:rsidP="00A23CC5">
            <w:pPr>
              <w:pStyle w:val="Compact"/>
              <w:spacing w:line="240" w:lineRule="auto"/>
            </w:pPr>
            <w:r>
              <w:rPr>
                <w:rFonts w:ascii="Helvetica Neue" w:hAnsi="Helvetica Neue"/>
                <w:color w:val="000000"/>
                <w:sz w:val="15"/>
                <w:szCs w:val="15"/>
              </w:rPr>
              <w:t>0.010 (0.02)</w:t>
            </w:r>
          </w:p>
        </w:tc>
        <w:tc>
          <w:tcPr>
            <w:tcW w:w="813" w:type="pct"/>
            <w:tcBorders>
              <w:bottom w:val="single" w:sz="4" w:space="0" w:color="auto"/>
            </w:tcBorders>
          </w:tcPr>
          <w:p w14:paraId="02D59596" w14:textId="1368D5AF" w:rsidR="00A23CC5" w:rsidRDefault="00A23CC5" w:rsidP="00A23CC5">
            <w:pPr>
              <w:pStyle w:val="Compact"/>
              <w:spacing w:line="240" w:lineRule="auto"/>
            </w:pPr>
            <w:r>
              <w:rPr>
                <w:rFonts w:ascii="Helvetica Neue" w:hAnsi="Helvetica Neue"/>
                <w:color w:val="000000"/>
                <w:sz w:val="15"/>
                <w:szCs w:val="15"/>
              </w:rPr>
              <w:t>-0.01 (0.02)</w:t>
            </w:r>
          </w:p>
        </w:tc>
        <w:tc>
          <w:tcPr>
            <w:tcW w:w="670" w:type="pct"/>
            <w:tcBorders>
              <w:bottom w:val="single" w:sz="4" w:space="0" w:color="auto"/>
            </w:tcBorders>
          </w:tcPr>
          <w:p w14:paraId="56D85303" w14:textId="4CB4BD1C" w:rsidR="00A23CC5" w:rsidRDefault="00A23CC5" w:rsidP="00A23CC5">
            <w:pPr>
              <w:pStyle w:val="Compact"/>
              <w:spacing w:line="240" w:lineRule="auto"/>
            </w:pPr>
            <w:r>
              <w:rPr>
                <w:rFonts w:ascii="Helvetica Neue" w:hAnsi="Helvetica Neue"/>
                <w:color w:val="000000"/>
                <w:sz w:val="15"/>
                <w:szCs w:val="15"/>
              </w:rPr>
              <w:t>0.00 (0.02)</w:t>
            </w:r>
          </w:p>
        </w:tc>
        <w:tc>
          <w:tcPr>
            <w:tcW w:w="598" w:type="pct"/>
            <w:tcBorders>
              <w:bottom w:val="single" w:sz="4" w:space="0" w:color="auto"/>
            </w:tcBorders>
          </w:tcPr>
          <w:p w14:paraId="43F58AC9" w14:textId="25DF5599" w:rsidR="00A23CC5" w:rsidRDefault="00A23CC5" w:rsidP="00A23CC5">
            <w:pPr>
              <w:pStyle w:val="Compact"/>
              <w:spacing w:line="240" w:lineRule="auto"/>
            </w:pPr>
            <w:r>
              <w:rPr>
                <w:rFonts w:ascii="Helvetica Neue" w:hAnsi="Helvetica Neue"/>
                <w:color w:val="000000"/>
                <w:sz w:val="15"/>
                <w:szCs w:val="15"/>
              </w:rPr>
              <w:t>0.02 (0.02)</w:t>
            </w:r>
          </w:p>
        </w:tc>
      </w:tr>
    </w:tbl>
    <w:p w14:paraId="720BE9B0" w14:textId="3F38C1F9" w:rsidR="00331748" w:rsidRDefault="00331748" w:rsidP="00A23CC5">
      <w:pPr>
        <w:pStyle w:val="BodyText"/>
        <w:ind w:right="-226" w:firstLine="0"/>
      </w:pPr>
      <w:r>
        <w:rPr>
          <w:i/>
        </w:rPr>
        <w:t xml:space="preserve">Note. </w:t>
      </w:r>
      <w:r>
        <w:t>+ p &lt; .10;  p &lt; .05</w:t>
      </w:r>
    </w:p>
    <w:p w14:paraId="4E10F986" w14:textId="77777777" w:rsidR="00331748" w:rsidRDefault="00331748" w:rsidP="00331748">
      <w:pPr>
        <w:pStyle w:val="BodyText"/>
      </w:pPr>
      <w:r>
        <w:t xml:space="preserve">The only engagement profile that was significantly associated with any aspects of work with data was the Full profile (see the column with the column name Full for these results). When program activities involved modeling data, youth were around 3% more likely to be fully </w:t>
      </w:r>
      <w:r>
        <w:lastRenderedPageBreak/>
        <w:t>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w:t>
      </w:r>
      <w:r>
        <w:lastRenderedPageBreak/>
        <w:t>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14" w:name="context"/>
      <w:bookmarkStart w:id="15" w:name="participants"/>
      <w:bookmarkStart w:id="16" w:name="procedure"/>
      <w:bookmarkStart w:id="17" w:name="data-sources-and-measures"/>
      <w:bookmarkStart w:id="18" w:name="esm-measures-of-engagement-for-the-profi"/>
      <w:bookmarkStart w:id="19" w:name="measures-from-video-for-work-with-data"/>
      <w:bookmarkStart w:id="20" w:name="survey-measures-of-pre-interest-in-stem"/>
      <w:bookmarkStart w:id="21" w:name="other-youth-characteristics"/>
      <w:bookmarkStart w:id="22" w:name="data-analysis"/>
      <w:bookmarkStart w:id="23" w:name="analysis-for-research-question-1-the-fre"/>
      <w:bookmarkStart w:id="24" w:name="analysis-for-research-question-2-what-pr"/>
      <w:bookmarkStart w:id="25" w:name="analysis-for-research-question-3-how-wor"/>
      <w:bookmarkStart w:id="26" w:name="results"/>
      <w:bookmarkStart w:id="27" w:name="descriptive-statistics-for-the-engagemen"/>
      <w:bookmarkStart w:id="28" w:name="correlations-among-the-study-variables"/>
      <w:bookmarkStart w:id="29" w:name="results-for-research-question-1"/>
      <w:bookmarkStart w:id="30" w:name="results-for-research-question-2-what-pro"/>
      <w:bookmarkStart w:id="31" w:name="results-for-research-questions-3-and-4-a"/>
      <w:bookmarkStart w:id="32" w:name="discussion"/>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t>Discussion</w:t>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 xml:space="preserve">The profiles represented different configurations of how youth were working hard, learning, enjoying themselves, and feeling challenged and competent at the time they were </w:t>
      </w:r>
      <w:r>
        <w:lastRenderedPageBreak/>
        <w:t>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33" w:name="key-findings-related-to-work-with-data-i"/>
      <w:bookmarkEnd w:id="33"/>
      <w:r>
        <w:t xml:space="preserve">Key </w:t>
      </w:r>
      <w:r w:rsidR="008E04E0">
        <w:t>Findings Regarding Work With Data in Summer STEM Program</w:t>
      </w:r>
    </w:p>
    <w:p w14:paraId="7371A0FB" w14:textId="6C421E25" w:rsidR="005F327F" w:rsidRDefault="00AE7D63">
      <w:pPr>
        <w:pStyle w:val="FirstParagraph"/>
      </w:pPr>
      <w:r>
        <w:t xml:space="preserve">Results showed that work with data was common in the summer STEM programs. There was </w:t>
      </w:r>
      <w:r w:rsidR="000D7B73">
        <w:t xml:space="preserve">also </w:t>
      </w:r>
      <w:r>
        <w:t xml:space="preserve">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w:t>
      </w:r>
      <w:r>
        <w:lastRenderedPageBreak/>
        <w:t>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34" w:name="key-findings-related-to-engagement"/>
      <w:bookmarkEnd w:id="34"/>
      <w:r>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t>
      </w:r>
      <w:r>
        <w:lastRenderedPageBreak/>
        <w:t xml:space="preserve">were. According to past theory (e.g., Csikszentmihalyi, 1997) and some research (e.g., Shernoff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Shernoff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35" w:name="key-findings-related-to-work-with-data-a"/>
      <w:bookmarkEnd w:id="35"/>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w:t>
      </w:r>
      <w:r w:rsidR="00AE7D63">
        <w:lastRenderedPageBreak/>
        <w:t xml:space="preserve">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inscriptions serve 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r w:rsidR="00A96451">
        <w:t>Stroupe, 2014)</w:t>
      </w:r>
      <w:r w:rsidR="00AE7D63">
        <w:t xml:space="preserve"> and likely in other STEM content areas, we well.</w:t>
      </w:r>
    </w:p>
    <w:p w14:paraId="61337CD0" w14:textId="3DEA78DA"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w:t>
      </w:r>
      <w:r>
        <w:lastRenderedPageBreak/>
        <w:t>et al., 201</w:t>
      </w:r>
      <w:r w:rsidR="001A4CAE">
        <w:t>6</w:t>
      </w:r>
      <w:r>
        <w:t xml:space="preserve">).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engagement at the youth level</w:t>
      </w:r>
      <w:r w:rsidR="006B0F3B">
        <w:t xml:space="preserve">. This was also surprising as </w:t>
      </w:r>
      <w:r w:rsidR="00AE7D63">
        <w:t xml:space="preserve">past theory and research have suggested that learners’ gender, URM status, and individual or pre-program interest can predict engagement (Bystydzienski, Eisenhart, &amp; Bruning, 2015; Hidi &amp; Renninger, 2006; Shernoff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(Shernoff et al., 2003; Shernoff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Naftzger, 2018).</w:t>
      </w:r>
    </w:p>
    <w:p w14:paraId="5BC4C319" w14:textId="1B17CFE6" w:rsidR="005F327F" w:rsidRDefault="00AE7D63">
      <w:pPr>
        <w:pStyle w:val="Heading2"/>
      </w:pPr>
      <w:bookmarkStart w:id="36" w:name="limitations-to-the-present-study-and-rec"/>
      <w:bookmarkEnd w:id="36"/>
      <w:commentRangeStart w:id="37"/>
      <w:r>
        <w:lastRenderedPageBreak/>
        <w:t xml:space="preserve">Limitations </w:t>
      </w:r>
      <w:r w:rsidR="00480FAA">
        <w:t>and Recommendations for Future Research</w:t>
      </w:r>
      <w:commentRangeEnd w:id="37"/>
      <w:r w:rsidR="00E5456B">
        <w:rPr>
          <w:rStyle w:val="CommentReference"/>
          <w:rFonts w:asciiTheme="minorHAnsi" w:eastAsiaTheme="minorHAnsi" w:hAnsiTheme="minorHAnsi" w:cstheme="minorBidi"/>
          <w:b w:val="0"/>
          <w:bCs w:val="0"/>
        </w:rPr>
        <w:commentReference w:id="37"/>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w:t>
      </w:r>
      <w:r w:rsidR="00AE7D63">
        <w:lastRenderedPageBreak/>
        <w:t>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38" w:name="implications-for-practice"/>
      <w:bookmarkEnd w:id="38"/>
      <w:r>
        <w:t>Implications for Practice</w:t>
      </w:r>
    </w:p>
    <w:p w14:paraId="3467386F" w14:textId="5D2826B0"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w:t>
      </w:r>
      <w:r>
        <w:lastRenderedPageBreak/>
        <w:t>include the beneficial practices of generating and modeling data not in isolation, but rather through involving youth and learners in complete cycles of an investigation. This aligns with both foundational and contemporary research on work with data in education (Berland et al., 201</w:t>
      </w:r>
      <w:r w:rsidR="001975FF">
        <w:t>6</w:t>
      </w:r>
      <w:r>
        <w:t xml:space="preserve">; </w:t>
      </w:r>
      <w:r w:rsidR="00CC3E50">
        <w:t xml:space="preserve">Hancock et al., 1992; </w:t>
      </w:r>
      <w:r>
        <w:t>McNeill &amp; Berland, 2017;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39" w:name="references"/>
      <w:bookmarkEnd w:id="39"/>
      <w:r>
        <w:lastRenderedPageBreak/>
        <w:br w:type="page"/>
      </w:r>
    </w:p>
    <w:p w14:paraId="4C6AFC46" w14:textId="77777777" w:rsidR="00EA1DFF" w:rsidRPr="006609ED" w:rsidRDefault="00EA1DFF" w:rsidP="00D1249C">
      <w:pPr>
        <w:pStyle w:val="Heading1"/>
        <w:rPr>
          <w:b w:val="0"/>
        </w:rPr>
      </w:pPr>
      <w:r w:rsidRPr="006609ED">
        <w:rPr>
          <w:b w:val="0"/>
        </w:rPr>
        <w:lastRenderedPageBreak/>
        <w:t>References</w:t>
      </w:r>
    </w:p>
    <w:p w14:paraId="3F5CD4BC" w14:textId="77777777" w:rsidR="00EA1DFF" w:rsidRDefault="00EA1DFF" w:rsidP="00EA1DFF">
      <w:pPr>
        <w:pStyle w:val="BodyText"/>
        <w:ind w:left="720" w:hanging="720"/>
      </w:pPr>
      <w:r>
        <w:t xml:space="preserve">Berland, L. K., Schwarz, C. V., Krist, C., Kenyon, L., Lo, A. S., &amp; Reiser, B. J. (2016). Epistemologies in practice: Making scientific practices meaningful for students. </w:t>
      </w:r>
      <w:r>
        <w:rPr>
          <w:i/>
        </w:rPr>
        <w:t>Journal of Research in Science Teaching, 53</w:t>
      </w:r>
      <w:r>
        <w:t>(7), 1082-1112.</w:t>
      </w:r>
    </w:p>
    <w:p w14:paraId="6759F8D3" w14:textId="77777777" w:rsidR="00EA1DFF" w:rsidRDefault="00EA1DFF" w:rsidP="00EA1DFF">
      <w:pPr>
        <w:pStyle w:val="BodyText"/>
        <w:ind w:left="720" w:hanging="720"/>
      </w:pPr>
      <w:r>
        <w:t xml:space="preserve">Beymer, P. N., Rosenberg, J. M., Schmidt, J. A., &amp; Naftzger, N. (2018). Examining relationships between choice, affect, and engagement in out-of-school time STEM programs. </w:t>
      </w:r>
      <w:r>
        <w:rPr>
          <w:i/>
        </w:rPr>
        <w:t>Journal of Youth and Adolescence, 47</w:t>
      </w:r>
      <w:r>
        <w:t xml:space="preserve">(6), 1178-1191. </w:t>
      </w:r>
      <w:hyperlink r:id="rId16">
        <w:r>
          <w:rPr>
            <w:rStyle w:val="Hyperlink"/>
          </w:rPr>
          <w:t>https://doi.org/10.1007/s10964-018-0814-9</w:t>
        </w:r>
      </w:hyperlink>
    </w:p>
    <w:p w14:paraId="01ABB044" w14:textId="77777777" w:rsidR="00EA1DFF" w:rsidRDefault="00EA1DFF" w:rsidP="00EA1DFF">
      <w:pPr>
        <w:pStyle w:val="BodyText"/>
        <w:ind w:left="720" w:hanging="720"/>
      </w:pPr>
      <w:r>
        <w:t xml:space="preserve">Bielik, T., &amp; Yarden, A. (2016). Promoting the asking of research questions in a high-school biotechnology inquiry-oriented program. </w:t>
      </w:r>
      <w:r>
        <w:rPr>
          <w:i/>
        </w:rPr>
        <w:t>International Journal of STEM Education, 3</w:t>
      </w:r>
      <w:r>
        <w:t>(1), 15.</w:t>
      </w:r>
    </w:p>
    <w:p w14:paraId="3295CC9D" w14:textId="77777777" w:rsidR="00EA1DFF" w:rsidRDefault="00EA1DFF" w:rsidP="00EA1DFF">
      <w:pPr>
        <w:pStyle w:val="BodyText"/>
        <w:ind w:left="720" w:hanging="720"/>
      </w:pPr>
      <w:r>
        <w:t xml:space="preserve">Bystydzienski, J. M., Eisenhart, M., &amp; Bruning, M. (2015). High school is not too late: Developing girls’ interest and engagement in engineering careers. </w:t>
      </w:r>
      <w:r>
        <w:rPr>
          <w:i/>
        </w:rPr>
        <w:t>Career Development Quarterly, 63</w:t>
      </w:r>
      <w:r>
        <w:t xml:space="preserve">(1), 88–95. </w:t>
      </w:r>
      <w:hyperlink r:id="rId17">
        <w:r>
          <w:rPr>
            <w:rStyle w:val="Hyperlink"/>
          </w:rPr>
          <w:t>http://doi.org/10.1002/j.2161-0045.2015.00097.x</w:t>
        </w:r>
      </w:hyperlink>
    </w:p>
    <w:p w14:paraId="37D76773" w14:textId="77777777" w:rsidR="00EA1DFF" w:rsidRDefault="00EA1DFF" w:rsidP="00EA1DFF">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5DA86B09" w14:textId="77777777" w:rsidR="00EA1DFF" w:rsidRPr="00107C61" w:rsidRDefault="00EA1DFF" w:rsidP="00EA1DFF">
      <w:pPr>
        <w:pStyle w:val="BodyText"/>
        <w:ind w:left="720" w:hanging="720"/>
        <w:rPr>
          <w:b/>
          <w:bCs/>
        </w:rPr>
      </w:pPr>
      <w:r>
        <w:t>Csikszentmihalyi, M. (1990).</w:t>
      </w:r>
      <w:r w:rsidRPr="00107C61">
        <w:t xml:space="preserve"> </w:t>
      </w:r>
      <w:r w:rsidRPr="00107C61">
        <w:rPr>
          <w:bCs/>
        </w:rPr>
        <w:t xml:space="preserve">Flow: The </w:t>
      </w:r>
      <w:r>
        <w:rPr>
          <w:bCs/>
        </w:rPr>
        <w:t>p</w:t>
      </w:r>
      <w:r w:rsidRPr="00107C61">
        <w:rPr>
          <w:bCs/>
        </w:rPr>
        <w:t xml:space="preserve">sychology of </w:t>
      </w:r>
      <w:r>
        <w:rPr>
          <w:bCs/>
        </w:rPr>
        <w:t>o</w:t>
      </w:r>
      <w:r w:rsidRPr="00107C61">
        <w:rPr>
          <w:bCs/>
        </w:rPr>
        <w:t xml:space="preserve">ptimal </w:t>
      </w:r>
      <w:r>
        <w:rPr>
          <w:bCs/>
        </w:rPr>
        <w:t>e</w:t>
      </w:r>
      <w:r w:rsidRPr="00107C61">
        <w:rPr>
          <w:bCs/>
        </w:rPr>
        <w:t>xperience</w:t>
      </w:r>
      <w:r>
        <w:rPr>
          <w:bCs/>
        </w:rPr>
        <w:t>. New York, NY: Harper and Row.</w:t>
      </w:r>
    </w:p>
    <w:p w14:paraId="211F2451" w14:textId="77777777" w:rsidR="00EA1DFF" w:rsidRDefault="00EA1DFF" w:rsidP="00EA1DFF">
      <w:pPr>
        <w:pStyle w:val="BodyText"/>
        <w:ind w:left="720" w:hanging="720"/>
      </w:pPr>
      <w:r>
        <w:t xml:space="preserve">Csikszentmihalyi, M. (1997). </w:t>
      </w:r>
      <w:r>
        <w:rPr>
          <w:i/>
        </w:rPr>
        <w:t>Finding flow: The psychology of engagement with everyday life</w:t>
      </w:r>
      <w:r>
        <w:t>. New York, NY: Basic Books.</w:t>
      </w:r>
    </w:p>
    <w:p w14:paraId="42C10E6B" w14:textId="77777777" w:rsidR="00EA1DFF" w:rsidRDefault="00EA1DFF" w:rsidP="00EA1DFF">
      <w:pPr>
        <w:pStyle w:val="BodyText"/>
        <w:ind w:left="720" w:hanging="720"/>
      </w:pPr>
      <w:r>
        <w:lastRenderedPageBreak/>
        <w:t xml:space="preserve">English, L. D. (2012). Data modelling with first-grade students. </w:t>
      </w:r>
      <w:r>
        <w:rPr>
          <w:i/>
        </w:rPr>
        <w:t>Educational Studies in Mathematics, 81</w:t>
      </w:r>
      <w:r>
        <w:t>(1), 15-30.</w:t>
      </w:r>
    </w:p>
    <w:p w14:paraId="0352F44B" w14:textId="77777777" w:rsidR="00EA1DFF" w:rsidRDefault="00EA1DFF" w:rsidP="00EA1DFF">
      <w:pPr>
        <w:pStyle w:val="BodyText"/>
        <w:ind w:left="720" w:hanging="720"/>
      </w:pPr>
      <w:r>
        <w:t xml:space="preserve">Finzer, W. (2013). The data science education dilemma. </w:t>
      </w:r>
      <w:r>
        <w:rPr>
          <w:i/>
        </w:rPr>
        <w:t>Technology Innovations in Statistics Education, 7</w:t>
      </w:r>
      <w:r>
        <w:t>(2), p. 1-9.</w:t>
      </w:r>
    </w:p>
    <w:p w14:paraId="2072976C" w14:textId="77777777" w:rsidR="00EA1DFF" w:rsidRDefault="00EA1DFF" w:rsidP="00EA1DFF">
      <w:pPr>
        <w:pStyle w:val="BodyText"/>
        <w:ind w:left="720" w:hanging="720"/>
      </w:pPr>
      <w:r>
        <w:t xml:space="preserve">Forum for Youth Investment. (2012). </w:t>
      </w:r>
      <w:r>
        <w:rPr>
          <w:i/>
        </w:rPr>
        <w:t>Youth Program Quality Assessment</w:t>
      </w:r>
      <w:r>
        <w:t>. Washington, DC: The Forum for Youth Investment</w:t>
      </w:r>
    </w:p>
    <w:p w14:paraId="6727CA39" w14:textId="77777777" w:rsidR="00EA1DFF" w:rsidRDefault="00EA1DFF" w:rsidP="00EA1DFF">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7C85E231" w14:textId="77777777" w:rsidR="00EA1DFF" w:rsidRDefault="00EA1DFF" w:rsidP="00EA1DFF">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7436AD0" w14:textId="77777777" w:rsidR="00EA1DFF" w:rsidRDefault="00EA1DFF" w:rsidP="00EA1DFF">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30656E87" w14:textId="77777777" w:rsidR="00EA1DFF" w:rsidRDefault="00EA1DFF" w:rsidP="00EA1DFF">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E4DF707" w14:textId="77777777" w:rsidR="00EA1DFF" w:rsidRDefault="00EA1DFF" w:rsidP="00EA1DFF">
      <w:pPr>
        <w:pStyle w:val="BodyText"/>
        <w:ind w:left="720" w:hanging="720"/>
      </w:pPr>
      <w:r>
        <w:t xml:space="preserve">Harring, J. R., &amp; Hodis, F. A. (2016). Mixture modeling: Applications in educational psychology. </w:t>
      </w:r>
      <w:r>
        <w:rPr>
          <w:i/>
        </w:rPr>
        <w:t>Educational Psychologist, 51</w:t>
      </w:r>
      <w:r>
        <w:t>(3-4), 354-367.</w:t>
      </w:r>
    </w:p>
    <w:p w14:paraId="500A940B" w14:textId="77777777" w:rsidR="00EA1DFF" w:rsidRDefault="00EA1DFF" w:rsidP="00EA1DFF">
      <w:pPr>
        <w:pStyle w:val="BodyText"/>
        <w:ind w:left="720" w:hanging="720"/>
      </w:pPr>
      <w:r>
        <w:t>Hasson, E., &amp; Yarden, A. (2012). Separating the research question from the laboratory techniques: Advancing high</w:t>
      </w:r>
      <w:r>
        <w:rPr>
          <w:rFonts w:ascii="Cambria Math" w:hAnsi="Cambria Math" w:cs="Cambria Math"/>
        </w:rPr>
        <w:t>‐</w:t>
      </w:r>
      <w:r>
        <w:t xml:space="preserve">school biology teachers’ ability to ask research questions. </w:t>
      </w:r>
      <w:r>
        <w:rPr>
          <w:i/>
        </w:rPr>
        <w:t>Journal of Research in Science Teaching, 49</w:t>
      </w:r>
      <w:r>
        <w:t>(10), 1296-1320.</w:t>
      </w:r>
    </w:p>
    <w:p w14:paraId="40DE554B" w14:textId="77777777" w:rsidR="00EA1DFF" w:rsidRDefault="00EA1DFF" w:rsidP="00EA1DFF">
      <w:pPr>
        <w:pStyle w:val="BodyText"/>
        <w:ind w:left="720" w:hanging="720"/>
      </w:pPr>
      <w:r>
        <w:lastRenderedPageBreak/>
        <w:t xml:space="preserve">Hektner, J. M., Schmidt, J. A., &amp; Csikszentmihalyi, M. (2007). </w:t>
      </w:r>
      <w:r>
        <w:rPr>
          <w:i/>
        </w:rPr>
        <w:t>Experience sampling method: Measuring the quality of everyday life</w:t>
      </w:r>
      <w:r>
        <w:t>. Sage.</w:t>
      </w:r>
    </w:p>
    <w:p w14:paraId="2C7AFC48" w14:textId="77777777" w:rsidR="00EA1DFF" w:rsidRPr="00B22B40" w:rsidRDefault="00EA1DFF" w:rsidP="00EA1DFF">
      <w:pPr>
        <w:spacing w:after="0" w:line="480" w:lineRule="auto"/>
        <w:ind w:left="720" w:hanging="720"/>
        <w:rPr>
          <w:rFonts w:ascii="Times New Roman" w:eastAsia="Times New Roman" w:hAnsi="Times New Roman" w:cs="Times New Roman"/>
        </w:rPr>
      </w:pPr>
      <w:r w:rsidRPr="00EF3BC0">
        <w:rPr>
          <w:rFonts w:ascii="Times New Roman" w:eastAsia="Times New Roman" w:hAnsi="Times New Roman" w:cs="Times New Roman"/>
        </w:rPr>
        <w:t xml:space="preserve">Kackar, H. Z., Shumow, L., Schmidt, J. A., &amp; Grzetich,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52D2E6D" w14:textId="77777777" w:rsidR="00EA1DFF" w:rsidRDefault="00EA1DFF" w:rsidP="00EA1DFF">
      <w:pPr>
        <w:pStyle w:val="BodyText"/>
        <w:ind w:left="720" w:hanging="720"/>
      </w:pPr>
      <w:r>
        <w:t xml:space="preserve">Konold, C., &amp; Pollatsek, A. (2002). Data analysis as the search for signals in noisy processes. </w:t>
      </w:r>
      <w:r>
        <w:rPr>
          <w:i/>
        </w:rPr>
        <w:t>Journal for Research in Mathematics Education, 33</w:t>
      </w:r>
      <w:r>
        <w:t>(4), 259-289.</w:t>
      </w:r>
    </w:p>
    <w:p w14:paraId="315ABE07" w14:textId="77777777" w:rsidR="00EA1DFF" w:rsidRDefault="00EA1DFF" w:rsidP="00EA1DFF">
      <w:pPr>
        <w:pStyle w:val="BodyText"/>
        <w:ind w:left="720" w:hanging="720"/>
      </w:pPr>
      <w:r w:rsidRPr="00107C61">
        <w:t xml:space="preserve">Konold, C., Finzer, W., &amp; Kreetong, K. (2017). Modeling as a Core Component of Structuring Data. </w:t>
      </w:r>
      <w:r w:rsidRPr="00107C61">
        <w:rPr>
          <w:i/>
          <w:iCs/>
        </w:rPr>
        <w:t>Statistics Education Research Journal</w:t>
      </w:r>
      <w:r w:rsidRPr="00107C61">
        <w:t xml:space="preserve">, </w:t>
      </w:r>
      <w:r w:rsidRPr="00107C61">
        <w:rPr>
          <w:i/>
          <w:iCs/>
        </w:rPr>
        <w:t>16</w:t>
      </w:r>
      <w:r w:rsidRPr="00107C61">
        <w:t>(2).</w:t>
      </w:r>
    </w:p>
    <w:p w14:paraId="0138CF64" w14:textId="77777777" w:rsidR="00EA1DFF" w:rsidRDefault="00EA1DFF" w:rsidP="00EA1DFF">
      <w:pPr>
        <w:pStyle w:val="BodyText"/>
        <w:ind w:left="720" w:hanging="720"/>
      </w:pPr>
      <w:r>
        <w:t xml:space="preserve">Lee, H., &amp; Hollebrands, K. (2008). Preparing to teach mathematics with technology: An integrated approach to developing technological pedagogical content knowledge. </w:t>
      </w:r>
      <w:r>
        <w:rPr>
          <w:i/>
        </w:rPr>
        <w:t>Contemporary Issues in Technology and Teacher Education, 8</w:t>
      </w:r>
      <w:r>
        <w:t>(4), 326-341.</w:t>
      </w:r>
    </w:p>
    <w:p w14:paraId="7B78CF52" w14:textId="77777777" w:rsidR="00EA1DFF" w:rsidRDefault="00EA1DFF" w:rsidP="00EA1DFF">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64B66C22" w14:textId="77777777" w:rsidR="00EA1DFF" w:rsidRDefault="00EA1DFF" w:rsidP="00EA1DFF">
      <w:pPr>
        <w:pStyle w:val="BodyText"/>
        <w:ind w:left="720" w:hanging="720"/>
      </w:pPr>
      <w:r>
        <w:t xml:space="preserve">Lehrer, R., &amp; Romberg, T. (1996). Exploring children’s data modeling. </w:t>
      </w:r>
      <w:r>
        <w:rPr>
          <w:i/>
        </w:rPr>
        <w:t>Cognition and Instruction, 14</w:t>
      </w:r>
      <w:r>
        <w:t>(1), 69-108.</w:t>
      </w:r>
    </w:p>
    <w:p w14:paraId="455F3695" w14:textId="77777777" w:rsidR="00EA1DFF" w:rsidRDefault="00EA1DFF" w:rsidP="00EA1DFF">
      <w:pPr>
        <w:pStyle w:val="BodyText"/>
        <w:ind w:left="720" w:hanging="720"/>
      </w:pPr>
      <w:r>
        <w:t xml:space="preserve">Lehrer, R., &amp; Schauble, L. (2004). Modeling natural variation through distribution. </w:t>
      </w:r>
      <w:r>
        <w:rPr>
          <w:i/>
        </w:rPr>
        <w:t>American Educational Research Journal, 41</w:t>
      </w:r>
      <w:r>
        <w:t>(3), 635-679.</w:t>
      </w:r>
    </w:p>
    <w:p w14:paraId="70BDD0FC" w14:textId="77777777" w:rsidR="00EA1DFF" w:rsidRDefault="00EA1DFF" w:rsidP="00EA1DFF">
      <w:pPr>
        <w:pStyle w:val="BodyText"/>
        <w:ind w:left="720" w:hanging="720"/>
      </w:pPr>
      <w:r>
        <w:lastRenderedPageBreak/>
        <w:t xml:space="preserve">Lehrer, R. &amp; Schauble, L. (2015). </w:t>
      </w:r>
      <w:r>
        <w:rPr>
          <w:i/>
        </w:rPr>
        <w:t>Developing scientific thinking</w:t>
      </w:r>
      <w:r>
        <w:t>. In L. S. Liben &amp; U. Müller (Eds.), Cognitive processes. Handbook of child psychology and developmental science (Vol. 2, 7th ed., pp. 671-174). Hoboken, NJ: Wiley.</w:t>
      </w:r>
    </w:p>
    <w:p w14:paraId="3D07521A" w14:textId="77777777" w:rsidR="00EA1DFF" w:rsidRDefault="00EA1DFF" w:rsidP="00EA1DFF">
      <w:pPr>
        <w:pStyle w:val="BodyText"/>
        <w:ind w:left="720" w:hanging="720"/>
      </w:pPr>
      <w:r>
        <w:t xml:space="preserve">Lehrer, R., Kim, M. J., &amp; Jones, R. S. (2011). Developing conceptions of statistics by designing measures of distribution. </w:t>
      </w:r>
      <w:r>
        <w:rPr>
          <w:i/>
        </w:rPr>
        <w:t>ZDM, 43</w:t>
      </w:r>
      <w:r>
        <w:t>(5), 723-736.</w:t>
      </w:r>
    </w:p>
    <w:p w14:paraId="5CE58157" w14:textId="77777777" w:rsidR="00EA1DFF" w:rsidRDefault="00EA1DFF" w:rsidP="00EA1DFF">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6B9FD4E6" w14:textId="77777777" w:rsidR="00EA1DFF" w:rsidRDefault="00EA1DFF" w:rsidP="00EA1DFF">
      <w:pPr>
        <w:pStyle w:val="BodyText"/>
        <w:ind w:left="720" w:hanging="720"/>
      </w:pPr>
      <w:r>
        <w:t xml:space="preserve">Lesh, R., Middleton, J. A., Caylor, E., &amp; Gupta, S. (2008). A science need: Designing tasks to engage students in modeling complex data. </w:t>
      </w:r>
      <w:r>
        <w:rPr>
          <w:i/>
        </w:rPr>
        <w:t>Educational Studies in Mathematics, 68</w:t>
      </w:r>
      <w:r>
        <w:t>(2), 113-130.</w:t>
      </w:r>
    </w:p>
    <w:p w14:paraId="6DB763C7" w14:textId="77777777" w:rsidR="00EA1DFF" w:rsidRDefault="00EA1DFF" w:rsidP="00EA1DFF">
      <w:pPr>
        <w:pStyle w:val="BodyText"/>
        <w:ind w:left="720" w:hanging="720"/>
      </w:pPr>
      <w:r>
        <w:t>McNeill, K. L., &amp; Berland, L. (2017). What is (or should be) scientific evidence use in k</w:t>
      </w:r>
      <w:r>
        <w:rPr>
          <w:rFonts w:ascii="Cambria Math" w:hAnsi="Cambria Math" w:cs="Cambria Math"/>
        </w:rPr>
        <w:t>‐</w:t>
      </w:r>
      <w:r>
        <w:t xml:space="preserve">12 classrooms? </w:t>
      </w:r>
      <w:r>
        <w:rPr>
          <w:i/>
        </w:rPr>
        <w:t>Journal of Research in Science Teaching, 54</w:t>
      </w:r>
      <w:r>
        <w:t>(5), 672-689.</w:t>
      </w:r>
    </w:p>
    <w:p w14:paraId="2F7BBC9C" w14:textId="77777777" w:rsidR="00EA1DFF" w:rsidRDefault="00EA1DFF" w:rsidP="00EA1DFF">
      <w:pPr>
        <w:pStyle w:val="BodyText"/>
        <w:ind w:left="720" w:hanging="720"/>
      </w:pPr>
      <w:r>
        <w:t xml:space="preserve">Muthén, B. (2004). </w:t>
      </w:r>
      <w:r>
        <w:rPr>
          <w:i/>
        </w:rPr>
        <w:t>Latent variable analysis</w:t>
      </w:r>
      <w:r>
        <w:t>. The Sage handbook of quantitative methodology for the social sciences. Thousand Oaks, CA: Sage Publications, 345-68.</w:t>
      </w:r>
    </w:p>
    <w:p w14:paraId="38FF7521" w14:textId="77777777" w:rsidR="00EA1DFF" w:rsidRDefault="00EA1DFF" w:rsidP="00EA1DFF">
      <w:pPr>
        <w:pStyle w:val="BodyText"/>
        <w:ind w:left="720" w:hanging="720"/>
      </w:pPr>
      <w:r>
        <w:t xml:space="preserve">Muthén, L. K., &amp; Muthén, B. O. (1997-2017). </w:t>
      </w:r>
      <w:r>
        <w:rPr>
          <w:i/>
        </w:rPr>
        <w:t>Mplus User’s Guid</w:t>
      </w:r>
      <w:r>
        <w:t>e. Los Angeles, CA: Muthén &amp; Muthén.</w:t>
      </w:r>
    </w:p>
    <w:p w14:paraId="3B3D3F44" w14:textId="77777777" w:rsidR="00EA1DFF" w:rsidRDefault="00EA1DFF" w:rsidP="00EA1DFF">
      <w:pPr>
        <w:pStyle w:val="BodyText"/>
        <w:ind w:left="720" w:hanging="720"/>
      </w:pPr>
      <w:r>
        <w:t xml:space="preserve">NGSS Lead States. (2013). </w:t>
      </w:r>
      <w:r>
        <w:rPr>
          <w:i/>
        </w:rPr>
        <w:t>Next generation science standards: For states, by states</w:t>
      </w:r>
      <w:r>
        <w:t>. Washington, DC: National Academies Press.</w:t>
      </w:r>
    </w:p>
    <w:p w14:paraId="37B0EA19" w14:textId="77777777" w:rsidR="00EA1DFF" w:rsidRDefault="00EA1DFF" w:rsidP="00EA1DFF">
      <w:pPr>
        <w:pStyle w:val="BodyText"/>
        <w:ind w:left="720" w:hanging="720"/>
      </w:pPr>
      <w:r>
        <w:lastRenderedPageBreak/>
        <w:t xml:space="preserve">Petrosino, A., Lehrer, R., &amp; Schauble, L. (2003). Structuring error and experimental variation as distribution in the fourth grade. </w:t>
      </w:r>
      <w:r>
        <w:rPr>
          <w:i/>
        </w:rPr>
        <w:t>Mathematical Thinking and Learning, 5</w:t>
      </w:r>
      <w:r>
        <w:t>(2&amp;3), 131-156.</w:t>
      </w:r>
    </w:p>
    <w:p w14:paraId="1911851F" w14:textId="77777777" w:rsidR="00EA1DFF" w:rsidRDefault="00EA1DFF" w:rsidP="00EA1DFF">
      <w:pPr>
        <w:pStyle w:val="BodyText"/>
        <w:ind w:left="720" w:hanging="720"/>
      </w:pPr>
      <w:r>
        <w:t xml:space="preserve">Rosenberg, J. M., Schmidt, J. A., &amp; Beymer, P. N. (2018). </w:t>
      </w:r>
      <w:r>
        <w:rPr>
          <w:i/>
        </w:rPr>
        <w:t>tidyLPA: Easily carry out Latent Profile Analysis</w:t>
      </w:r>
      <w:r>
        <w:t xml:space="preserve">. </w:t>
      </w:r>
      <w:hyperlink r:id="rId18">
        <w:r>
          <w:rPr>
            <w:rStyle w:val="Hyperlink"/>
          </w:rPr>
          <w:t>https://cran.r-project.org/web/packages/tidyLPA/index.html</w:t>
        </w:r>
      </w:hyperlink>
    </w:p>
    <w:p w14:paraId="502CA70A" w14:textId="77777777" w:rsidR="00EA1DFF" w:rsidRDefault="00EA1DFF" w:rsidP="00EA1DFF">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19">
        <w:r>
          <w:rPr>
            <w:rStyle w:val="Hyperlink"/>
          </w:rPr>
          <w:t>https://dx.doi.org/10.1002/tea.21409</w:t>
        </w:r>
      </w:hyperlink>
    </w:p>
    <w:p w14:paraId="5C110DFD" w14:textId="77777777" w:rsidR="00EA1DFF" w:rsidRDefault="00EA1DFF" w:rsidP="00EA1DFF">
      <w:pPr>
        <w:pStyle w:val="BodyText"/>
        <w:ind w:left="720" w:hanging="720"/>
      </w:pPr>
      <w:r>
        <w:t xml:space="preserve">Sinatra, G. M., Heddy, B. C., &amp; Lombardi, D. (2015). The challenges of defining and measuring student engagement in science. </w:t>
      </w:r>
      <w:r>
        <w:rPr>
          <w:i/>
        </w:rPr>
        <w:t>Educational Psychologist, 50</w:t>
      </w:r>
      <w:r>
        <w:t xml:space="preserve">(1), 1-13. </w:t>
      </w:r>
      <w:hyperlink r:id="rId20">
        <w:r>
          <w:rPr>
            <w:rStyle w:val="Hyperlink"/>
          </w:rPr>
          <w:t>doi:10.1080/00461520.2014.1002924</w:t>
        </w:r>
      </w:hyperlink>
    </w:p>
    <w:p w14:paraId="15527735" w14:textId="77777777" w:rsidR="00EA1DFF" w:rsidRDefault="00EA1DFF" w:rsidP="00EA1DFF">
      <w:pPr>
        <w:pStyle w:val="BodyText"/>
        <w:ind w:left="720" w:hanging="720"/>
      </w:pPr>
      <w:r>
        <w:t>Stroupe, D. (2014). Examining classroom science practice communities: How teachers and students negotiate epistemic agency and learn science</w:t>
      </w:r>
      <w:r>
        <w:rPr>
          <w:rFonts w:ascii="Cambria Math" w:hAnsi="Cambria Math" w:cs="Cambria Math"/>
        </w:rPr>
        <w:t>‐</w:t>
      </w:r>
      <w:r>
        <w:t>as</w:t>
      </w:r>
      <w:r>
        <w:rPr>
          <w:rFonts w:ascii="Cambria Math" w:hAnsi="Cambria Math" w:cs="Cambria Math"/>
        </w:rPr>
        <w:t>‐</w:t>
      </w:r>
      <w:r>
        <w:t xml:space="preserve">practice. </w:t>
      </w:r>
      <w:r>
        <w:rPr>
          <w:i/>
        </w:rPr>
        <w:t>Science Education, 98</w:t>
      </w:r>
      <w:r>
        <w:t>(3), 487-516.</w:t>
      </w:r>
    </w:p>
    <w:p w14:paraId="17B3ECFF" w14:textId="77777777" w:rsidR="00EA1DFF" w:rsidRDefault="00EA1DFF" w:rsidP="00EA1DFF">
      <w:pPr>
        <w:pStyle w:val="BodyText"/>
        <w:ind w:left="720" w:hanging="720"/>
      </w:pPr>
      <w:r>
        <w:t xml:space="preserve">Vandell, D. L., Hall, V., O’Cadiz, P., &amp; Karsh, A. (2012). </w:t>
      </w:r>
      <w:r>
        <w:rPr>
          <w:i/>
        </w:rPr>
        <w:t>Piloting outcome measures for summer learning initiative programs</w:t>
      </w:r>
      <w:r>
        <w:t xml:space="preserve">. Final report to the David and Lucile Packard Foundation, Children, Families, and Communities Program. Retrieved from </w:t>
      </w:r>
      <w:hyperlink r:id="rId21">
        <w:r>
          <w:rPr>
            <w:rStyle w:val="Hyperlink"/>
          </w:rPr>
          <w:t>http://faculty.sites.uci.edu/childcare/files/2013/07/SL-Outcomes-2011-Pilot_Edited_8.19.pdf</w:t>
        </w:r>
      </w:hyperlink>
    </w:p>
    <w:p w14:paraId="6C97A3B6" w14:textId="77777777" w:rsidR="00EA1DFF" w:rsidRDefault="00EA1DFF" w:rsidP="00EA1DFF">
      <w:pPr>
        <w:pStyle w:val="BodyText"/>
        <w:ind w:left="720" w:hanging="720"/>
      </w:pPr>
      <w:r>
        <w:t xml:space="preserve">Weisberg, M. (2012). </w:t>
      </w:r>
      <w:r>
        <w:rPr>
          <w:i/>
        </w:rPr>
        <w:t>Simulation and similarity: Using models to understand the world</w:t>
      </w:r>
      <w:r>
        <w:t>. Oxford University Press: Oxford, England.</w:t>
      </w:r>
    </w:p>
    <w:p w14:paraId="10707C59" w14:textId="77777777" w:rsidR="00EA1DFF" w:rsidRDefault="00EA1DFF" w:rsidP="00EA1DFF">
      <w:pPr>
        <w:pStyle w:val="BodyText"/>
        <w:ind w:left="720" w:hanging="720"/>
      </w:pPr>
      <w:r>
        <w:lastRenderedPageBreak/>
        <w:t xml:space="preserve">Wild, C. J., &amp; Pfannkuch, M. (1999). Statistical thinking in empirical enquiry. </w:t>
      </w:r>
      <w:r>
        <w:rPr>
          <w:i/>
        </w:rPr>
        <w:t>International Statistical Review, 67</w:t>
      </w:r>
      <w:r>
        <w:t>(3), 223-248.</w:t>
      </w:r>
    </w:p>
    <w:p w14:paraId="4B4CDB6B" w14:textId="77777777" w:rsidR="00EA1DFF" w:rsidRDefault="00EA1DFF">
      <w:pPr>
        <w:rPr>
          <w:rFonts w:ascii="Times New Roman" w:hAnsi="Times New Roman"/>
        </w:rPr>
      </w:pPr>
      <w:r>
        <w:br w:type="page"/>
      </w:r>
    </w:p>
    <w:p w14:paraId="5101CE2C" w14:textId="465F264B" w:rsidR="006E715B" w:rsidRDefault="006E715B" w:rsidP="006E715B">
      <w:pPr>
        <w:pStyle w:val="BodyText"/>
        <w:ind w:left="720" w:hanging="720"/>
        <w:jc w:val="center"/>
      </w:pPr>
      <w:r>
        <w:lastRenderedPageBreak/>
        <w:t>Appendix A: Descriptions for the Nine Summer STEM Programs.</w:t>
      </w:r>
    </w:p>
    <w:p w14:paraId="75975A6A" w14:textId="7574F8FB"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69269553"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2EB7357" w:rsidR="006E715B" w:rsidRDefault="006E715B" w:rsidP="006E715B">
      <w:pPr>
        <w:pStyle w:val="BodyText"/>
        <w:ind w:left="720" w:hanging="720"/>
      </w:pPr>
      <w:r>
        <w:lastRenderedPageBreak/>
        <w:t>Comunidad de Aprendizaje: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w:t>
      </w:r>
      <w:r>
        <w:lastRenderedPageBreak/>
        <w:t>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1ADF0812"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3C31621" w:rsidR="006E715B" w:rsidRDefault="006E715B" w:rsidP="006E715B">
      <w:pPr>
        <w:pStyle w:val="BodyText"/>
        <w:ind w:left="720" w:hanging="720"/>
      </w:pPr>
      <w: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2"/>
      <w:headerReference w:type="default" r:id="rId23"/>
      <w:headerReference w:type="first" r:id="rId24"/>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senberg, Joshua" w:date="2019-01-18T16:36:00Z" w:initials="RJ">
    <w:p w14:paraId="6EB7F43A" w14:textId="77777777" w:rsidR="00CA3205" w:rsidRDefault="00CA3205">
      <w:pPr>
        <w:pStyle w:val="CommentText"/>
      </w:pPr>
      <w:r>
        <w:rPr>
          <w:rStyle w:val="CommentReference"/>
        </w:rPr>
        <w:annotationRef/>
      </w:r>
      <w:r>
        <w:t>To do:</w:t>
      </w:r>
    </w:p>
    <w:p w14:paraId="75A3504A" w14:textId="44BC2B07" w:rsidR="00CA3205" w:rsidRDefault="00CA3205">
      <w:pPr>
        <w:pStyle w:val="CommentText"/>
      </w:pPr>
    </w:p>
    <w:p w14:paraId="256BADD8" w14:textId="0C0747E1" w:rsidR="00CA3205" w:rsidRDefault="00CA3205">
      <w:pPr>
        <w:pStyle w:val="CommentText"/>
      </w:pPr>
      <w:r>
        <w:t xml:space="preserve">Discussion </w:t>
      </w:r>
      <w:r w:rsidR="00581BD4">
        <w:t>– emphasize lack of findings and why</w:t>
      </w:r>
    </w:p>
    <w:p w14:paraId="295E18BC" w14:textId="513B305C" w:rsidR="003B6CAC" w:rsidRDefault="003B6CAC">
      <w:pPr>
        <w:pStyle w:val="CommentText"/>
      </w:pPr>
      <w:r>
        <w:t>Coding frame</w:t>
      </w:r>
      <w:r w:rsidR="00581BD4">
        <w:t xml:space="preserve"> – discuss reliability from changes doc more</w:t>
      </w:r>
      <w:bookmarkStart w:id="1" w:name="_GoBack"/>
      <w:bookmarkEnd w:id="1"/>
    </w:p>
  </w:comment>
  <w:comment w:id="10"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11"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2"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3" w:author="Matthew Koehler" w:date="2019-01-14T12:12:00Z" w:initials="MK">
    <w:p w14:paraId="348C0880" w14:textId="77777777" w:rsidR="006265B0" w:rsidRDefault="006265B0" w:rsidP="006265B0">
      <w:pPr>
        <w:pStyle w:val="CommentText"/>
      </w:pPr>
      <w:r>
        <w:rPr>
          <w:rStyle w:val="CommentReference"/>
        </w:rPr>
        <w:annotationRef/>
      </w:r>
      <w:r>
        <w:t>I argue that how the profiles were determined and what the six profiles that emerged were, should be covered in methods – it’s a methodological consideration.</w:t>
      </w:r>
    </w:p>
    <w:p w14:paraId="7B2EDE47" w14:textId="77777777" w:rsidR="006265B0" w:rsidRDefault="006265B0" w:rsidP="006265B0">
      <w:pPr>
        <w:pStyle w:val="CommentText"/>
      </w:pPr>
    </w:p>
    <w:p w14:paraId="50124A72" w14:textId="77777777" w:rsidR="006265B0" w:rsidRDefault="006265B0" w:rsidP="006265B0">
      <w:pPr>
        <w:pStyle w:val="CommentText"/>
      </w:pPr>
      <w:r>
        <w:t>That would leave the results to more clearly address what the answers are to the research questions.</w:t>
      </w:r>
    </w:p>
    <w:p w14:paraId="68BECC9B" w14:textId="77777777" w:rsidR="006265B0" w:rsidRDefault="006265B0" w:rsidP="006265B0">
      <w:pPr>
        <w:pStyle w:val="CommentText"/>
      </w:pPr>
    </w:p>
    <w:p w14:paraId="7ABC444D" w14:textId="77777777" w:rsidR="006265B0" w:rsidRDefault="006265B0" w:rsidP="006265B0">
      <w:pPr>
        <w:pStyle w:val="CommentText"/>
      </w:pPr>
    </w:p>
    <w:p w14:paraId="239530B1" w14:textId="77777777" w:rsidR="006265B0" w:rsidRDefault="006265B0" w:rsidP="006265B0">
      <w:pPr>
        <w:pStyle w:val="CommentText"/>
      </w:pPr>
      <w:r>
        <w:t>Also, having the profiles explained here, well after they are graphed in figure 3 and 4 will confuse readers.</w:t>
      </w:r>
    </w:p>
    <w:p w14:paraId="2D79AD60" w14:textId="77777777" w:rsidR="006265B0" w:rsidRDefault="006265B0" w:rsidP="006265B0">
      <w:pPr>
        <w:pStyle w:val="CommentText"/>
      </w:pPr>
    </w:p>
  </w:comment>
  <w:comment w:id="37" w:author="Rosenberg, Joshua" w:date="2019-01-18T16:27:00Z" w:initials="RJ">
    <w:p w14:paraId="5B56FB73" w14:textId="4096A104" w:rsidR="00E5456B" w:rsidRDefault="00E5456B">
      <w:pPr>
        <w:pStyle w:val="CommentText"/>
      </w:pPr>
      <w:r>
        <w:rPr>
          <w:rStyle w:val="CommentReference"/>
        </w:rPr>
        <w:annotationRef/>
      </w:r>
      <w:r>
        <w:t>Maximize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5E18BC" w15:done="0"/>
  <w15:commentEx w15:paraId="7EB31E41" w15:done="0"/>
  <w15:commentEx w15:paraId="5E05CE04" w15:paraIdParent="7EB31E41" w15:done="0"/>
  <w15:commentEx w15:paraId="4952F8D8" w15:done="0"/>
  <w15:commentEx w15:paraId="2D79AD60" w15:done="0"/>
  <w15:commentEx w15:paraId="5B56FB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5E18BC" w16cid:durableId="1FEC7F19"/>
  <w16cid:commentId w16cid:paraId="7EB31E41" w16cid:durableId="1FE6F84B"/>
  <w16cid:commentId w16cid:paraId="5E05CE04" w16cid:durableId="1FEAC512"/>
  <w16cid:commentId w16cid:paraId="4952F8D8" w16cid:durableId="1FE6F8F4"/>
  <w16cid:commentId w16cid:paraId="2D79AD60" w16cid:durableId="1FE6FB47"/>
  <w16cid:commentId w16cid:paraId="5B56FB73" w16cid:durableId="1FEC7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23E3A" w14:textId="77777777" w:rsidR="00FC7D43" w:rsidRDefault="00FC7D43">
      <w:pPr>
        <w:spacing w:after="0"/>
      </w:pPr>
      <w:r>
        <w:separator/>
      </w:r>
    </w:p>
  </w:endnote>
  <w:endnote w:type="continuationSeparator" w:id="0">
    <w:p w14:paraId="13AAB2A8" w14:textId="77777777" w:rsidR="00FC7D43" w:rsidRDefault="00FC7D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05085" w14:textId="77777777" w:rsidR="00FC7D43" w:rsidRDefault="00FC7D43">
      <w:r>
        <w:separator/>
      </w:r>
    </w:p>
  </w:footnote>
  <w:footnote w:type="continuationSeparator" w:id="0">
    <w:p w14:paraId="7B7A6D8F" w14:textId="77777777" w:rsidR="00FC7D43" w:rsidRDefault="00FC7D43">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5E30"/>
    <w:rsid w:val="00020F54"/>
    <w:rsid w:val="000220CB"/>
    <w:rsid w:val="0002231D"/>
    <w:rsid w:val="00025E5A"/>
    <w:rsid w:val="00044028"/>
    <w:rsid w:val="00047CA0"/>
    <w:rsid w:val="000626A2"/>
    <w:rsid w:val="00084BC1"/>
    <w:rsid w:val="00090065"/>
    <w:rsid w:val="00093BF5"/>
    <w:rsid w:val="00097511"/>
    <w:rsid w:val="000A08D2"/>
    <w:rsid w:val="000D7B73"/>
    <w:rsid w:val="000E105D"/>
    <w:rsid w:val="000E2766"/>
    <w:rsid w:val="00103E10"/>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975FF"/>
    <w:rsid w:val="001A3A03"/>
    <w:rsid w:val="001A4CAE"/>
    <w:rsid w:val="001D2B94"/>
    <w:rsid w:val="001D4FA8"/>
    <w:rsid w:val="001E7E52"/>
    <w:rsid w:val="001F5F84"/>
    <w:rsid w:val="00216BE0"/>
    <w:rsid w:val="002216E3"/>
    <w:rsid w:val="00231B75"/>
    <w:rsid w:val="0023797A"/>
    <w:rsid w:val="002574A8"/>
    <w:rsid w:val="00261612"/>
    <w:rsid w:val="00265F7D"/>
    <w:rsid w:val="0026634E"/>
    <w:rsid w:val="00266AD6"/>
    <w:rsid w:val="0027285A"/>
    <w:rsid w:val="0027583B"/>
    <w:rsid w:val="0028354C"/>
    <w:rsid w:val="00291F87"/>
    <w:rsid w:val="002B5706"/>
    <w:rsid w:val="002D0490"/>
    <w:rsid w:val="002D3631"/>
    <w:rsid w:val="002E0CE8"/>
    <w:rsid w:val="002E18DA"/>
    <w:rsid w:val="002E4AF3"/>
    <w:rsid w:val="002E5BB8"/>
    <w:rsid w:val="00302ECC"/>
    <w:rsid w:val="00331748"/>
    <w:rsid w:val="0033554E"/>
    <w:rsid w:val="0035006E"/>
    <w:rsid w:val="003604E7"/>
    <w:rsid w:val="00381ED6"/>
    <w:rsid w:val="00394620"/>
    <w:rsid w:val="003A5EB9"/>
    <w:rsid w:val="003B175F"/>
    <w:rsid w:val="003B6CAC"/>
    <w:rsid w:val="003D7849"/>
    <w:rsid w:val="003F603A"/>
    <w:rsid w:val="00402B57"/>
    <w:rsid w:val="0040382F"/>
    <w:rsid w:val="00411C72"/>
    <w:rsid w:val="0041479C"/>
    <w:rsid w:val="00425F39"/>
    <w:rsid w:val="004335CE"/>
    <w:rsid w:val="0043434E"/>
    <w:rsid w:val="004413EB"/>
    <w:rsid w:val="00465C86"/>
    <w:rsid w:val="00480FAA"/>
    <w:rsid w:val="0048220D"/>
    <w:rsid w:val="004A3567"/>
    <w:rsid w:val="004B2B20"/>
    <w:rsid w:val="004C2FE4"/>
    <w:rsid w:val="004E0D1C"/>
    <w:rsid w:val="004E29B3"/>
    <w:rsid w:val="004F071D"/>
    <w:rsid w:val="004F2855"/>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BD4"/>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5957"/>
    <w:rsid w:val="007078EA"/>
    <w:rsid w:val="00707A7D"/>
    <w:rsid w:val="007402C3"/>
    <w:rsid w:val="00744518"/>
    <w:rsid w:val="00745C52"/>
    <w:rsid w:val="00766011"/>
    <w:rsid w:val="0076729B"/>
    <w:rsid w:val="007678FD"/>
    <w:rsid w:val="0078237A"/>
    <w:rsid w:val="00784D58"/>
    <w:rsid w:val="00791196"/>
    <w:rsid w:val="007953FA"/>
    <w:rsid w:val="007A58E6"/>
    <w:rsid w:val="007B1132"/>
    <w:rsid w:val="007B23E0"/>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356E"/>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823"/>
    <w:rsid w:val="009F1D1D"/>
    <w:rsid w:val="009F2C5E"/>
    <w:rsid w:val="00A05DB7"/>
    <w:rsid w:val="00A10FB3"/>
    <w:rsid w:val="00A2143C"/>
    <w:rsid w:val="00A23CC5"/>
    <w:rsid w:val="00A23D5F"/>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94B"/>
    <w:rsid w:val="00AD01F2"/>
    <w:rsid w:val="00AD3B41"/>
    <w:rsid w:val="00AE0376"/>
    <w:rsid w:val="00AE16CF"/>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5675A"/>
    <w:rsid w:val="00B764F4"/>
    <w:rsid w:val="00B86B75"/>
    <w:rsid w:val="00B87979"/>
    <w:rsid w:val="00B95BE3"/>
    <w:rsid w:val="00BA47FB"/>
    <w:rsid w:val="00BB3A26"/>
    <w:rsid w:val="00BB442E"/>
    <w:rsid w:val="00BB55A3"/>
    <w:rsid w:val="00BC48D5"/>
    <w:rsid w:val="00BD1AC0"/>
    <w:rsid w:val="00BE0D96"/>
    <w:rsid w:val="00BE2F01"/>
    <w:rsid w:val="00BE59E9"/>
    <w:rsid w:val="00BF2B9D"/>
    <w:rsid w:val="00C055D0"/>
    <w:rsid w:val="00C12241"/>
    <w:rsid w:val="00C14C9F"/>
    <w:rsid w:val="00C221CE"/>
    <w:rsid w:val="00C23B0E"/>
    <w:rsid w:val="00C33880"/>
    <w:rsid w:val="00C36279"/>
    <w:rsid w:val="00C41A65"/>
    <w:rsid w:val="00C4379F"/>
    <w:rsid w:val="00C51B64"/>
    <w:rsid w:val="00C624C8"/>
    <w:rsid w:val="00C67779"/>
    <w:rsid w:val="00C67BB8"/>
    <w:rsid w:val="00C74E31"/>
    <w:rsid w:val="00C80C47"/>
    <w:rsid w:val="00C85638"/>
    <w:rsid w:val="00C914CB"/>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7A8"/>
    <w:rsid w:val="00D40AEE"/>
    <w:rsid w:val="00D42118"/>
    <w:rsid w:val="00D44196"/>
    <w:rsid w:val="00D476FE"/>
    <w:rsid w:val="00D608BD"/>
    <w:rsid w:val="00D61643"/>
    <w:rsid w:val="00D6711A"/>
    <w:rsid w:val="00D77623"/>
    <w:rsid w:val="00D82E8F"/>
    <w:rsid w:val="00D840F8"/>
    <w:rsid w:val="00DA4DDC"/>
    <w:rsid w:val="00DB52CA"/>
    <w:rsid w:val="00DC02DF"/>
    <w:rsid w:val="00DC623F"/>
    <w:rsid w:val="00DC639B"/>
    <w:rsid w:val="00DD2292"/>
    <w:rsid w:val="00DD29E1"/>
    <w:rsid w:val="00DD354E"/>
    <w:rsid w:val="00DE04B3"/>
    <w:rsid w:val="00DE0A53"/>
    <w:rsid w:val="00E110BA"/>
    <w:rsid w:val="00E12747"/>
    <w:rsid w:val="00E12751"/>
    <w:rsid w:val="00E14404"/>
    <w:rsid w:val="00E24F9C"/>
    <w:rsid w:val="00E315A3"/>
    <w:rsid w:val="00E31AEA"/>
    <w:rsid w:val="00E353BE"/>
    <w:rsid w:val="00E3580B"/>
    <w:rsid w:val="00E374DB"/>
    <w:rsid w:val="00E42AEE"/>
    <w:rsid w:val="00E46D7A"/>
    <w:rsid w:val="00E5456B"/>
    <w:rsid w:val="00E55A9B"/>
    <w:rsid w:val="00E5665E"/>
    <w:rsid w:val="00E621E1"/>
    <w:rsid w:val="00E6637E"/>
    <w:rsid w:val="00E70E71"/>
    <w:rsid w:val="00E739C7"/>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faculty.sites.uci.edu/childcare/files/2013/07/SL-Outcomes-2011-Pilot_Edited_8.19.pdf" TargetMode="External"/><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hyperlink" Target="http://doi.org/10.1002/j.2161-0045.2015.00097.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s10964-018-0814-9" TargetMode="External"/><Relationship Id="rId20" Type="http://schemas.openxmlformats.org/officeDocument/2006/relationships/hyperlink" Target="doi:10.1080/00461520.2014.10029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header" Target="header2.xml"/><Relationship Id="rId10" Type="http://schemas.openxmlformats.org/officeDocument/2006/relationships/hyperlink" Target="mailto:jmrosenberg@utk.edu" TargetMode="External"/><Relationship Id="rId19" Type="http://schemas.openxmlformats.org/officeDocument/2006/relationships/hyperlink" Target="https://dx.doi.org/10.1002/tea.21409"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52</Pages>
  <Words>12455</Words>
  <Characters>68384</Characters>
  <Application>Microsoft Office Word</Application>
  <DocSecurity>0</DocSecurity>
  <Lines>1221</Lines>
  <Paragraphs>274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27</cp:revision>
  <cp:lastPrinted>2018-10-05T20:16:00Z</cp:lastPrinted>
  <dcterms:created xsi:type="dcterms:W3CDTF">2019-01-21T16:48:00Z</dcterms:created>
  <dcterms:modified xsi:type="dcterms:W3CDTF">2019-01-21T17:18:00Z</dcterms:modified>
</cp:coreProperties>
</file>