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6DE" w:rsidRDefault="00CC66DE">
      <w:pPr>
        <w:spacing w:line="480" w:lineRule="auto"/>
        <w:jc w:val="center"/>
        <w:rPr>
          <w:rFonts w:ascii="Times New Roman" w:eastAsia="Times New Roman" w:hAnsi="Times New Roman" w:cs="Times New Roman"/>
          <w:sz w:val="24"/>
          <w:szCs w:val="24"/>
        </w:rPr>
      </w:pPr>
    </w:p>
    <w:p w:rsidR="00CC66DE" w:rsidRDefault="00CC66DE">
      <w:pPr>
        <w:spacing w:line="480" w:lineRule="auto"/>
        <w:jc w:val="center"/>
        <w:rPr>
          <w:rFonts w:ascii="Times New Roman" w:eastAsia="Times New Roman" w:hAnsi="Times New Roman" w:cs="Times New Roman"/>
          <w:sz w:val="24"/>
          <w:szCs w:val="24"/>
        </w:rPr>
      </w:pPr>
    </w:p>
    <w:p w:rsidR="00CC66DE" w:rsidRDefault="00CC66DE">
      <w:pPr>
        <w:spacing w:line="480" w:lineRule="auto"/>
        <w:rPr>
          <w:rFonts w:ascii="Times New Roman" w:eastAsia="Times New Roman" w:hAnsi="Times New Roman" w:cs="Times New Roman"/>
          <w:sz w:val="24"/>
          <w:szCs w:val="24"/>
        </w:rPr>
      </w:pPr>
    </w:p>
    <w:p w:rsidR="00CC66DE" w:rsidRDefault="00CC66DE">
      <w:pPr>
        <w:spacing w:line="480" w:lineRule="auto"/>
        <w:jc w:val="center"/>
        <w:rPr>
          <w:rFonts w:ascii="Times New Roman" w:eastAsia="Times New Roman" w:hAnsi="Times New Roman" w:cs="Times New Roman"/>
          <w:sz w:val="24"/>
          <w:szCs w:val="24"/>
        </w:rPr>
      </w:pP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engagement during out-of-school time STEM programs promotes the development of youths’ interest in STEM domains</w:t>
      </w:r>
    </w:p>
    <w:p w:rsidR="00CC66DE" w:rsidRDefault="00CC66DE">
      <w:pPr>
        <w:spacing w:line="480" w:lineRule="auto"/>
        <w:jc w:val="center"/>
        <w:rPr>
          <w:rFonts w:ascii="Times New Roman" w:eastAsia="Times New Roman" w:hAnsi="Times New Roman" w:cs="Times New Roman"/>
          <w:sz w:val="24"/>
          <w:szCs w:val="24"/>
        </w:rPr>
      </w:pP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Joshua M. Rosenberg, Patrick N. Beymer, and Jennifer A. Schmidt</w:t>
      </w: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Michigan State University</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 Paper to be presented at the Annual Meeting of the American Educational Research Association, New York, NY. Correspondence regarding this manuscript may be directed to Joshua Rosenberg (</w:t>
      </w:r>
      <w:hyperlink r:id="rId7">
        <w:r>
          <w:rPr>
            <w:rFonts w:ascii="Times New Roman" w:eastAsia="Times New Roman" w:hAnsi="Times New Roman" w:cs="Times New Roman"/>
            <w:color w:val="1155CC"/>
            <w:sz w:val="24"/>
            <w:szCs w:val="24"/>
            <w:u w:val="single"/>
          </w:rPr>
          <w:t>jrosen@msu.edu</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CC66DE" w:rsidRDefault="00CC66DE">
      <w:pPr>
        <w:spacing w:line="480" w:lineRule="auto"/>
        <w:jc w:val="center"/>
        <w:rPr>
          <w:rFonts w:ascii="Times New Roman" w:eastAsia="Times New Roman" w:hAnsi="Times New Roman" w:cs="Times New Roman"/>
          <w:sz w:val="24"/>
          <w:szCs w:val="24"/>
        </w:rPr>
      </w:pP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material is based upon work supported by the National Science Foundation under Grant No: DRL-1421198. Any opinions, findings, conclusions, or recommendations expressed in this material are those of the authors and do not reflect the views of the Na</w:t>
      </w:r>
      <w:r>
        <w:rPr>
          <w:rFonts w:ascii="Times New Roman" w:eastAsia="Times New Roman" w:hAnsi="Times New Roman" w:cs="Times New Roman"/>
          <w:sz w:val="24"/>
          <w:szCs w:val="24"/>
        </w:rPr>
        <w:t xml:space="preserve">tional Science Foundation. </w:t>
      </w:r>
    </w:p>
    <w:p w:rsidR="00CC66DE" w:rsidRDefault="00CC66DE">
      <w:pPr>
        <w:spacing w:line="480" w:lineRule="auto"/>
        <w:jc w:val="center"/>
        <w:rPr>
          <w:rFonts w:ascii="Times New Roman" w:eastAsia="Times New Roman" w:hAnsi="Times New Roman" w:cs="Times New Roman"/>
          <w:sz w:val="24"/>
          <w:szCs w:val="24"/>
        </w:rPr>
      </w:pPr>
    </w:p>
    <w:p w:rsidR="00CC66DE" w:rsidRDefault="00CC66DE">
      <w:pPr>
        <w:spacing w:line="480" w:lineRule="auto"/>
        <w:jc w:val="center"/>
        <w:rPr>
          <w:rFonts w:ascii="Times New Roman" w:eastAsia="Times New Roman" w:hAnsi="Times New Roman" w:cs="Times New Roman"/>
          <w:sz w:val="24"/>
          <w:szCs w:val="24"/>
        </w:rPr>
      </w:pPr>
    </w:p>
    <w:p w:rsidR="00CC66DE" w:rsidRDefault="00CC66DE">
      <w:pPr>
        <w:spacing w:line="480" w:lineRule="auto"/>
        <w:rPr>
          <w:rFonts w:ascii="Times New Roman" w:eastAsia="Times New Roman" w:hAnsi="Times New Roman" w:cs="Times New Roman"/>
          <w:sz w:val="24"/>
          <w:szCs w:val="24"/>
        </w:rPr>
      </w:pPr>
    </w:p>
    <w:p w:rsidR="00AC1815"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C66DE" w:rsidRDefault="000E3E7F" w:rsidP="00AC181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Recently, out-of-school-time programs focusing on science, technology, engineering, and mathematics (STEM) have proliferated in order to combat declines in STEM interest during adolescence (Brophy, 2008; National Academy of </w:t>
      </w:r>
      <w:r>
        <w:rPr>
          <w:rFonts w:ascii="Times New Roman" w:eastAsia="Times New Roman" w:hAnsi="Times New Roman" w:cs="Times New Roman"/>
          <w:sz w:val="24"/>
          <w:szCs w:val="24"/>
        </w:rPr>
        <w:t>Engineering and National Research Council, 2014; OECD, 2016) and to meet the demands of a rapidly growing STEM workforce (Fayer et al., 2017). Though many have argued that contexts for learning outside of the school setting have an important role to play i</w:t>
      </w:r>
      <w:r>
        <w:rPr>
          <w:rFonts w:ascii="Times New Roman" w:eastAsia="Times New Roman" w:hAnsi="Times New Roman" w:cs="Times New Roman"/>
          <w:sz w:val="24"/>
          <w:szCs w:val="24"/>
        </w:rPr>
        <w:t xml:space="preserve">n youths’ development of interest (Bell, Lewenstein, Shouse &amp; Feder, 2009; Hidi &amp; Renninger, 2006), relatively little is known about whether and how youths’ interest develops in such contexts.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Contemporary motivational theory suggests that interests emerg</w:t>
      </w:r>
      <w:r>
        <w:rPr>
          <w:rFonts w:ascii="Times New Roman" w:eastAsia="Times New Roman" w:hAnsi="Times New Roman" w:cs="Times New Roman"/>
          <w:sz w:val="24"/>
          <w:szCs w:val="24"/>
        </w:rPr>
        <w:t xml:space="preserve">e from the interactions of an </w:t>
      </w:r>
      <w:r>
        <w:rPr>
          <w:rFonts w:ascii="Times New Roman" w:eastAsia="Times New Roman" w:hAnsi="Times New Roman" w:cs="Times New Roman"/>
          <w:i/>
          <w:sz w:val="24"/>
          <w:szCs w:val="24"/>
        </w:rPr>
        <w:t xml:space="preserve">individual </w:t>
      </w:r>
      <w:r>
        <w:rPr>
          <w:rFonts w:ascii="Times New Roman" w:eastAsia="Times New Roman" w:hAnsi="Times New Roman" w:cs="Times New Roman"/>
          <w:sz w:val="24"/>
          <w:szCs w:val="24"/>
        </w:rPr>
        <w:t xml:space="preserve">in a particular </w:t>
      </w:r>
      <w:r>
        <w:rPr>
          <w:rFonts w:ascii="Times New Roman" w:eastAsia="Times New Roman" w:hAnsi="Times New Roman" w:cs="Times New Roman"/>
          <w:i/>
          <w:sz w:val="24"/>
          <w:szCs w:val="24"/>
        </w:rPr>
        <w:t>environment</w:t>
      </w:r>
      <w:r>
        <w:rPr>
          <w:rFonts w:ascii="Times New Roman" w:eastAsia="Times New Roman" w:hAnsi="Times New Roman" w:cs="Times New Roman"/>
          <w:sz w:val="24"/>
          <w:szCs w:val="24"/>
        </w:rPr>
        <w:t xml:space="preserve">, rather than residing completely within the individual or the environment (Hidi et al., 2004; Prenzel, 1992).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is important to understand the ways that individuals engage with STEM</w:t>
      </w:r>
      <w:r>
        <w:rPr>
          <w:rFonts w:ascii="Times New Roman" w:eastAsia="Times New Roman" w:hAnsi="Times New Roman" w:cs="Times New Roman"/>
          <w:sz w:val="24"/>
          <w:szCs w:val="24"/>
        </w:rPr>
        <w:t>-focused environments in order to understand how STEM-related interests may emerge. The purpose of this paper, then, is to examine whether and how youths’ sustained engagement in summer STEM programming promotes the development of interest in STEM domains.</w:t>
      </w:r>
      <w:r>
        <w:rPr>
          <w:rFonts w:ascii="Times New Roman" w:eastAsia="Times New Roman" w:hAnsi="Times New Roman" w:cs="Times New Roman"/>
          <w:sz w:val="24"/>
          <w:szCs w:val="24"/>
        </w:rPr>
        <w:t xml:space="preserve"> To explore this issue, we employ unique methods of data collection and analysis that allow us to examine the effect of sustained multidimensional engagement in STEM program on the development of youth’s interest over time.</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Out-of-school Time as a Context </w:t>
      </w:r>
      <w:r>
        <w:rPr>
          <w:rFonts w:ascii="Times New Roman" w:eastAsia="Times New Roman" w:hAnsi="Times New Roman" w:cs="Times New Roman"/>
          <w:b/>
          <w:sz w:val="24"/>
          <w:szCs w:val="24"/>
        </w:rPr>
        <w:t>for Interest Development in STEM</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Out-of-school time </w:t>
      </w:r>
      <w:r>
        <w:rPr>
          <w:rFonts w:ascii="Times New Roman" w:eastAsia="Times New Roman" w:hAnsi="Times New Roman" w:cs="Times New Roman"/>
          <w:sz w:val="24"/>
          <w:szCs w:val="24"/>
        </w:rPr>
        <w:t>is an overarching term used to refer to summer programs as well as after-school programs where youth participate in voluntary learning (Lauer et al., 2006). These programs have been touted for their abil</w:t>
      </w:r>
      <w:r>
        <w:rPr>
          <w:rFonts w:ascii="Times New Roman" w:eastAsia="Times New Roman" w:hAnsi="Times New Roman" w:cs="Times New Roman"/>
          <w:sz w:val="24"/>
          <w:szCs w:val="24"/>
        </w:rPr>
        <w:t xml:space="preserve">ity to provide youth with mentors as well as enable youth to further develop their identity (Hirsch et al., 2010). Recently, there has been an influx of out-of-school time programs focused on STEM domains: Such programs are developed with the </w:t>
      </w:r>
      <w:r>
        <w:rPr>
          <w:rFonts w:ascii="Times New Roman" w:eastAsia="Times New Roman" w:hAnsi="Times New Roman" w:cs="Times New Roman"/>
          <w:sz w:val="24"/>
          <w:szCs w:val="24"/>
        </w:rPr>
        <w:lastRenderedPageBreak/>
        <w:t>purpose of in</w:t>
      </w:r>
      <w:r>
        <w:rPr>
          <w:rFonts w:ascii="Times New Roman" w:eastAsia="Times New Roman" w:hAnsi="Times New Roman" w:cs="Times New Roman"/>
          <w:sz w:val="24"/>
          <w:szCs w:val="24"/>
        </w:rPr>
        <w:t xml:space="preserve">creasing youth interest in STEM careers (Dabney et al., 2012; Elam et al., 2012). An emerging body of research provides some evidence that such programs can be effective in achieving this aim. One study showed that youth who attend out-of-school time STEM </w:t>
      </w:r>
      <w:r>
        <w:rPr>
          <w:rFonts w:ascii="Times New Roman" w:eastAsia="Times New Roman" w:hAnsi="Times New Roman" w:cs="Times New Roman"/>
          <w:sz w:val="24"/>
          <w:szCs w:val="24"/>
        </w:rPr>
        <w:t xml:space="preserve">programs have a higher likelihood of choosing STEM career paths (Dabney et al., 2012). Some have suggested that out of school time learning environments might be especially effective at developing interest in STEM (or other) domains because these programs </w:t>
      </w:r>
      <w:r>
        <w:rPr>
          <w:rFonts w:ascii="Times New Roman" w:eastAsia="Times New Roman" w:hAnsi="Times New Roman" w:cs="Times New Roman"/>
          <w:sz w:val="24"/>
          <w:szCs w:val="24"/>
        </w:rPr>
        <w:t>are free from typical school constraints such as set curricula, and therefore are able to focus their time on engaging activities (Renninger, 2007). However, little is known about how one’s level of actual engagement in informal learning settings such as s</w:t>
      </w:r>
      <w:r>
        <w:rPr>
          <w:rFonts w:ascii="Times New Roman" w:eastAsia="Times New Roman" w:hAnsi="Times New Roman" w:cs="Times New Roman"/>
          <w:sz w:val="24"/>
          <w:szCs w:val="24"/>
        </w:rPr>
        <w:t>ummer STEM programs impacts the development of interest. It is critical to understand whether and how interest can develop in these informal programs and whether the degree of one’s engagement in these programs may contribute to this development.</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Interest </w:t>
      </w:r>
      <w:r>
        <w:rPr>
          <w:rFonts w:ascii="Times New Roman" w:eastAsia="Times New Roman" w:hAnsi="Times New Roman" w:cs="Times New Roman"/>
          <w:b/>
          <w:sz w:val="24"/>
          <w:szCs w:val="24"/>
        </w:rPr>
        <w:t>Development</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Hidi and Renninger (2006) describe individual interest as “a relatively enduring disposition to re-engage particular contents over time” (p. 111). They, and other contemporary theorists frame interest as the product of the interaction between </w:t>
      </w:r>
      <w:r>
        <w:rPr>
          <w:rFonts w:ascii="Times New Roman" w:eastAsia="Times New Roman" w:hAnsi="Times New Roman" w:cs="Times New Roman"/>
          <w:sz w:val="24"/>
          <w:szCs w:val="24"/>
        </w:rPr>
        <w:t xml:space="preserve">a person and particular content, and as such, interest is content specific (Hidi et al., 2004; Krapp, 2000; Prentzel, 1992; Renninger &amp; Wozniak, 1985). A person’s enduring interest in STEM content (denoted as </w:t>
      </w:r>
      <w:r>
        <w:rPr>
          <w:rFonts w:ascii="Times New Roman" w:eastAsia="Times New Roman" w:hAnsi="Times New Roman" w:cs="Times New Roman"/>
          <w:i/>
          <w:sz w:val="24"/>
          <w:szCs w:val="24"/>
        </w:rPr>
        <w:t>individual interest</w:t>
      </w:r>
      <w:r>
        <w:rPr>
          <w:rFonts w:ascii="Times New Roman" w:eastAsia="Times New Roman" w:hAnsi="Times New Roman" w:cs="Times New Roman"/>
          <w:sz w:val="24"/>
          <w:szCs w:val="24"/>
        </w:rPr>
        <w:t xml:space="preserve"> by Hidi and Renninger (2006</w:t>
      </w:r>
      <w:r>
        <w:rPr>
          <w:rFonts w:ascii="Times New Roman" w:eastAsia="Times New Roman" w:hAnsi="Times New Roman" w:cs="Times New Roman"/>
          <w:sz w:val="24"/>
          <w:szCs w:val="24"/>
        </w:rPr>
        <w:t>)), for example, is the result of the way that person has interacted with STEM ideas, practices and content over time. These interactions will be shaped by features of the environments in which such interactions take place, by other individuals who facilit</w:t>
      </w:r>
      <w:r>
        <w:rPr>
          <w:rFonts w:ascii="Times New Roman" w:eastAsia="Times New Roman" w:hAnsi="Times New Roman" w:cs="Times New Roman"/>
          <w:sz w:val="24"/>
          <w:szCs w:val="24"/>
        </w:rPr>
        <w:t xml:space="preserve">ate these interactions, and by a person’s own efforts, such as their self regulation and the way they choose to engage with particular content (Renininger, 2000; </w:t>
      </w:r>
      <w:r>
        <w:rPr>
          <w:rFonts w:ascii="Times New Roman" w:eastAsia="Times New Roman" w:hAnsi="Times New Roman" w:cs="Times New Roman"/>
          <w:sz w:val="24"/>
          <w:szCs w:val="24"/>
        </w:rPr>
        <w:lastRenderedPageBreak/>
        <w:t xml:space="preserve">Renninger &amp; Hidi, 2002; Sansone &amp; Smith, 2000). A more enduring individual interest can </w:t>
      </w:r>
      <w:proofErr w:type="gramStart"/>
      <w:r>
        <w:rPr>
          <w:rFonts w:ascii="Times New Roman" w:eastAsia="Times New Roman" w:hAnsi="Times New Roman" w:cs="Times New Roman"/>
          <w:sz w:val="24"/>
          <w:szCs w:val="24"/>
        </w:rPr>
        <w:t>develo</w:t>
      </w:r>
      <w:r>
        <w:rPr>
          <w:rFonts w:ascii="Times New Roman" w:eastAsia="Times New Roman" w:hAnsi="Times New Roman" w:cs="Times New Roman"/>
          <w:sz w:val="24"/>
          <w:szCs w:val="24"/>
        </w:rPr>
        <w:t>ped</w:t>
      </w:r>
      <w:proofErr w:type="gramEnd"/>
      <w:r>
        <w:rPr>
          <w:rFonts w:ascii="Times New Roman" w:eastAsia="Times New Roman" w:hAnsi="Times New Roman" w:cs="Times New Roman"/>
          <w:sz w:val="24"/>
          <w:szCs w:val="24"/>
        </w:rPr>
        <w:t xml:space="preserve"> as a result of the repeated experience of </w:t>
      </w:r>
      <w:r>
        <w:rPr>
          <w:rFonts w:ascii="Times New Roman" w:eastAsia="Times New Roman" w:hAnsi="Times New Roman" w:cs="Times New Roman"/>
          <w:i/>
          <w:sz w:val="24"/>
          <w:szCs w:val="24"/>
        </w:rPr>
        <w:t>situational</w:t>
      </w:r>
      <w:r>
        <w:rPr>
          <w:rFonts w:ascii="Times New Roman" w:eastAsia="Times New Roman" w:hAnsi="Times New Roman" w:cs="Times New Roman"/>
          <w:sz w:val="24"/>
          <w:szCs w:val="24"/>
        </w:rPr>
        <w:t xml:space="preserve"> interest -- a more fleeting interest in a specific activity or task that is typically characterized by immediate positive affective reactions to the immediate activity at hand, but may or may not be</w:t>
      </w:r>
      <w:r>
        <w:rPr>
          <w:rFonts w:ascii="Times New Roman" w:eastAsia="Times New Roman" w:hAnsi="Times New Roman" w:cs="Times New Roman"/>
          <w:sz w:val="24"/>
          <w:szCs w:val="24"/>
        </w:rPr>
        <w:t xml:space="preserve"> sustained over time.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Facilitating the development of youths’ enduring individual interest in STEM fields has been an explicit goal of many of the summer STEM programs that have proliferated throughout the united states in recent years, including the nine</w:t>
      </w:r>
      <w:r>
        <w:rPr>
          <w:rFonts w:ascii="Times New Roman" w:eastAsia="Times New Roman" w:hAnsi="Times New Roman" w:cs="Times New Roman"/>
          <w:sz w:val="24"/>
          <w:szCs w:val="24"/>
        </w:rPr>
        <w:t xml:space="preserve"> programs that are the focus of this study. These programs are typically designed to support interest development by presenting STEM content in novel ways (i.e., by appealing to situational interest), by involving local experts in the field in programming,</w:t>
      </w:r>
      <w:r>
        <w:rPr>
          <w:rFonts w:ascii="Times New Roman" w:eastAsia="Times New Roman" w:hAnsi="Times New Roman" w:cs="Times New Roman"/>
          <w:sz w:val="24"/>
          <w:szCs w:val="24"/>
        </w:rPr>
        <w:t xml:space="preserve"> and by allowing opportunities for deeper and more focused interaction with STEM content without many of the constraints, distractions, and pressures of traditional school environments. As such, summer STEM programs often have many supports built in for in</w:t>
      </w:r>
      <w:r>
        <w:rPr>
          <w:rFonts w:ascii="Times New Roman" w:eastAsia="Times New Roman" w:hAnsi="Times New Roman" w:cs="Times New Roman"/>
          <w:sz w:val="24"/>
          <w:szCs w:val="24"/>
        </w:rPr>
        <w:t xml:space="preserve">terest development. Youth will benefit differently from these supports though, depending on how they choose to engage with the STEM content within the confines of these programs. Youth who engage with STEM content in different ways may differently support </w:t>
      </w:r>
      <w:r>
        <w:rPr>
          <w:rFonts w:ascii="Times New Roman" w:eastAsia="Times New Roman" w:hAnsi="Times New Roman" w:cs="Times New Roman"/>
          <w:sz w:val="24"/>
          <w:szCs w:val="24"/>
        </w:rPr>
        <w:t xml:space="preserve">the development of their own interest in the content. This study is aimed at exploring the degree to which youth can support their own interest development through their engagement in summer STEM programs. </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Interest development is presumed to involve cogn</w:t>
      </w:r>
      <w:r>
        <w:rPr>
          <w:rFonts w:ascii="Times New Roman" w:eastAsia="Times New Roman" w:hAnsi="Times New Roman" w:cs="Times New Roman"/>
          <w:sz w:val="24"/>
          <w:szCs w:val="24"/>
        </w:rPr>
        <w:t>itive, affective, and behavioral processes, such that a more enduring personal interest emerges as a result of repeated interaction with content that is affectively positive (as is the case with situational interest), that contributes to the accumulation o</w:t>
      </w:r>
      <w:r>
        <w:rPr>
          <w:rFonts w:ascii="Times New Roman" w:eastAsia="Times New Roman" w:hAnsi="Times New Roman" w:cs="Times New Roman"/>
          <w:sz w:val="24"/>
          <w:szCs w:val="24"/>
        </w:rPr>
        <w:t xml:space="preserve">f stored knowledge and value, and that requires personal investment of effort  (Hidi &amp; Renninger, 2006).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in exploring the role of youth engagement as a facilitator </w:t>
      </w:r>
      <w:r>
        <w:rPr>
          <w:rFonts w:ascii="Times New Roman" w:eastAsia="Times New Roman" w:hAnsi="Times New Roman" w:cs="Times New Roman"/>
          <w:sz w:val="24"/>
          <w:szCs w:val="24"/>
        </w:rPr>
        <w:lastRenderedPageBreak/>
        <w:t>of interest in summer STEM programs, we focus on these multiple dimensions of youth eng</w:t>
      </w:r>
      <w:r>
        <w:rPr>
          <w:rFonts w:ascii="Times New Roman" w:eastAsia="Times New Roman" w:hAnsi="Times New Roman" w:cs="Times New Roman"/>
          <w:sz w:val="24"/>
          <w:szCs w:val="24"/>
        </w:rPr>
        <w:t xml:space="preserve">agement (more on this when we discuss engagement below).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 one enters summer STEM programs in an “interest vacuum.” Indeed, many youth register for summer STEM programs precisely because they already have an interest in STEM that they wish to </w:t>
      </w:r>
      <w:r>
        <w:rPr>
          <w:rFonts w:ascii="Times New Roman" w:eastAsia="Times New Roman" w:hAnsi="Times New Roman" w:cs="Times New Roman"/>
          <w:sz w:val="24"/>
          <w:szCs w:val="24"/>
        </w:rPr>
        <w:t>develop further: As such, summer STEM programs may support interest development through a recursive processes. Alternatively, youth may become involved in summer STEM programs for a variety of other reasons (i.e., because a parent or caretaker decided they</w:t>
      </w:r>
      <w:r>
        <w:rPr>
          <w:rFonts w:ascii="Times New Roman" w:eastAsia="Times New Roman" w:hAnsi="Times New Roman" w:cs="Times New Roman"/>
          <w:sz w:val="24"/>
          <w:szCs w:val="24"/>
        </w:rPr>
        <w:t xml:space="preserve"> should do it; Beymer, Rosenberg, &amp; Schmidt, 2018), in which case individual interest may not be a driving force behind one’s participation in a summer program. The point is, youth enter summer programs with a certain amount of individual interest in the c</w:t>
      </w:r>
      <w:r>
        <w:rPr>
          <w:rFonts w:ascii="Times New Roman" w:eastAsia="Times New Roman" w:hAnsi="Times New Roman" w:cs="Times New Roman"/>
          <w:sz w:val="24"/>
          <w:szCs w:val="24"/>
        </w:rPr>
        <w:t>ontent (whether high or low), which itself is the result of prior opportunities for interaction with said content. To understand how youth’s level of engagement in summer STEM programs supports the development of their individual STEM interest, it is neces</w:t>
      </w:r>
      <w:r>
        <w:rPr>
          <w:rFonts w:ascii="Times New Roman" w:eastAsia="Times New Roman" w:hAnsi="Times New Roman" w:cs="Times New Roman"/>
          <w:sz w:val="24"/>
          <w:szCs w:val="24"/>
        </w:rPr>
        <w:t xml:space="preserve">sary to account for their individual level of interest at program entry.  Regardless of their level of STEM interest at program entry, youth who are more deeply </w:t>
      </w:r>
      <w:r>
        <w:rPr>
          <w:rFonts w:ascii="Times New Roman" w:eastAsia="Times New Roman" w:hAnsi="Times New Roman" w:cs="Times New Roman"/>
          <w:i/>
          <w:sz w:val="24"/>
          <w:szCs w:val="24"/>
        </w:rPr>
        <w:t>engaged</w:t>
      </w:r>
      <w:r>
        <w:rPr>
          <w:rFonts w:ascii="Times New Roman" w:eastAsia="Times New Roman" w:hAnsi="Times New Roman" w:cs="Times New Roman"/>
          <w:sz w:val="24"/>
          <w:szCs w:val="24"/>
        </w:rPr>
        <w:t xml:space="preserve"> during their time in the program may recursively impact the level of their individual S</w:t>
      </w:r>
      <w:r>
        <w:rPr>
          <w:rFonts w:ascii="Times New Roman" w:eastAsia="Times New Roman" w:hAnsi="Times New Roman" w:cs="Times New Roman"/>
          <w:sz w:val="24"/>
          <w:szCs w:val="24"/>
        </w:rPr>
        <w:t xml:space="preserve">TEM interest (Hidi &amp; Renninger, 2006). As specified in theoretical accounts of the development of individual interest, situational interest plays an important role in their momentary interactions. Therefore, in order to focus on </w:t>
      </w:r>
      <w:r>
        <w:rPr>
          <w:rFonts w:ascii="Times New Roman" w:eastAsia="Times New Roman" w:hAnsi="Times New Roman" w:cs="Times New Roman"/>
          <w:i/>
          <w:sz w:val="24"/>
          <w:szCs w:val="24"/>
        </w:rPr>
        <w:t>changes</w:t>
      </w:r>
      <w:r>
        <w:rPr>
          <w:rFonts w:ascii="Times New Roman" w:eastAsia="Times New Roman" w:hAnsi="Times New Roman" w:cs="Times New Roman"/>
          <w:sz w:val="24"/>
          <w:szCs w:val="24"/>
        </w:rPr>
        <w:t xml:space="preserve"> in individual inter</w:t>
      </w:r>
      <w:r>
        <w:rPr>
          <w:rFonts w:ascii="Times New Roman" w:eastAsia="Times New Roman" w:hAnsi="Times New Roman" w:cs="Times New Roman"/>
          <w:sz w:val="24"/>
          <w:szCs w:val="24"/>
        </w:rPr>
        <w:t>est over the period of the program we include youths’ initial individual interest. To begin to account for the recursive nature of interest development we also attempt to account for youth’s experienced situational interest during their daily engagement in</w:t>
      </w:r>
      <w:r>
        <w:rPr>
          <w:rFonts w:ascii="Times New Roman" w:eastAsia="Times New Roman" w:hAnsi="Times New Roman" w:cs="Times New Roman"/>
          <w:sz w:val="24"/>
          <w:szCs w:val="24"/>
        </w:rPr>
        <w:t xml:space="preserve"> program activities.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interest of any individual youth  in STEM may also be influenced by societal norms and stereotypes about what types of people are interested in and qualified for particular domains. </w:t>
      </w:r>
      <w:r>
        <w:rPr>
          <w:rFonts w:ascii="Times New Roman" w:eastAsia="Times New Roman" w:hAnsi="Times New Roman" w:cs="Times New Roman"/>
          <w:sz w:val="24"/>
          <w:szCs w:val="24"/>
        </w:rPr>
        <w:lastRenderedPageBreak/>
        <w:t>Despite the parity that exists in males’ and fem</w:t>
      </w:r>
      <w:r>
        <w:rPr>
          <w:rFonts w:ascii="Times New Roman" w:eastAsia="Times New Roman" w:hAnsi="Times New Roman" w:cs="Times New Roman"/>
          <w:sz w:val="24"/>
          <w:szCs w:val="24"/>
        </w:rPr>
        <w:t>ales’ coursetaking and achievement in STEM areas, there continue to be persistent stereotypes about many STEM fields as being “male” fields, and of girls and women being less capable than boys and men in STEM domains (see Hill, Corbett and St. Rose, 2010 f</w:t>
      </w:r>
      <w:r>
        <w:rPr>
          <w:rFonts w:ascii="Times New Roman" w:eastAsia="Times New Roman" w:hAnsi="Times New Roman" w:cs="Times New Roman"/>
          <w:sz w:val="24"/>
          <w:szCs w:val="24"/>
        </w:rPr>
        <w:t xml:space="preserve">or a review). These persistent stereotypes and the implicit and explicit biases that emerge from them, can influence the way boys and girls interact with STEM content, and their trajectories of interest development over time. Given existing gender-related </w:t>
      </w:r>
      <w:r>
        <w:rPr>
          <w:rFonts w:ascii="Times New Roman" w:eastAsia="Times New Roman" w:hAnsi="Times New Roman" w:cs="Times New Roman"/>
          <w:sz w:val="24"/>
          <w:szCs w:val="24"/>
        </w:rPr>
        <w:t>stereotypes about STEM disciplines, it is important to take gender into account in our examination. We also note that a similar argument might be made with respect to youth race and ethnicity. Our analyses do not control for this particular youth character</w:t>
      </w:r>
      <w:r>
        <w:rPr>
          <w:rFonts w:ascii="Times New Roman" w:eastAsia="Times New Roman" w:hAnsi="Times New Roman" w:cs="Times New Roman"/>
          <w:sz w:val="24"/>
          <w:szCs w:val="24"/>
        </w:rPr>
        <w:t xml:space="preserve">istic because nearly all of our study participants are black and/or Hispanic and would be considered underrepresented minorities in STEM fields. </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Measuring and Understanding the Impacts of Engagement</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Contemporary frameworks for engagement highlight the </w:t>
      </w:r>
      <w:r>
        <w:rPr>
          <w:rFonts w:ascii="Times New Roman" w:eastAsia="Times New Roman" w:hAnsi="Times New Roman" w:cs="Times New Roman"/>
          <w:i/>
          <w:sz w:val="24"/>
          <w:szCs w:val="24"/>
        </w:rPr>
        <w:t xml:space="preserve">multiple dimensions of </w:t>
      </w:r>
      <w:r>
        <w:rPr>
          <w:rFonts w:ascii="Times New Roman" w:eastAsia="Times New Roman" w:hAnsi="Times New Roman" w:cs="Times New Roman"/>
          <w:sz w:val="24"/>
          <w:szCs w:val="24"/>
        </w:rPr>
        <w:t xml:space="preserve">of engagement and its </w:t>
      </w:r>
      <w:r>
        <w:rPr>
          <w:rFonts w:ascii="Times New Roman" w:eastAsia="Times New Roman" w:hAnsi="Times New Roman" w:cs="Times New Roman"/>
          <w:i/>
          <w:sz w:val="24"/>
          <w:szCs w:val="24"/>
        </w:rPr>
        <w:t>dynamic</w:t>
      </w:r>
      <w:r>
        <w:rPr>
          <w:rFonts w:ascii="Times New Roman" w:eastAsia="Times New Roman" w:hAnsi="Times New Roman" w:cs="Times New Roman"/>
          <w:sz w:val="24"/>
          <w:szCs w:val="24"/>
        </w:rPr>
        <w:t xml:space="preserve"> nature due its malleability that can change based on individual characteristics and pre-dispositions, as well as environmental factors (Shernoff &amp; Schmidt, 2008; Skinner &amp; Pitzer, 2013). Most commonly, s</w:t>
      </w:r>
      <w:r>
        <w:rPr>
          <w:rFonts w:ascii="Times New Roman" w:eastAsia="Times New Roman" w:hAnsi="Times New Roman" w:cs="Times New Roman"/>
          <w:sz w:val="24"/>
          <w:szCs w:val="24"/>
        </w:rPr>
        <w:t xml:space="preserve">cholars refer to cognitive, affective, and behavioral components (Christenson et al., 2012; Fredricks et al., 2004) -- dimensions that correspond to the processes proposed to be involved in interest development (see Hidi &amp; Renninger, 2006). </w:t>
      </w:r>
      <w:r>
        <w:rPr>
          <w:rFonts w:ascii="Times New Roman" w:eastAsia="Times New Roman" w:hAnsi="Times New Roman" w:cs="Times New Roman"/>
          <w:i/>
          <w:sz w:val="24"/>
          <w:szCs w:val="24"/>
        </w:rPr>
        <w:t>Behavioral enga</w:t>
      </w:r>
      <w:r>
        <w:rPr>
          <w:rFonts w:ascii="Times New Roman" w:eastAsia="Times New Roman" w:hAnsi="Times New Roman" w:cs="Times New Roman"/>
          <w:i/>
          <w:sz w:val="24"/>
          <w:szCs w:val="24"/>
        </w:rPr>
        <w:t xml:space="preserve">gement </w:t>
      </w:r>
      <w:r>
        <w:rPr>
          <w:rFonts w:ascii="Times New Roman" w:eastAsia="Times New Roman" w:hAnsi="Times New Roman" w:cs="Times New Roman"/>
          <w:sz w:val="24"/>
          <w:szCs w:val="24"/>
        </w:rPr>
        <w:t xml:space="preserve">refers to one’s involvement in activities in terms of their effort and participation. </w:t>
      </w:r>
      <w:r>
        <w:rPr>
          <w:rFonts w:ascii="Times New Roman" w:eastAsia="Times New Roman" w:hAnsi="Times New Roman" w:cs="Times New Roman"/>
          <w:i/>
          <w:sz w:val="24"/>
          <w:szCs w:val="24"/>
        </w:rPr>
        <w:t>Cognitive engagement</w:t>
      </w:r>
      <w:r>
        <w:rPr>
          <w:rFonts w:ascii="Times New Roman" w:eastAsia="Times New Roman" w:hAnsi="Times New Roman" w:cs="Times New Roman"/>
          <w:sz w:val="24"/>
          <w:szCs w:val="24"/>
        </w:rPr>
        <w:t xml:space="preserve"> refers to one’s mental investment in his or her own learning. </w:t>
      </w:r>
      <w:r>
        <w:rPr>
          <w:rFonts w:ascii="Times New Roman" w:eastAsia="Times New Roman" w:hAnsi="Times New Roman" w:cs="Times New Roman"/>
          <w:i/>
          <w:sz w:val="24"/>
          <w:szCs w:val="24"/>
        </w:rPr>
        <w:t>Affective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engagement </w:t>
      </w:r>
      <w:r>
        <w:rPr>
          <w:rFonts w:ascii="Times New Roman" w:eastAsia="Times New Roman" w:hAnsi="Times New Roman" w:cs="Times New Roman"/>
          <w:sz w:val="24"/>
          <w:szCs w:val="24"/>
        </w:rPr>
        <w:t xml:space="preserve">refers to one’s positive and negative </w:t>
      </w:r>
      <w:r>
        <w:rPr>
          <w:rFonts w:ascii="Times New Roman" w:eastAsia="Times New Roman" w:hAnsi="Times New Roman" w:cs="Times New Roman"/>
          <w:sz w:val="24"/>
          <w:szCs w:val="24"/>
        </w:rPr>
        <w:t xml:space="preserve">feelings one has toward learning activities (Fredricks et al., 2004, 2011; Sinatra et al., 2015).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Engagement has been linked to a number of critical outcomes including persistence, achievement, and interest (Sinatra et al., 2015). Importantly, engagement </w:t>
      </w:r>
      <w:r>
        <w:rPr>
          <w:rFonts w:ascii="Times New Roman" w:eastAsia="Times New Roman" w:hAnsi="Times New Roman" w:cs="Times New Roman"/>
          <w:sz w:val="24"/>
          <w:szCs w:val="24"/>
        </w:rPr>
        <w:t>has been shown to vary over time and context (Shernoff &amp; Schmidt, 2008). For example, certain activities may lead to higher or lower levels of engagement, which in turn may impact the development of interest. Considering the wide variety of activities that</w:t>
      </w:r>
      <w:r>
        <w:rPr>
          <w:rFonts w:ascii="Times New Roman" w:eastAsia="Times New Roman" w:hAnsi="Times New Roman" w:cs="Times New Roman"/>
          <w:sz w:val="24"/>
          <w:szCs w:val="24"/>
        </w:rPr>
        <w:t xml:space="preserve"> characterize both formal and informal learning settings, it is important to measure engagement repeatedly over time and consider engagement </w:t>
      </w:r>
      <w:r>
        <w:rPr>
          <w:rFonts w:ascii="Times New Roman" w:eastAsia="Times New Roman" w:hAnsi="Times New Roman" w:cs="Times New Roman"/>
          <w:i/>
          <w:sz w:val="24"/>
          <w:szCs w:val="24"/>
        </w:rPr>
        <w:t>in situ</w:t>
      </w:r>
      <w:r>
        <w:rPr>
          <w:rFonts w:ascii="Times New Roman" w:eastAsia="Times New Roman" w:hAnsi="Times New Roman" w:cs="Times New Roman"/>
          <w:sz w:val="24"/>
          <w:szCs w:val="24"/>
        </w:rPr>
        <w:t xml:space="preserve">, using data collection methods (e.g., experience sampling) that allow for examining repeated measures over </w:t>
      </w:r>
      <w:r>
        <w:rPr>
          <w:rFonts w:ascii="Times New Roman" w:eastAsia="Times New Roman" w:hAnsi="Times New Roman" w:cs="Times New Roman"/>
          <w:sz w:val="24"/>
          <w:szCs w:val="24"/>
        </w:rPr>
        <w:t>time.  Examining engagement as situational affords the opportunity to ultimately identify factors influencing engagement that are under the control of  educators (Schmidt et al., 2018). t</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Scholars have developed methods to assess engagement in a way that m</w:t>
      </w:r>
      <w:r>
        <w:rPr>
          <w:rFonts w:ascii="Times New Roman" w:eastAsia="Times New Roman" w:hAnsi="Times New Roman" w:cs="Times New Roman"/>
          <w:sz w:val="24"/>
          <w:szCs w:val="24"/>
        </w:rPr>
        <w:t>akes it possible to understand its changes and dynamics over time and across activities. Among the approaches for measuring engagement in such a way, intensive longitudinal methods that use Experience Sampling Method and diary studies have shown their util</w:t>
      </w:r>
      <w:r>
        <w:rPr>
          <w:rFonts w:ascii="Times New Roman" w:eastAsia="Times New Roman" w:hAnsi="Times New Roman" w:cs="Times New Roman"/>
          <w:sz w:val="24"/>
          <w:szCs w:val="24"/>
        </w:rPr>
        <w:t>ity (Bolger &amp; Laurencau, 2013; Hektner, Schmidt, &amp; Csikszentmihali, 2007). The present study adds to this body of literature investigating how sustained engagement over a period of time in summer STEM programs may have cumulative effects on individual outc</w:t>
      </w:r>
      <w:r>
        <w:rPr>
          <w:rFonts w:ascii="Times New Roman" w:eastAsia="Times New Roman" w:hAnsi="Times New Roman" w:cs="Times New Roman"/>
          <w:sz w:val="24"/>
          <w:szCs w:val="24"/>
        </w:rPr>
        <w:t xml:space="preserve">omes (interest) as measured before and after the programs. </w:t>
      </w:r>
    </w:p>
    <w:p w:rsidR="00CC66DE" w:rsidRDefault="000E3E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study explores how interest develops as a result of youth momentary engagement measured using the experience sampling method (Hektner et al., 2007). The research question d</w:t>
      </w:r>
      <w:r>
        <w:rPr>
          <w:rFonts w:ascii="Times New Roman" w:eastAsia="Times New Roman" w:hAnsi="Times New Roman" w:cs="Times New Roman"/>
          <w:sz w:val="24"/>
          <w:szCs w:val="24"/>
        </w:rPr>
        <w:t xml:space="preserve">riving this study is, </w:t>
      </w:r>
      <w:proofErr w:type="gramStart"/>
      <w:r>
        <w:rPr>
          <w:rFonts w:ascii="Times New Roman" w:eastAsia="Times New Roman" w:hAnsi="Times New Roman" w:cs="Times New Roman"/>
          <w:i/>
          <w:sz w:val="24"/>
          <w:szCs w:val="24"/>
        </w:rPr>
        <w:t>How</w:t>
      </w:r>
      <w:proofErr w:type="gramEnd"/>
      <w:r>
        <w:rPr>
          <w:rFonts w:ascii="Times New Roman" w:eastAsia="Times New Roman" w:hAnsi="Times New Roman" w:cs="Times New Roman"/>
          <w:i/>
          <w:sz w:val="24"/>
          <w:szCs w:val="24"/>
        </w:rPr>
        <w:t xml:space="preserve"> is youth's sustained engagement across three weeks of summer STEM programming related to changes in their STEM interest over the duration of the program?</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relationships examined in this paper are represented in Figure 1. To add</w:t>
      </w:r>
      <w:r>
        <w:rPr>
          <w:rFonts w:ascii="Times New Roman" w:eastAsia="Times New Roman" w:hAnsi="Times New Roman" w:cs="Times New Roman"/>
          <w:sz w:val="24"/>
          <w:szCs w:val="24"/>
        </w:rPr>
        <w:t>ress this research question,we use multiple data collection methods to examine the development of interest over time via youth engagement across a number of summer STEM programs.</w:t>
      </w: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45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Conceptual framework for how engagement during summer STEM progra</w:t>
      </w:r>
      <w:r>
        <w:rPr>
          <w:rFonts w:ascii="Times New Roman" w:eastAsia="Times New Roman" w:hAnsi="Times New Roman" w:cs="Times New Roman"/>
          <w:sz w:val="24"/>
          <w:szCs w:val="24"/>
        </w:rPr>
        <w:t>ms impacts youths’ development of interest in STEM domains.</w:t>
      </w:r>
    </w:p>
    <w:p w:rsidR="00CC66DE" w:rsidRDefault="000E3E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present study was part of a larger study focused on the engagement and interest of youth while participating in one of nine summer STEM programs in the Northeast United States.</w:t>
      </w:r>
      <w:r>
        <w:rPr>
          <w:rFonts w:ascii="Times New Roman" w:eastAsia="Times New Roman" w:hAnsi="Times New Roman" w:cs="Times New Roman"/>
          <w:sz w:val="24"/>
          <w:szCs w:val="24"/>
        </w:rPr>
        <w:t xml:space="preserve"> These nine summer programs are part of two larger organizations that provide opportunities to </w:t>
      </w:r>
      <w:r>
        <w:rPr>
          <w:rFonts w:ascii="Times New Roman" w:eastAsia="Times New Roman" w:hAnsi="Times New Roman" w:cs="Times New Roman"/>
          <w:sz w:val="24"/>
          <w:szCs w:val="24"/>
        </w:rPr>
        <w:lastRenderedPageBreak/>
        <w:t>low-income youth to participate in summer programs where cost is not a barrier due to the support from external and internal funding. While attending the program</w:t>
      </w:r>
      <w:r>
        <w:rPr>
          <w:rFonts w:ascii="Times New Roman" w:eastAsia="Times New Roman" w:hAnsi="Times New Roman" w:cs="Times New Roman"/>
          <w:sz w:val="24"/>
          <w:szCs w:val="24"/>
        </w:rPr>
        <w:t>s, adolescents participate in activities designed to create interest and engagement in STEM. These programs are designed so that adolescents spend about half of their time participating in activities in the classroom and half of their time participating in</w:t>
      </w:r>
      <w:r>
        <w:rPr>
          <w:rFonts w:ascii="Times New Roman" w:eastAsia="Times New Roman" w:hAnsi="Times New Roman" w:cs="Times New Roman"/>
          <w:sz w:val="24"/>
          <w:szCs w:val="24"/>
        </w:rPr>
        <w:t xml:space="preserve"> field experiences. These field experiences take place with community partners where youth engage in activities including designing computer games, exploring the ecology of islands, and planting community gardens. Each program lasted between four and six w</w:t>
      </w:r>
      <w:r>
        <w:rPr>
          <w:rFonts w:ascii="Times New Roman" w:eastAsia="Times New Roman" w:hAnsi="Times New Roman" w:cs="Times New Roman"/>
          <w:sz w:val="24"/>
          <w:szCs w:val="24"/>
        </w:rPr>
        <w:t>eeks. Throughout those weeks, adolescents participated Monday through Thursday for three hours each day.</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Participants consist of 203 youth (50% female). The average age of participants was 12.71 (SD = 1.18) and ranged from 10 to 16 and the de</w:t>
      </w:r>
      <w:r>
        <w:rPr>
          <w:rFonts w:ascii="Times New Roman" w:eastAsia="Times New Roman" w:hAnsi="Times New Roman" w:cs="Times New Roman"/>
          <w:sz w:val="24"/>
          <w:szCs w:val="24"/>
        </w:rPr>
        <w:t>mographic makeup was 6% White, 36% Black, 48% Hispanic, 7% Asian, and 3% multiracial (as presented in Table 1).</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Demographic characteristics of youth.</w:t>
      </w:r>
    </w:p>
    <w:tbl>
      <w:tblPr>
        <w:tblStyle w:val="a"/>
        <w:tblW w:w="4560" w:type="dxa"/>
        <w:tblInd w:w="100" w:type="dxa"/>
        <w:tblLayout w:type="fixed"/>
        <w:tblLook w:val="0600" w:firstRow="0" w:lastRow="0" w:firstColumn="0" w:lastColumn="0" w:noHBand="1" w:noVBand="1"/>
      </w:tblPr>
      <w:tblGrid>
        <w:gridCol w:w="2280"/>
        <w:gridCol w:w="2280"/>
      </w:tblGrid>
      <w:tr w:rsidR="00CC66DE" w:rsidTr="00AC1815">
        <w:trPr>
          <w:trHeight w:val="440"/>
        </w:trPr>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Youth</w:t>
            </w:r>
            <w:r w:rsidR="00AC18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203)</w:t>
            </w:r>
          </w:p>
        </w:tc>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Youth</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Sex</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CC66DE" w:rsidTr="00AC1815">
        <w:trPr>
          <w:trHeight w:val="440"/>
        </w:trPr>
        <w:tc>
          <w:tcPr>
            <w:tcW w:w="2280" w:type="dxa"/>
            <w:tcBorders>
              <w:top w:val="nil"/>
              <w:left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2280" w:type="dxa"/>
            <w:tcBorders>
              <w:top w:val="nil"/>
              <w:left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CC66DE" w:rsidTr="00AC1815">
        <w:trPr>
          <w:trHeight w:val="440"/>
        </w:trPr>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i/>
                <w:sz w:val="24"/>
                <w:szCs w:val="24"/>
              </w:rPr>
            </w:pPr>
            <w:bookmarkStart w:id="0" w:name="_GoBack"/>
            <w:r>
              <w:rPr>
                <w:rFonts w:ascii="Times New Roman" w:eastAsia="Times New Roman" w:hAnsi="Times New Roman" w:cs="Times New Roman"/>
                <w:i/>
                <w:sz w:val="24"/>
                <w:szCs w:val="24"/>
              </w:rPr>
              <w:t>Race/Ethnicity</w:t>
            </w:r>
          </w:p>
        </w:tc>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bookmarkEnd w:id="0"/>
      <w:tr w:rsidR="00CC66DE" w:rsidTr="00AC1815">
        <w:trPr>
          <w:trHeight w:val="440"/>
        </w:trPr>
        <w:tc>
          <w:tcPr>
            <w:tcW w:w="2280" w:type="dxa"/>
            <w:tcBorders>
              <w:top w:val="single" w:sz="4" w:space="0" w:color="auto"/>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Hispanic</w:t>
            </w:r>
          </w:p>
        </w:tc>
        <w:tc>
          <w:tcPr>
            <w:tcW w:w="2280" w:type="dxa"/>
            <w:tcBorders>
              <w:top w:val="single" w:sz="4" w:space="0" w:color="auto"/>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Black</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Multi-racial</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C66DE" w:rsidTr="00AC1815">
        <w:trPr>
          <w:trHeight w:val="440"/>
        </w:trPr>
        <w:tc>
          <w:tcPr>
            <w:tcW w:w="2280" w:type="dxa"/>
            <w:tcBorders>
              <w:top w:val="nil"/>
              <w:left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Asian/Pacific Islander</w:t>
            </w:r>
          </w:p>
        </w:tc>
        <w:tc>
          <w:tcPr>
            <w:tcW w:w="2280" w:type="dxa"/>
            <w:tcBorders>
              <w:top w:val="nil"/>
              <w:left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CC66DE" w:rsidTr="00AC1815">
        <w:trPr>
          <w:trHeight w:val="440"/>
        </w:trPr>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w:t>
            </w:r>
          </w:p>
        </w:tc>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C66DE" w:rsidTr="00AC1815">
        <w:trPr>
          <w:trHeight w:val="440"/>
        </w:trPr>
        <w:tc>
          <w:tcPr>
            <w:tcW w:w="2280" w:type="dxa"/>
            <w:tcBorders>
              <w:top w:val="single" w:sz="4" w:space="0" w:color="auto"/>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80" w:type="dxa"/>
            <w:tcBorders>
              <w:top w:val="single" w:sz="4" w:space="0" w:color="auto"/>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CC66DE">
        <w:trPr>
          <w:trHeight w:val="44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C66DE" w:rsidTr="00AC1815">
        <w:trPr>
          <w:trHeight w:val="440"/>
        </w:trPr>
        <w:tc>
          <w:tcPr>
            <w:tcW w:w="2280" w:type="dxa"/>
            <w:tcBorders>
              <w:top w:val="nil"/>
              <w:left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280" w:type="dxa"/>
            <w:tcBorders>
              <w:top w:val="nil"/>
              <w:left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C66DE" w:rsidTr="00AC1815">
        <w:trPr>
          <w:trHeight w:val="440"/>
        </w:trPr>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Educatio</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sidR="00AC1815">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AC18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171)</w:t>
            </w:r>
          </w:p>
        </w:tc>
        <w:tc>
          <w:tcPr>
            <w:tcW w:w="2280" w:type="dxa"/>
            <w:tcBorders>
              <w:top w:val="nil"/>
              <w:left w:val="nil"/>
              <w:bottom w:val="single" w:sz="4" w:space="0" w:color="auto"/>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C66DE" w:rsidTr="00AC1815">
        <w:trPr>
          <w:trHeight w:val="440"/>
        </w:trPr>
        <w:tc>
          <w:tcPr>
            <w:tcW w:w="2280" w:type="dxa"/>
            <w:tcBorders>
              <w:top w:val="single" w:sz="4" w:space="0" w:color="auto"/>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School or Below</w:t>
            </w:r>
          </w:p>
        </w:tc>
        <w:tc>
          <w:tcPr>
            <w:tcW w:w="2280" w:type="dxa"/>
            <w:tcBorders>
              <w:top w:val="single" w:sz="4" w:space="0" w:color="auto"/>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r>
      <w:tr w:rsidR="00CC66DE">
        <w:trPr>
          <w:trHeight w:val="680"/>
        </w:trPr>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from College (B.A. or B.S.)</w:t>
            </w:r>
          </w:p>
        </w:tc>
        <w:tc>
          <w:tcPr>
            <w:tcW w:w="2280" w:type="dxa"/>
            <w:tcBorders>
              <w:top w:val="nil"/>
              <w:left w:val="nil"/>
              <w:bottom w:val="nil"/>
              <w:right w:val="nil"/>
            </w:tcBorders>
            <w:tcMar>
              <w:top w:w="100" w:type="dxa"/>
              <w:left w:w="100" w:type="dxa"/>
              <w:bottom w:w="100" w:type="dxa"/>
              <w:right w:w="100" w:type="dxa"/>
            </w:tcMar>
          </w:tcPr>
          <w:p w:rsidR="00CC66DE" w:rsidRDefault="000E3E7F" w:rsidP="00AC18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beginning of the program, youth completed a self-report survey for collecting demographic information and their interest in STEM. Over the course of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program, data were collected on their overall engagement using the experience samplin</w:t>
      </w:r>
      <w:r>
        <w:rPr>
          <w:rFonts w:ascii="Times New Roman" w:eastAsia="Times New Roman" w:hAnsi="Times New Roman" w:cs="Times New Roman"/>
          <w:sz w:val="24"/>
          <w:szCs w:val="24"/>
        </w:rPr>
        <w:t xml:space="preserve">g method (Hektner et al., 2007). Data were collected using the experience sampling method for three weeks of the </w:t>
      </w:r>
      <w:r>
        <w:rPr>
          <w:rFonts w:ascii="Times New Roman" w:eastAsia="Times New Roman" w:hAnsi="Times New Roman" w:cs="Times New Roman"/>
          <w:sz w:val="24"/>
          <w:szCs w:val="24"/>
        </w:rPr>
        <w:lastRenderedPageBreak/>
        <w:t xml:space="preserve">program </w:t>
      </w:r>
      <w:proofErr w:type="gramStart"/>
      <w:r>
        <w:rPr>
          <w:rFonts w:ascii="Times New Roman" w:eastAsia="Times New Roman" w:hAnsi="Times New Roman" w:cs="Times New Roman"/>
          <w:sz w:val="24"/>
          <w:szCs w:val="24"/>
        </w:rPr>
        <w:t>during</w:t>
      </w:r>
      <w:proofErr w:type="gramEnd"/>
      <w:r>
        <w:rPr>
          <w:rFonts w:ascii="Times New Roman" w:eastAsia="Times New Roman" w:hAnsi="Times New Roman" w:cs="Times New Roman"/>
          <w:sz w:val="24"/>
          <w:szCs w:val="24"/>
        </w:rPr>
        <w:t xml:space="preserve"> two days each week. Data collection took place so that field experiences and classroom experiences were equally represented. The</w:t>
      </w:r>
      <w:r>
        <w:rPr>
          <w:rFonts w:ascii="Times New Roman" w:eastAsia="Times New Roman" w:hAnsi="Times New Roman" w:cs="Times New Roman"/>
          <w:sz w:val="24"/>
          <w:szCs w:val="24"/>
        </w:rPr>
        <w:t xml:space="preserve"> average attendance rate across programs was 83.08% (SD = 0.16). Youth completed a second self-report survey at the end of the program to assess their post-program interest in STEM.</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Experience sampling method. </w:t>
      </w:r>
      <w:r>
        <w:rPr>
          <w:rFonts w:ascii="Times New Roman" w:eastAsia="Times New Roman" w:hAnsi="Times New Roman" w:cs="Times New Roman"/>
          <w:sz w:val="24"/>
          <w:szCs w:val="24"/>
        </w:rPr>
        <w:t>The experience sampling method is an intensiv</w:t>
      </w:r>
      <w:r>
        <w:rPr>
          <w:rFonts w:ascii="Times New Roman" w:eastAsia="Times New Roman" w:hAnsi="Times New Roman" w:cs="Times New Roman"/>
          <w:sz w:val="24"/>
          <w:szCs w:val="24"/>
        </w:rPr>
        <w:t>e longitudinal method of data collection that is used to assess real-time experiences in responded to randomly emitted signals (see Hektner et al., 2007 for a description of this method). Adolescents were signalled four times per day throughout six days of</w:t>
      </w:r>
      <w:r>
        <w:rPr>
          <w:rFonts w:ascii="Times New Roman" w:eastAsia="Times New Roman" w:hAnsi="Times New Roman" w:cs="Times New Roman"/>
          <w:sz w:val="24"/>
          <w:szCs w:val="24"/>
        </w:rPr>
        <w:t xml:space="preserve"> the program. The only condition for signalling was that each signal must occur at least 15 minutes apart. Adolescents responded to each signal via mobile phones that they were given at the beginning of the day. Overall, 2,968 experience sampling responses</w:t>
      </w:r>
      <w:r>
        <w:rPr>
          <w:rFonts w:ascii="Times New Roman" w:eastAsia="Times New Roman" w:hAnsi="Times New Roman" w:cs="Times New Roman"/>
          <w:sz w:val="24"/>
          <w:szCs w:val="24"/>
        </w:rPr>
        <w:t xml:space="preserve"> were collected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14.6) and the completion rate was 63%. Just over half of all missed signals were due to youth absence from the program. </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Engagement. </w:t>
      </w:r>
      <w:r>
        <w:rPr>
          <w:rFonts w:ascii="Times New Roman" w:eastAsia="Times New Roman" w:hAnsi="Times New Roman" w:cs="Times New Roman"/>
          <w:sz w:val="24"/>
          <w:szCs w:val="24"/>
        </w:rPr>
        <w:t>Indicators of youth engagement were collected using the experience sampling method. A compos</w:t>
      </w:r>
      <w:r>
        <w:rPr>
          <w:rFonts w:ascii="Times New Roman" w:eastAsia="Times New Roman" w:hAnsi="Times New Roman" w:cs="Times New Roman"/>
          <w:sz w:val="24"/>
          <w:szCs w:val="24"/>
        </w:rPr>
        <w:t>ite measure was formed consisting of four items (alpha = 0.85). Consistent with theoretical models of how sustained individual interest develops, our measure of engagement includes an indicator of momentary situational interest, which captures the extent t</w:t>
      </w:r>
      <w:r>
        <w:rPr>
          <w:rFonts w:ascii="Times New Roman" w:eastAsia="Times New Roman" w:hAnsi="Times New Roman" w:cs="Times New Roman"/>
          <w:sz w:val="24"/>
          <w:szCs w:val="24"/>
        </w:rPr>
        <w:t xml:space="preserve">o which particular program activities engaged youth. The four items asked youth to indicate on a four-point Likert scale (1 = </w:t>
      </w:r>
      <w:r>
        <w:rPr>
          <w:rFonts w:ascii="Times New Roman" w:eastAsia="Times New Roman" w:hAnsi="Times New Roman" w:cs="Times New Roman"/>
          <w:i/>
          <w:sz w:val="24"/>
          <w:szCs w:val="24"/>
        </w:rPr>
        <w:t>not at all</w:t>
      </w:r>
      <w:r>
        <w:rPr>
          <w:rFonts w:ascii="Times New Roman" w:eastAsia="Times New Roman" w:hAnsi="Times New Roman" w:cs="Times New Roman"/>
          <w:sz w:val="24"/>
          <w:szCs w:val="24"/>
        </w:rPr>
        <w:t xml:space="preserve">, 4 = </w:t>
      </w:r>
      <w:r>
        <w:rPr>
          <w:rFonts w:ascii="Times New Roman" w:eastAsia="Times New Roman" w:hAnsi="Times New Roman" w:cs="Times New Roman"/>
          <w:i/>
          <w:sz w:val="24"/>
          <w:szCs w:val="24"/>
        </w:rPr>
        <w:t>very much</w:t>
      </w:r>
      <w:r>
        <w:rPr>
          <w:rFonts w:ascii="Times New Roman" w:eastAsia="Times New Roman" w:hAnsi="Times New Roman" w:cs="Times New Roman"/>
          <w:sz w:val="24"/>
          <w:szCs w:val="24"/>
        </w:rPr>
        <w:t>) their agreement with the following statements:</w:t>
      </w:r>
    </w:p>
    <w:p w:rsidR="00CC66DE" w:rsidRDefault="000E3E7F">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Working hard</w:t>
      </w:r>
      <w:r>
        <w:rPr>
          <w:rFonts w:ascii="Times New Roman" w:eastAsia="Times New Roman" w:hAnsi="Times New Roman" w:cs="Times New Roman"/>
          <w:sz w:val="24"/>
          <w:szCs w:val="24"/>
        </w:rPr>
        <w:t>: As you were signaled, how hard were you wo</w:t>
      </w:r>
      <w:r>
        <w:rPr>
          <w:rFonts w:ascii="Times New Roman" w:eastAsia="Times New Roman" w:hAnsi="Times New Roman" w:cs="Times New Roman"/>
          <w:sz w:val="24"/>
          <w:szCs w:val="24"/>
        </w:rPr>
        <w:t>rking?</w:t>
      </w:r>
    </w:p>
    <w:p w:rsidR="00CC66DE" w:rsidRDefault="000E3E7F">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Concentrating</w:t>
      </w:r>
      <w:r>
        <w:rPr>
          <w:rFonts w:ascii="Times New Roman" w:eastAsia="Times New Roman" w:hAnsi="Times New Roman" w:cs="Times New Roman"/>
          <w:sz w:val="24"/>
          <w:szCs w:val="24"/>
        </w:rPr>
        <w:t>: As you were signaled, how well were you concentrating?</w:t>
      </w:r>
    </w:p>
    <w:p w:rsidR="00CC66DE" w:rsidRDefault="000E3E7F">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Enjoying</w:t>
      </w:r>
      <w:r>
        <w:rPr>
          <w:rFonts w:ascii="Times New Roman" w:eastAsia="Times New Roman" w:hAnsi="Times New Roman" w:cs="Times New Roman"/>
          <w:sz w:val="24"/>
          <w:szCs w:val="24"/>
        </w:rPr>
        <w:t>: As you were signaled, did you enjoy what you are doing?</w:t>
      </w:r>
    </w:p>
    <w:p w:rsidR="00CC66DE" w:rsidRDefault="000E3E7F">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Interest</w:t>
      </w:r>
      <w:r>
        <w:rPr>
          <w:rFonts w:ascii="Times New Roman" w:eastAsia="Times New Roman" w:hAnsi="Times New Roman" w:cs="Times New Roman"/>
          <w:sz w:val="24"/>
          <w:szCs w:val="24"/>
        </w:rPr>
        <w:t>: Was the main activity interesting?</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Individual Interest. </w:t>
      </w:r>
      <w:r>
        <w:rPr>
          <w:rFonts w:ascii="Times New Roman" w:eastAsia="Times New Roman" w:hAnsi="Times New Roman" w:cs="Times New Roman"/>
          <w:sz w:val="24"/>
          <w:szCs w:val="24"/>
        </w:rPr>
        <w:t xml:space="preserve">At the outset and conclusion of each program, a 4-point Likert Scale (1 = </w:t>
      </w:r>
      <w:r>
        <w:rPr>
          <w:rFonts w:ascii="Times New Roman" w:eastAsia="Times New Roman" w:hAnsi="Times New Roman" w:cs="Times New Roman"/>
          <w:i/>
          <w:sz w:val="24"/>
          <w:szCs w:val="24"/>
        </w:rPr>
        <w:t>not at all</w:t>
      </w:r>
      <w:r>
        <w:rPr>
          <w:rFonts w:ascii="Times New Roman" w:eastAsia="Times New Roman" w:hAnsi="Times New Roman" w:cs="Times New Roman"/>
          <w:sz w:val="24"/>
          <w:szCs w:val="24"/>
        </w:rPr>
        <w:t xml:space="preserve">, 4 = </w:t>
      </w:r>
      <w:r>
        <w:rPr>
          <w:rFonts w:ascii="Times New Roman" w:eastAsia="Times New Roman" w:hAnsi="Times New Roman" w:cs="Times New Roman"/>
          <w:i/>
          <w:sz w:val="24"/>
          <w:szCs w:val="24"/>
        </w:rPr>
        <w:t>very much</w:t>
      </w:r>
      <w:r>
        <w:rPr>
          <w:rFonts w:ascii="Times New Roman" w:eastAsia="Times New Roman" w:hAnsi="Times New Roman" w:cs="Times New Roman"/>
          <w:sz w:val="24"/>
          <w:szCs w:val="24"/>
        </w:rPr>
        <w:t>) was used to assess youth’s individual interest in the STEM area or areas that were the focus of the program they enrolled in. For each relevant area, youth</w:t>
      </w:r>
      <w:r>
        <w:rPr>
          <w:rFonts w:ascii="Times New Roman" w:eastAsia="Times New Roman" w:hAnsi="Times New Roman" w:cs="Times New Roman"/>
          <w:sz w:val="24"/>
          <w:szCs w:val="24"/>
        </w:rPr>
        <w:t xml:space="preserve"> responded to three questions about their interest: </w:t>
      </w:r>
    </w:p>
    <w:p w:rsidR="00CC66DE" w:rsidRDefault="000E3E7F">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have always been fascinated by science/math/building</w:t>
      </w:r>
    </w:p>
    <w:p w:rsidR="00CC66DE" w:rsidRDefault="000E3E7F">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am interested in Science/math/building</w:t>
      </w:r>
    </w:p>
    <w:p w:rsidR="00CC66DE" w:rsidRDefault="000E3E7F">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school, science/math/building things is fun</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individual interest measure represented the mean of int</w:t>
      </w:r>
      <w:r>
        <w:rPr>
          <w:rFonts w:ascii="Times New Roman" w:eastAsia="Times New Roman" w:hAnsi="Times New Roman" w:cs="Times New Roman"/>
          <w:sz w:val="24"/>
          <w:szCs w:val="24"/>
        </w:rPr>
        <w:t xml:space="preserve">erest items across all relevant domains.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for some students, the mean was based on 3 items, while for others it was based on as many as 9 items representing all three domains (with Cronbach alpha values ranging from .77 - .86 for each domain specific i</w:t>
      </w:r>
      <w:r>
        <w:rPr>
          <w:rFonts w:ascii="Times New Roman" w:eastAsia="Times New Roman" w:hAnsi="Times New Roman" w:cs="Times New Roman"/>
          <w:sz w:val="24"/>
          <w:szCs w:val="24"/>
        </w:rPr>
        <w:t xml:space="preserve">nterest scale). </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goal of the data analysis was to understand how youths’ in-the-moment engagement, relates to their post-program STEM interest, accounting for their pre-program STEM interest  and gender. In order to carry out this analys</w:t>
      </w:r>
      <w:r>
        <w:rPr>
          <w:rFonts w:ascii="Times New Roman" w:eastAsia="Times New Roman" w:hAnsi="Times New Roman" w:cs="Times New Roman"/>
          <w:sz w:val="24"/>
          <w:szCs w:val="24"/>
        </w:rPr>
        <w:t xml:space="preserve">is, we conduct a two-step modeling approach. The first step uses mixed effects (or multi-level) models using the lme4 (Bates, Machler, Bolker, &amp; Walker, 2015) package in R (R Core Team, 2018) to estimate the youth-specific mean levels of engagement across </w:t>
      </w:r>
      <w:r>
        <w:rPr>
          <w:rFonts w:ascii="Times New Roman" w:eastAsia="Times New Roman" w:hAnsi="Times New Roman" w:cs="Times New Roman"/>
          <w:i/>
          <w:sz w:val="24"/>
          <w:szCs w:val="24"/>
        </w:rPr>
        <w:t xml:space="preserve">all </w:t>
      </w:r>
      <w:r>
        <w:rPr>
          <w:rFonts w:ascii="Times New Roman" w:eastAsia="Times New Roman" w:hAnsi="Times New Roman" w:cs="Times New Roman"/>
          <w:sz w:val="24"/>
          <w:szCs w:val="24"/>
        </w:rPr>
        <w:t>of their ESM responses, accounting for the effects of their pre-program interest and gender (Model 1A). Then, we use the predicted values for engagement as variables in the second model to predict youths’ post-program STEM interest, controlling for the</w:t>
      </w:r>
      <w:r>
        <w:rPr>
          <w:rFonts w:ascii="Times New Roman" w:eastAsia="Times New Roman" w:hAnsi="Times New Roman" w:cs="Times New Roman"/>
          <w:sz w:val="24"/>
          <w:szCs w:val="24"/>
        </w:rPr>
        <w:t xml:space="preserve">ir pre-program interest and with gender as a predictor (Model 1B). These predicted values are called </w:t>
      </w:r>
      <w:r>
        <w:rPr>
          <w:rFonts w:ascii="Times New Roman" w:eastAsia="Times New Roman" w:hAnsi="Times New Roman" w:cs="Times New Roman"/>
          <w:i/>
          <w:sz w:val="24"/>
          <w:szCs w:val="24"/>
        </w:rPr>
        <w:lastRenderedPageBreak/>
        <w:t xml:space="preserve">Best Linear Unbiased Predictors </w:t>
      </w:r>
      <w:r>
        <w:rPr>
          <w:rFonts w:ascii="Times New Roman" w:eastAsia="Times New Roman" w:hAnsi="Times New Roman" w:cs="Times New Roman"/>
          <w:sz w:val="24"/>
          <w:szCs w:val="24"/>
        </w:rPr>
        <w:t>(BLUPs</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represent a compromise between a) simply calculating the mean for each student and b) calculating the overall </w:t>
      </w:r>
      <w:r>
        <w:rPr>
          <w:rFonts w:ascii="Times New Roman" w:eastAsia="Times New Roman" w:hAnsi="Times New Roman" w:cs="Times New Roman"/>
          <w:sz w:val="24"/>
          <w:szCs w:val="24"/>
        </w:rPr>
        <w:t>level of engagement for all students, weighting how much systematic information is available for each youth to estimate a youth-specific effect. They are helpful as a way to concisely summarize students’ engagement over time, as measured through repeated m</w:t>
      </w:r>
      <w:r>
        <w:rPr>
          <w:rFonts w:ascii="Times New Roman" w:eastAsia="Times New Roman" w:hAnsi="Times New Roman" w:cs="Times New Roman"/>
          <w:sz w:val="24"/>
          <w:szCs w:val="24"/>
        </w:rPr>
        <w:t xml:space="preserve">easures ESM responses. This approach is superior to simply calculating the mean, which likely introduces bias into the estimation of models that use it (i.e., results that are statistically significant may be spurious (Gelman &amp; Hill, 2007). For youth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ESM response </w:t>
      </w:r>
      <w:r>
        <w:rPr>
          <w:rFonts w:ascii="Times New Roman" w:eastAsia="Times New Roman" w:hAnsi="Times New Roman" w:cs="Times New Roman"/>
          <w:i/>
          <w:sz w:val="24"/>
          <w:szCs w:val="24"/>
        </w:rPr>
        <w:t xml:space="preserve">i, </w:t>
      </w:r>
      <w:r>
        <w:rPr>
          <w:rFonts w:ascii="Times New Roman" w:eastAsia="Times New Roman" w:hAnsi="Times New Roman" w:cs="Times New Roman"/>
          <w:sz w:val="24"/>
          <w:szCs w:val="24"/>
        </w:rPr>
        <w:t>the models are:</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1A: </w:t>
      </w:r>
    </w:p>
    <w:p w:rsidR="00CC66DE" w:rsidRDefault="000E3E7F">
      <w:pPr>
        <w:spacing w:line="48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predicted-engagement-i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ESM-engagement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gender</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pre-interest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𝜀</w:t>
      </w:r>
      <w:r>
        <w:rPr>
          <w:rFonts w:ascii="Times New Roman" w:eastAsia="Times New Roman" w:hAnsi="Times New Roman" w:cs="Times New Roman"/>
          <w:sz w:val="24"/>
          <w:szCs w:val="24"/>
          <w:vertAlign w:val="subscript"/>
        </w:rPr>
        <w:t>i</w:t>
      </w:r>
    </w:p>
    <w:p w:rsidR="00CC66DE" w:rsidRDefault="000E3E7F">
      <w:pPr>
        <w:spacing w:line="480" w:lineRule="auto"/>
        <w:ind w:firstLine="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xml:space="preserve"> + engagement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*µ</w:t>
      </w:r>
      <w:r>
        <w:rPr>
          <w:rFonts w:ascii="Times New Roman" w:eastAsia="Times New Roman" w:hAnsi="Times New Roman" w:cs="Times New Roman"/>
          <w:sz w:val="24"/>
          <w:szCs w:val="24"/>
          <w:vertAlign w:val="subscript"/>
        </w:rPr>
        <w:t>1</w:t>
      </w:r>
    </w:p>
    <w:p w:rsidR="00CC66DE" w:rsidRDefault="00CC66DE">
      <w:pPr>
        <w:spacing w:line="480" w:lineRule="auto"/>
        <w:ind w:firstLine="720"/>
        <w:rPr>
          <w:rFonts w:ascii="Times New Roman" w:eastAsia="Times New Roman" w:hAnsi="Times New Roman" w:cs="Times New Roman"/>
          <w:sz w:val="24"/>
          <w:szCs w:val="24"/>
          <w:vertAlign w:val="subscript"/>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1B: </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post-interest-i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predicted-engagement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gender</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pre-interest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𝜀</w:t>
      </w:r>
      <w:r>
        <w:rPr>
          <w:rFonts w:ascii="Times New Roman" w:eastAsia="Times New Roman" w:hAnsi="Times New Roman" w:cs="Times New Roman"/>
          <w:sz w:val="24"/>
          <w:szCs w:val="24"/>
          <w:vertAlign w:val="subscript"/>
        </w:rPr>
        <w:t>i</w:t>
      </w:r>
    </w:p>
    <w:p w:rsidR="00CC66DE" w:rsidRDefault="00CC66DE">
      <w:pPr>
        <w:spacing w:line="480" w:lineRule="auto"/>
        <w:rPr>
          <w:rFonts w:ascii="Times New Roman" w:eastAsia="Times New Roman" w:hAnsi="Times New Roman" w:cs="Times New Roman"/>
          <w:sz w:val="24"/>
          <w:szCs w:val="24"/>
          <w:vertAlign w:val="subscript"/>
        </w:rPr>
      </w:pP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this study uses an observational design, we use sensitivity analysis to quantify how robust our inferences are in light of potentially omitted, confounding variables, and other potential sources of bias (see Frank, 2000, for a descripti</w:t>
      </w:r>
      <w:r>
        <w:rPr>
          <w:rFonts w:ascii="Times New Roman" w:eastAsia="Times New Roman" w:hAnsi="Times New Roman" w:cs="Times New Roman"/>
          <w:sz w:val="24"/>
          <w:szCs w:val="24"/>
        </w:rPr>
        <w:t>on of the approach). Using the konfound R package (Rosenberg, Xu, &amp; Frank, 2018), we describe what percentage of an effect would need to be due to invalidate inferences for effects.</w:t>
      </w:r>
    </w:p>
    <w:p w:rsidR="00CC66DE" w:rsidRDefault="000E3E7F">
      <w:pPr>
        <w:spacing w:line="480" w:lineRule="auto"/>
        <w:ind w:firstLine="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The mixed effects modeling approach does not account for the uncertainty i</w:t>
      </w:r>
      <w:r>
        <w:rPr>
          <w:rFonts w:ascii="Times New Roman" w:eastAsia="Times New Roman" w:hAnsi="Times New Roman" w:cs="Times New Roman"/>
          <w:sz w:val="24"/>
          <w:szCs w:val="24"/>
        </w:rPr>
        <w:t xml:space="preserve">n the predictions of youths’ ESM engagement when used to predict their post-program interest </w:t>
      </w:r>
      <w:r>
        <w:rPr>
          <w:rFonts w:ascii="Times New Roman" w:eastAsia="Times New Roman" w:hAnsi="Times New Roman" w:cs="Times New Roman"/>
          <w:sz w:val="24"/>
          <w:szCs w:val="24"/>
        </w:rPr>
        <w:lastRenderedPageBreak/>
        <w:t>(Houslay &amp; Alastair, 2017). Accordingly, we were concerned about the possibility of the results appearing stronger than they should be. Therefore, we pursued a one</w:t>
      </w:r>
      <w:r>
        <w:rPr>
          <w:rFonts w:ascii="Times New Roman" w:eastAsia="Times New Roman" w:hAnsi="Times New Roman" w:cs="Times New Roman"/>
          <w:sz w:val="24"/>
          <w:szCs w:val="24"/>
        </w:rPr>
        <w:t>-step modeling approach. We used a Markov Chain Monte Carlo (MCMC) approach in a Bayesian framework, estimating a model predicting youths’ ESM engagement and post-interest as part of a single model, with the relationship between these two outcomes (after a</w:t>
      </w:r>
      <w:r>
        <w:rPr>
          <w:rFonts w:ascii="Times New Roman" w:eastAsia="Times New Roman" w:hAnsi="Times New Roman" w:cs="Times New Roman"/>
          <w:sz w:val="24"/>
          <w:szCs w:val="24"/>
        </w:rPr>
        <w:t>ccounting for youths’ pre-program interest and gender) being used to explain how their ESM engagement related to changes in their post-program interest. This method requires priors, or distributions representing the plausibility of candidate parameters; we</w:t>
      </w:r>
      <w:r>
        <w:rPr>
          <w:rFonts w:ascii="Times New Roman" w:eastAsia="Times New Roman" w:hAnsi="Times New Roman" w:cs="Times New Roman"/>
          <w:sz w:val="24"/>
          <w:szCs w:val="24"/>
        </w:rPr>
        <w:t xml:space="preserve"> briefly describe the “non-committal” priors we used in the absence of past research results or theory to guide their use in a more informative way, and to more simply compare the estimated effects of interest between the two approaches. We discuss the pri</w:t>
      </w:r>
      <w:r>
        <w:rPr>
          <w:rFonts w:ascii="Times New Roman" w:eastAsia="Times New Roman" w:hAnsi="Times New Roman" w:cs="Times New Roman"/>
          <w:sz w:val="24"/>
          <w:szCs w:val="24"/>
        </w:rPr>
        <w:t xml:space="preserve">ors we specified in Appendix A. The results, which were very similar to those obtained from the two-step approach using mixed effects models, are presented in Appendix B and are briefly referenced in the discussion section. </w:t>
      </w:r>
    </w:p>
    <w:p w:rsidR="00CC66DE" w:rsidRDefault="000E3E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Results</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w:t>
      </w:r>
      <w:r>
        <w:rPr>
          <w:rFonts w:ascii="Times New Roman" w:eastAsia="Times New Roman" w:hAnsi="Times New Roman" w:cs="Times New Roman"/>
          <w:sz w:val="24"/>
          <w:szCs w:val="24"/>
        </w:rPr>
        <w:t xml:space="preserve">st, we report descriptive statistics and Pearson correlations for all study variables. Table 2 shows that youths’ pre and post-program interest had similar means (pre-interest: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3.04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0.90); post-interest: 3.10 (0.91), measured on a scale with a ra</w:t>
      </w:r>
      <w:r>
        <w:rPr>
          <w:rFonts w:ascii="Times New Roman" w:eastAsia="Times New Roman" w:hAnsi="Times New Roman" w:cs="Times New Roman"/>
          <w:sz w:val="24"/>
          <w:szCs w:val="24"/>
        </w:rPr>
        <w:t>nge of one-four, indicating higher-than-average interest in STEM. The mean difference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pre-interest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pre-interest </w:t>
      </w:r>
      <w:r>
        <w:rPr>
          <w:rFonts w:ascii="Times New Roman" w:eastAsia="Times New Roman" w:hAnsi="Times New Roman" w:cs="Times New Roman"/>
          <w:sz w:val="24"/>
          <w:szCs w:val="24"/>
        </w:rPr>
        <w:t xml:space="preserve">= 0.03) in interest, using a paired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 was not significant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=0.485, p = 628), indicating that--not accounting for youth’ engagement </w:t>
      </w:r>
      <w:r>
        <w:rPr>
          <w:rFonts w:ascii="Times New Roman" w:eastAsia="Times New Roman" w:hAnsi="Times New Roman" w:cs="Times New Roman"/>
          <w:i/>
          <w:sz w:val="24"/>
          <w:szCs w:val="24"/>
        </w:rPr>
        <w:t>during</w:t>
      </w:r>
      <w:r>
        <w:rPr>
          <w:rFonts w:ascii="Times New Roman" w:eastAsia="Times New Roman" w:hAnsi="Times New Roman" w:cs="Times New Roman"/>
          <w:sz w:val="24"/>
          <w:szCs w:val="24"/>
        </w:rPr>
        <w:t xml:space="preserve"> the programs--youths’ average interest does not change from before to after their involvement in the program. The correlation between pre and post-interest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 .59) was high, indicating that youth who enter the program with high interest </w:t>
      </w:r>
      <w:r>
        <w:rPr>
          <w:rFonts w:ascii="Times New Roman" w:eastAsia="Times New Roman" w:hAnsi="Times New Roman" w:cs="Times New Roman"/>
          <w:sz w:val="24"/>
          <w:szCs w:val="24"/>
        </w:rPr>
        <w:lastRenderedPageBreak/>
        <w:t>are likely</w:t>
      </w:r>
      <w:r>
        <w:rPr>
          <w:rFonts w:ascii="Times New Roman" w:eastAsia="Times New Roman" w:hAnsi="Times New Roman" w:cs="Times New Roman"/>
          <w:sz w:val="24"/>
          <w:szCs w:val="24"/>
        </w:rPr>
        <w:t xml:space="preserve"> to leave with high interest. Note that this does not suggest that these youths’ interest has changed, but rather that there is a high degree of alignment between youths’ pre- and post-interest in STEM domains. Youths’ mean level of engagement was 2.86 (0.</w:t>
      </w:r>
      <w:r>
        <w:rPr>
          <w:rFonts w:ascii="Times New Roman" w:eastAsia="Times New Roman" w:hAnsi="Times New Roman" w:cs="Times New Roman"/>
          <w:sz w:val="24"/>
          <w:szCs w:val="24"/>
        </w:rPr>
        <w:t>86), indicating moderately high youth engagement as measured by the approximately 2,700 ESM responses youth completed throughout the programs. The correlation between ESM engagement and pre-interest and post-interest was moderate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.15 and .30, respectively).</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Descriptive statistics for study variables.</w:t>
      </w:r>
    </w:p>
    <w:tbl>
      <w:tblPr>
        <w:tblStyle w:val="a0"/>
        <w:tblW w:w="5040" w:type="dxa"/>
        <w:tblInd w:w="100" w:type="dxa"/>
        <w:tblLayout w:type="fixed"/>
        <w:tblLook w:val="0600" w:firstRow="0" w:lastRow="0" w:firstColumn="0" w:lastColumn="0" w:noHBand="1" w:noVBand="1"/>
      </w:tblPr>
      <w:tblGrid>
        <w:gridCol w:w="1266"/>
        <w:gridCol w:w="901"/>
        <w:gridCol w:w="901"/>
        <w:gridCol w:w="910"/>
        <w:gridCol w:w="901"/>
        <w:gridCol w:w="161"/>
      </w:tblGrid>
      <w:tr w:rsidR="00CC66DE" w:rsidTr="00AC1815">
        <w:trPr>
          <w:trHeight w:val="500"/>
        </w:trPr>
        <w:tc>
          <w:tcPr>
            <w:tcW w:w="1266" w:type="dxa"/>
            <w:tcBorders>
              <w:top w:val="nil"/>
              <w:left w:val="nil"/>
              <w:bottom w:val="single" w:sz="4" w:space="0" w:color="auto"/>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901" w:type="dxa"/>
            <w:tcBorders>
              <w:top w:val="nil"/>
              <w:left w:val="nil"/>
              <w:bottom w:val="single" w:sz="4" w:space="0" w:color="auto"/>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responses</w:t>
            </w:r>
          </w:p>
        </w:tc>
        <w:tc>
          <w:tcPr>
            <w:tcW w:w="901" w:type="dxa"/>
            <w:tcBorders>
              <w:top w:val="nil"/>
              <w:left w:val="nil"/>
              <w:bottom w:val="single" w:sz="4" w:space="0" w:color="auto"/>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910" w:type="dxa"/>
            <w:tcBorders>
              <w:top w:val="nil"/>
              <w:left w:val="nil"/>
              <w:bottom w:val="single" w:sz="4" w:space="0" w:color="auto"/>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1062" w:type="dxa"/>
            <w:gridSpan w:val="2"/>
            <w:tcBorders>
              <w:top w:val="nil"/>
              <w:left w:val="nil"/>
              <w:bottom w:val="single" w:sz="4" w:space="0" w:color="auto"/>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r>
      <w:tr w:rsidR="00CC66DE" w:rsidTr="00AC1815">
        <w:trPr>
          <w:gridAfter w:val="1"/>
          <w:wAfter w:w="161" w:type="dxa"/>
          <w:trHeight w:val="880"/>
        </w:trPr>
        <w:tc>
          <w:tcPr>
            <w:tcW w:w="1266" w:type="dxa"/>
            <w:tcBorders>
              <w:top w:val="single" w:sz="4" w:space="0" w:color="auto"/>
              <w:left w:val="nil"/>
              <w:bottom w:val="nil"/>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Pre-interest</w:t>
            </w:r>
          </w:p>
        </w:tc>
        <w:tc>
          <w:tcPr>
            <w:tcW w:w="901" w:type="dxa"/>
            <w:tcBorders>
              <w:top w:val="single" w:sz="4" w:space="0" w:color="auto"/>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193</w:t>
            </w:r>
          </w:p>
        </w:tc>
        <w:tc>
          <w:tcPr>
            <w:tcW w:w="901" w:type="dxa"/>
            <w:tcBorders>
              <w:top w:val="single" w:sz="4" w:space="0" w:color="auto"/>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3.044</w:t>
            </w:r>
          </w:p>
        </w:tc>
        <w:tc>
          <w:tcPr>
            <w:tcW w:w="910" w:type="dxa"/>
            <w:tcBorders>
              <w:top w:val="single" w:sz="4" w:space="0" w:color="auto"/>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901" w:type="dxa"/>
            <w:tcBorders>
              <w:top w:val="single" w:sz="4" w:space="0" w:color="auto"/>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tc>
      </w:tr>
      <w:tr w:rsidR="00CC66DE" w:rsidTr="00AC1815">
        <w:trPr>
          <w:gridAfter w:val="1"/>
          <w:wAfter w:w="161" w:type="dxa"/>
          <w:trHeight w:val="500"/>
        </w:trPr>
        <w:tc>
          <w:tcPr>
            <w:tcW w:w="1266" w:type="dxa"/>
            <w:tcBorders>
              <w:top w:val="nil"/>
              <w:left w:val="nil"/>
              <w:bottom w:val="nil"/>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Post-interest</w:t>
            </w:r>
          </w:p>
        </w:tc>
        <w:tc>
          <w:tcPr>
            <w:tcW w:w="901"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901"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910"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901"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tc>
      </w:tr>
      <w:tr w:rsidR="00CC66DE" w:rsidTr="00AC1815">
        <w:trPr>
          <w:gridAfter w:val="1"/>
          <w:wAfter w:w="161" w:type="dxa"/>
          <w:trHeight w:val="500"/>
        </w:trPr>
        <w:tc>
          <w:tcPr>
            <w:tcW w:w="1266" w:type="dxa"/>
            <w:tcBorders>
              <w:top w:val="nil"/>
              <w:left w:val="nil"/>
              <w:bottom w:val="nil"/>
              <w:right w:val="nil"/>
            </w:tcBorders>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ESM engagement</w:t>
            </w:r>
          </w:p>
        </w:tc>
        <w:tc>
          <w:tcPr>
            <w:tcW w:w="901"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2714</w:t>
            </w:r>
          </w:p>
        </w:tc>
        <w:tc>
          <w:tcPr>
            <w:tcW w:w="901"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2.862</w:t>
            </w:r>
          </w:p>
        </w:tc>
        <w:tc>
          <w:tcPr>
            <w:tcW w:w="910"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01" w:type="dxa"/>
            <w:tcMar>
              <w:top w:w="100" w:type="dxa"/>
              <w:left w:w="100" w:type="dxa"/>
              <w:bottom w:w="100" w:type="dxa"/>
              <w:right w:w="100" w:type="dxa"/>
            </w:tcMar>
          </w:tcPr>
          <w:p w:rsidR="00CC66DE" w:rsidRDefault="000E3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2.83</w:t>
            </w:r>
          </w:p>
        </w:tc>
      </w:tr>
    </w:tbl>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Models Predicting Momentary Engagement and Post-Program STEM Interest</w:t>
      </w:r>
    </w:p>
    <w:p w:rsidR="00CC66DE" w:rsidRDefault="000E3E7F">
      <w:pPr>
        <w:spacing w:line="480" w:lineRule="auto"/>
        <w:ind w:firstLine="720"/>
        <w:rPr>
          <w:rFonts w:ascii="Times New Roman" w:eastAsia="Times New Roman" w:hAnsi="Times New Roman" w:cs="Times New Roman"/>
          <w:i/>
          <w:sz w:val="24"/>
          <w:szCs w:val="24"/>
          <w:vertAlign w:val="superscript"/>
        </w:rPr>
      </w:pPr>
      <w:r>
        <w:rPr>
          <w:rFonts w:ascii="Times New Roman" w:eastAsia="Times New Roman" w:hAnsi="Times New Roman" w:cs="Times New Roman"/>
          <w:sz w:val="24"/>
          <w:szCs w:val="24"/>
        </w:rPr>
        <w:t>First, we present results from mixed effects (or multilevel) models. Model 1A specified youths’ momentary engagement, measured via the ESM, as the outcome, with fixed effects for youths’</w:t>
      </w:r>
      <w:r>
        <w:rPr>
          <w:rFonts w:ascii="Times New Roman" w:eastAsia="Times New Roman" w:hAnsi="Times New Roman" w:cs="Times New Roman"/>
          <w:sz w:val="24"/>
          <w:szCs w:val="24"/>
        </w:rPr>
        <w:t xml:space="preserve"> gender and pre-program STEM interest, and a random intercept--representing youth-specific differences from the overall, mean levels of engagement--for each youth. The first model, predicting youths’ ESM engagement (their engagement as indicated by their r</w:t>
      </w:r>
      <w:r>
        <w:rPr>
          <w:rFonts w:ascii="Times New Roman" w:eastAsia="Times New Roman" w:hAnsi="Times New Roman" w:cs="Times New Roman"/>
          <w:sz w:val="24"/>
          <w:szCs w:val="24"/>
        </w:rPr>
        <w:t xml:space="preserve">esponses </w:t>
      </w:r>
      <w:r>
        <w:rPr>
          <w:rFonts w:ascii="Times New Roman" w:eastAsia="Times New Roman" w:hAnsi="Times New Roman" w:cs="Times New Roman"/>
          <w:sz w:val="24"/>
          <w:szCs w:val="24"/>
        </w:rPr>
        <w:lastRenderedPageBreak/>
        <w:t>over the course of their time in the programs) show that females’ engagement is estimated to be lower than males’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-.06 (</w:t>
      </w:r>
      <w:r>
        <w:rPr>
          <w:rFonts w:ascii="Times New Roman" w:eastAsia="Times New Roman" w:hAnsi="Times New Roman" w:cs="Times New Roman"/>
          <w:i/>
          <w:sz w:val="24"/>
          <w:szCs w:val="24"/>
        </w:rPr>
        <w:t xml:space="preserve">SE </w:t>
      </w:r>
      <w:r>
        <w:rPr>
          <w:rFonts w:ascii="Times New Roman" w:eastAsia="Times New Roman" w:hAnsi="Times New Roman" w:cs="Times New Roman"/>
          <w:sz w:val="24"/>
          <w:szCs w:val="24"/>
        </w:rPr>
        <w:t>= .09), p = .45). But, this effect did not reach the criterion for statistical significance. The effect of youths’ pre-</w:t>
      </w:r>
      <w:r>
        <w:rPr>
          <w:rFonts w:ascii="Times New Roman" w:eastAsia="Times New Roman" w:hAnsi="Times New Roman" w:cs="Times New Roman"/>
          <w:sz w:val="24"/>
          <w:szCs w:val="24"/>
        </w:rPr>
        <w:t>program interest was positive and statistically significant (B = 0.10 (0.05), p = .033), suggesting that youth with relatively higher levels of pre-program interest tended to be more engaged during daily program activities. However, only 6.81% of this infe</w:t>
      </w:r>
      <w:r>
        <w:rPr>
          <w:rFonts w:ascii="Times New Roman" w:eastAsia="Times New Roman" w:hAnsi="Times New Roman" w:cs="Times New Roman"/>
          <w:sz w:val="24"/>
          <w:szCs w:val="24"/>
        </w:rPr>
        <w:t>rence would need to be due to bias to be invalidated, indicating that this effect is likely not very robust due to potential sources of bias. Model 2B predicted students’ post-program interest on the basis of their gender, pre-program interest, and their p</w:t>
      </w:r>
      <w:r>
        <w:rPr>
          <w:rFonts w:ascii="Times New Roman" w:eastAsia="Times New Roman" w:hAnsi="Times New Roman" w:cs="Times New Roman"/>
          <w:sz w:val="24"/>
          <w:szCs w:val="24"/>
        </w:rPr>
        <w:t>redicted engagement (which is a youth-specific prediction of their engagement throughout their time in the program). The results for this outcome showed that female interest is estimated to be lower than for males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-0.14 (</w:t>
      </w:r>
      <w:r>
        <w:rPr>
          <w:rFonts w:ascii="Times New Roman" w:eastAsia="Times New Roman" w:hAnsi="Times New Roman" w:cs="Times New Roman"/>
          <w:i/>
          <w:sz w:val="24"/>
          <w:szCs w:val="24"/>
        </w:rPr>
        <w:t xml:space="preserve">SE </w:t>
      </w:r>
      <w:r>
        <w:rPr>
          <w:rFonts w:ascii="Times New Roman" w:eastAsia="Times New Roman" w:hAnsi="Times New Roman" w:cs="Times New Roman"/>
          <w:sz w:val="24"/>
          <w:szCs w:val="24"/>
        </w:rPr>
        <w:t xml:space="preserve">= 0.11), p = .239), though </w:t>
      </w:r>
      <w:r>
        <w:rPr>
          <w:rFonts w:ascii="Times New Roman" w:eastAsia="Times New Roman" w:hAnsi="Times New Roman" w:cs="Times New Roman"/>
          <w:sz w:val="24"/>
          <w:szCs w:val="24"/>
        </w:rPr>
        <w:t>it did not reach statistical significance. Not surprisingly, the effect of youths’ pre-program interest upon post-program interest is positive and statistically significant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0.62 (</w:t>
      </w:r>
      <w:r>
        <w:rPr>
          <w:rFonts w:ascii="Times New Roman" w:eastAsia="Times New Roman" w:hAnsi="Times New Roman" w:cs="Times New Roman"/>
          <w:i/>
          <w:sz w:val="24"/>
          <w:szCs w:val="24"/>
        </w:rPr>
        <w:t xml:space="preserve">SE </w:t>
      </w:r>
      <w:r>
        <w:rPr>
          <w:rFonts w:ascii="Times New Roman" w:eastAsia="Times New Roman" w:hAnsi="Times New Roman" w:cs="Times New Roman"/>
          <w:sz w:val="24"/>
          <w:szCs w:val="24"/>
        </w:rPr>
        <w:t>= 0.06), p &lt; .001) indicating that youth with high levels of pre-program interest tend to have high levels of post-program interest when they leave the program This effect was robust, with 78.27% needing to be due to bias in order to be invalidated. The ef</w:t>
      </w:r>
      <w:r>
        <w:rPr>
          <w:rFonts w:ascii="Times New Roman" w:eastAsia="Times New Roman" w:hAnsi="Times New Roman" w:cs="Times New Roman"/>
          <w:sz w:val="24"/>
          <w:szCs w:val="24"/>
        </w:rPr>
        <w:t>fect of youths’ predicted engagement during the course of programming upon their post-program interest was positive and statistically significant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0.46 (</w:t>
      </w:r>
      <w:r>
        <w:rPr>
          <w:rFonts w:ascii="Times New Roman" w:eastAsia="Times New Roman" w:hAnsi="Times New Roman" w:cs="Times New Roman"/>
          <w:i/>
          <w:sz w:val="24"/>
          <w:szCs w:val="24"/>
        </w:rPr>
        <w:t xml:space="preserve">SE </w:t>
      </w:r>
      <w:r>
        <w:rPr>
          <w:rFonts w:ascii="Times New Roman" w:eastAsia="Times New Roman" w:hAnsi="Times New Roman" w:cs="Times New Roman"/>
          <w:sz w:val="24"/>
          <w:szCs w:val="24"/>
        </w:rPr>
        <w:t>= 0.10), p &lt; .001), even after accounting for the effects of their pre-program interest and gend</w:t>
      </w:r>
      <w:r>
        <w:rPr>
          <w:rFonts w:ascii="Times New Roman" w:eastAsia="Times New Roman" w:hAnsi="Times New Roman" w:cs="Times New Roman"/>
          <w:sz w:val="24"/>
          <w:szCs w:val="24"/>
        </w:rPr>
        <w:t>er. This suggests that youth who sustain high levels of momentary engagement  over the course of the program tend to experience increases in STEM interest over the course of the summer program, regardless of their level of STEM interest when the program be</w:t>
      </w:r>
      <w:r>
        <w:rPr>
          <w:rFonts w:ascii="Times New Roman" w:eastAsia="Times New Roman" w:hAnsi="Times New Roman" w:cs="Times New Roman"/>
          <w:sz w:val="24"/>
          <w:szCs w:val="24"/>
        </w:rPr>
        <w:t>gan. This effect was also robust, with 53.34% needing to be due to bias for it to be invalidated. We also calculated a partial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for this effect, finding that it indicates a moderate-sized effect (partial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.340). </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Results from mixed effects </w:t>
      </w:r>
      <w:r>
        <w:rPr>
          <w:rFonts w:ascii="Times New Roman" w:eastAsia="Times New Roman" w:hAnsi="Times New Roman" w:cs="Times New Roman"/>
          <w:sz w:val="24"/>
          <w:szCs w:val="24"/>
        </w:rPr>
        <w:t>models with engagement.</w:t>
      </w:r>
    </w:p>
    <w:tbl>
      <w:tblPr>
        <w:tblStyle w:val="a1"/>
        <w:tblW w:w="9360" w:type="dxa"/>
        <w:tblInd w:w="100" w:type="dxa"/>
        <w:tblLayout w:type="fixed"/>
        <w:tblLook w:val="0600" w:firstRow="0" w:lastRow="0" w:firstColumn="0" w:lastColumn="0" w:noHBand="1" w:noVBand="1"/>
      </w:tblPr>
      <w:tblGrid>
        <w:gridCol w:w="4680"/>
        <w:gridCol w:w="4680"/>
      </w:tblGrid>
      <w:tr w:rsidR="00CC66DE" w:rsidTr="00AC1815">
        <w:tc>
          <w:tcPr>
            <w:tcW w:w="4680" w:type="dxa"/>
            <w:tcBorders>
              <w:bottom w:val="single" w:sz="4" w:space="0" w:color="auto"/>
            </w:tcBorders>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Model 1A (Predicting Engagement)</w:t>
            </w:r>
          </w:p>
        </w:tc>
        <w:tc>
          <w:tcPr>
            <w:tcW w:w="4680" w:type="dxa"/>
            <w:tcBorders>
              <w:bottom w:val="single" w:sz="4" w:space="0" w:color="auto"/>
            </w:tcBorders>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(SE)</w:t>
            </w:r>
          </w:p>
        </w:tc>
      </w:tr>
      <w:tr w:rsidR="00CC66DE" w:rsidTr="00AC1815">
        <w:tc>
          <w:tcPr>
            <w:tcW w:w="4680" w:type="dxa"/>
            <w:tcBorders>
              <w:top w:val="single" w:sz="4" w:space="0" w:color="auto"/>
            </w:tcBorders>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Fixed parts</w:t>
            </w:r>
          </w:p>
        </w:tc>
        <w:tc>
          <w:tcPr>
            <w:tcW w:w="4680" w:type="dxa"/>
            <w:tcBorders>
              <w:top w:val="single" w:sz="4" w:space="0" w:color="auto"/>
            </w:tcBorders>
            <w:shd w:val="clear" w:color="auto" w:fill="auto"/>
            <w:tcMar>
              <w:top w:w="100" w:type="dxa"/>
              <w:left w:w="100" w:type="dxa"/>
              <w:bottom w:w="100" w:type="dxa"/>
              <w:right w:w="100" w:type="dxa"/>
            </w:tcMar>
          </w:tcPr>
          <w:p w:rsidR="00CC66DE" w:rsidRDefault="00CC66DE">
            <w:pPr>
              <w:widowControl w:val="0"/>
              <w:spacing w:line="240" w:lineRule="auto"/>
              <w:rPr>
                <w:rFonts w:ascii="Times New Roman" w:eastAsia="Times New Roman" w:hAnsi="Times New Roman" w:cs="Times New Roman"/>
                <w:sz w:val="24"/>
                <w:szCs w:val="24"/>
              </w:rPr>
            </w:pP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 (0.17)</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(Female)</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 (0.09, p = .45)</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Pre-interest</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 (0.05, p = .033)</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parts</w:t>
            </w:r>
          </w:p>
        </w:tc>
        <w:tc>
          <w:tcPr>
            <w:tcW w:w="4680" w:type="dxa"/>
            <w:shd w:val="clear" w:color="auto" w:fill="auto"/>
            <w:tcMar>
              <w:top w:w="100" w:type="dxa"/>
              <w:left w:w="100" w:type="dxa"/>
              <w:bottom w:w="100" w:type="dxa"/>
              <w:right w:w="100" w:type="dxa"/>
            </w:tcMar>
          </w:tcPr>
          <w:p w:rsidR="00CC66DE" w:rsidRDefault="00CC66DE">
            <w:pPr>
              <w:widowControl w:val="0"/>
              <w:spacing w:line="240" w:lineRule="auto"/>
              <w:rPr>
                <w:rFonts w:ascii="Times New Roman" w:eastAsia="Times New Roman" w:hAnsi="Times New Roman" w:cs="Times New Roman"/>
                <w:sz w:val="24"/>
                <w:szCs w:val="24"/>
              </w:rPr>
            </w:pP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Youth (var)</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2A (Predicting Post-interest)</w:t>
            </w:r>
          </w:p>
        </w:tc>
        <w:tc>
          <w:tcPr>
            <w:tcW w:w="4680" w:type="dxa"/>
            <w:shd w:val="clear" w:color="auto" w:fill="auto"/>
            <w:tcMar>
              <w:top w:w="100" w:type="dxa"/>
              <w:left w:w="100" w:type="dxa"/>
              <w:bottom w:w="100" w:type="dxa"/>
              <w:right w:w="100" w:type="dxa"/>
            </w:tcMar>
          </w:tcPr>
          <w:p w:rsidR="00CC66DE" w:rsidRDefault="00CC66DE">
            <w:pPr>
              <w:widowControl w:val="0"/>
              <w:spacing w:line="240" w:lineRule="auto"/>
              <w:rPr>
                <w:rFonts w:ascii="Times New Roman" w:eastAsia="Times New Roman" w:hAnsi="Times New Roman" w:cs="Times New Roman"/>
                <w:sz w:val="24"/>
                <w:szCs w:val="24"/>
              </w:rPr>
            </w:pP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 (0.23)</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(Female)</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 (0.11, p = .239)</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Pre-interest</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 (.06, p &lt; .001)</w:t>
            </w:r>
          </w:p>
        </w:tc>
      </w:tr>
      <w:tr w:rsidR="00CC66DE">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engagement</w:t>
            </w:r>
          </w:p>
        </w:tc>
        <w:tc>
          <w:tcPr>
            <w:tcW w:w="4680" w:type="dxa"/>
            <w:shd w:val="clear" w:color="auto" w:fill="auto"/>
            <w:tcMar>
              <w:top w:w="100" w:type="dxa"/>
              <w:left w:w="100" w:type="dxa"/>
              <w:bottom w:w="100" w:type="dxa"/>
              <w:right w:w="100" w:type="dxa"/>
            </w:tcMar>
          </w:tcPr>
          <w:p w:rsidR="00CC66DE" w:rsidRDefault="000E3E7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0.46 (0.10, p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.340</w:t>
            </w:r>
          </w:p>
        </w:tc>
      </w:tr>
    </w:tbl>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discuss key findings and limitations and recommendations for research.</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Findings</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sought to understand how youths’ engagement in summer STEM programs impacted their development of interest. Instead of using youths’ mean level of engagement across their ESM responses, we first used BLUPs from mixed effects models by modeling ESM engag</w:t>
      </w:r>
      <w:r>
        <w:rPr>
          <w:rFonts w:ascii="Times New Roman" w:eastAsia="Times New Roman" w:hAnsi="Times New Roman" w:cs="Times New Roman"/>
          <w:sz w:val="24"/>
          <w:szCs w:val="24"/>
        </w:rPr>
        <w:t xml:space="preserve">ement as an outcome, which were estimated along with the other parameters estimated in the first model. For this model, we found that youths’ pre-program interest predicted </w:t>
      </w:r>
      <w:proofErr w:type="gramStart"/>
      <w:r>
        <w:rPr>
          <w:rFonts w:ascii="Times New Roman" w:eastAsia="Times New Roman" w:hAnsi="Times New Roman" w:cs="Times New Roman"/>
          <w:sz w:val="24"/>
          <w:szCs w:val="24"/>
        </w:rPr>
        <w:t>their</w:t>
      </w:r>
      <w:proofErr w:type="gramEnd"/>
      <w:r>
        <w:rPr>
          <w:rFonts w:ascii="Times New Roman" w:eastAsia="Times New Roman" w:hAnsi="Times New Roman" w:cs="Times New Roman"/>
          <w:sz w:val="24"/>
          <w:szCs w:val="24"/>
        </w:rPr>
        <w:t xml:space="preserve"> in-the-moment engagement (though the effect was small), suggesting that youth</w:t>
      </w:r>
      <w:r>
        <w:rPr>
          <w:rFonts w:ascii="Times New Roman" w:eastAsia="Times New Roman" w:hAnsi="Times New Roman" w:cs="Times New Roman"/>
          <w:sz w:val="24"/>
          <w:szCs w:val="24"/>
        </w:rPr>
        <w:t xml:space="preserve"> who begin summer STEM programs with higher initial interest have a (modest) tendency to be more engaged while </w:t>
      </w:r>
      <w:r>
        <w:rPr>
          <w:rFonts w:ascii="Times New Roman" w:eastAsia="Times New Roman" w:hAnsi="Times New Roman" w:cs="Times New Roman"/>
          <w:sz w:val="24"/>
          <w:szCs w:val="24"/>
        </w:rPr>
        <w:lastRenderedPageBreak/>
        <w:t>attending the program. Gender did not predict youths’ in-the-moment engagement. Second, we used the BLUPs (as students’ predicted interest over t</w:t>
      </w:r>
      <w:r>
        <w:rPr>
          <w:rFonts w:ascii="Times New Roman" w:eastAsia="Times New Roman" w:hAnsi="Times New Roman" w:cs="Times New Roman"/>
          <w:sz w:val="24"/>
          <w:szCs w:val="24"/>
        </w:rPr>
        <w:t xml:space="preserve">heir time in the program) as predictors in the model with youths’ post-program interest as the outcome. In alignment with Hidi and Renninger’s (2006) model of interest development and in support of research (i.e., Dabney et al., 2012) on the impact of OST </w:t>
      </w:r>
      <w:r>
        <w:rPr>
          <w:rFonts w:ascii="Times New Roman" w:eastAsia="Times New Roman" w:hAnsi="Times New Roman" w:cs="Times New Roman"/>
          <w:sz w:val="24"/>
          <w:szCs w:val="24"/>
        </w:rPr>
        <w:t xml:space="preserve">STEM programs, we found that students’ sustained engagement over the course of the summer programs strongly predicted </w:t>
      </w:r>
      <w:r>
        <w:rPr>
          <w:rFonts w:ascii="Times New Roman" w:eastAsia="Times New Roman" w:hAnsi="Times New Roman" w:cs="Times New Roman"/>
          <w:i/>
          <w:sz w:val="24"/>
          <w:szCs w:val="24"/>
        </w:rPr>
        <w:t>changes</w:t>
      </w:r>
      <w:r>
        <w:rPr>
          <w:rFonts w:ascii="Times New Roman" w:eastAsia="Times New Roman" w:hAnsi="Times New Roman" w:cs="Times New Roman"/>
          <w:sz w:val="24"/>
          <w:szCs w:val="24"/>
        </w:rPr>
        <w:t xml:space="preserve"> in their interest: For every one-unit change in their predicted engagement (when engagement is measured on a one-four scale), inte</w:t>
      </w:r>
      <w:r>
        <w:rPr>
          <w:rFonts w:ascii="Times New Roman" w:eastAsia="Times New Roman" w:hAnsi="Times New Roman" w:cs="Times New Roman"/>
          <w:sz w:val="24"/>
          <w:szCs w:val="24"/>
        </w:rPr>
        <w:t xml:space="preserve">rest in STEM (also measured with a one-four scale) after the program was .46 units greater.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Particularly in light of the overall lack of change in youths’ interest (the not statistically significant change in pre-post program interest in STEM), these resu</w:t>
      </w:r>
      <w:r>
        <w:rPr>
          <w:rFonts w:ascii="Times New Roman" w:eastAsia="Times New Roman" w:hAnsi="Times New Roman" w:cs="Times New Roman"/>
          <w:sz w:val="24"/>
          <w:szCs w:val="24"/>
        </w:rPr>
        <w:t xml:space="preserve">lts show that is not participation in summer STEM programing, but level of engagement in these program impacts their interest in STEM domains. These results suggest that youths’ experiences in summer STEM programs strongly and positively relate to changes </w:t>
      </w:r>
      <w:r>
        <w:rPr>
          <w:rFonts w:ascii="Times New Roman" w:eastAsia="Times New Roman" w:hAnsi="Times New Roman" w:cs="Times New Roman"/>
          <w:sz w:val="24"/>
          <w:szCs w:val="24"/>
        </w:rPr>
        <w:t xml:space="preserve">in interest in STEM domains.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Notably, when we used a more conservative MCMC approach (Appendix B), the effects were essentially the same, though with a slightly smaller estimated effect for the relationships observed. For example, the partial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(calculat</w:t>
      </w:r>
      <w:r>
        <w:rPr>
          <w:rFonts w:ascii="Times New Roman" w:eastAsia="Times New Roman" w:hAnsi="Times New Roman" w:cs="Times New Roman"/>
          <w:sz w:val="24"/>
          <w:szCs w:val="24"/>
        </w:rPr>
        <w:t>ed to more easily compare results between the two approaches) for the effect of youths’ predicted engagement for the effect of youths’ predicted engagement was moderate--and statistically significantly different from zero--using both modeling approaches (P</w:t>
      </w:r>
      <w:r>
        <w:rPr>
          <w:rFonts w:ascii="Times New Roman" w:eastAsia="Times New Roman" w:hAnsi="Times New Roman" w:cs="Times New Roman"/>
          <w:sz w:val="24"/>
          <w:szCs w:val="24"/>
        </w:rPr>
        <w:t>artial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from the mixed effects modeling approach = .34; Partial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from the mixed effects modeling approach = .27). While both approaches yielded similar results in this case, in cases with less strong effects, the more conservative MCMC approach could b</w:t>
      </w:r>
      <w:r>
        <w:rPr>
          <w:rFonts w:ascii="Times New Roman" w:eastAsia="Times New Roman" w:hAnsi="Times New Roman" w:cs="Times New Roman"/>
          <w:sz w:val="24"/>
          <w:szCs w:val="24"/>
        </w:rPr>
        <w:t xml:space="preserve">e used to avoid making potentially spurious inferences (Houslay &amp; Wilson, 2017). Particularly for </w:t>
      </w:r>
      <w:r>
        <w:rPr>
          <w:rFonts w:ascii="Times New Roman" w:eastAsia="Times New Roman" w:hAnsi="Times New Roman" w:cs="Times New Roman"/>
          <w:sz w:val="24"/>
          <w:szCs w:val="24"/>
        </w:rPr>
        <w:lastRenderedPageBreak/>
        <w:t xml:space="preserve">complex data structures, such an approach can compare </w:t>
      </w:r>
      <w:proofErr w:type="gramStart"/>
      <w:r>
        <w:rPr>
          <w:rFonts w:ascii="Times New Roman" w:eastAsia="Times New Roman" w:hAnsi="Times New Roman" w:cs="Times New Roman"/>
          <w:sz w:val="24"/>
          <w:szCs w:val="24"/>
        </w:rPr>
        <w:t>and in some cases</w:t>
      </w:r>
      <w:proofErr w:type="gramEnd"/>
      <w:r>
        <w:rPr>
          <w:rFonts w:ascii="Times New Roman" w:eastAsia="Times New Roman" w:hAnsi="Times New Roman" w:cs="Times New Roman"/>
          <w:sz w:val="24"/>
          <w:szCs w:val="24"/>
        </w:rPr>
        <w:t xml:space="preserve"> have advantages (i.e., in data with complex random effects structures) over other appr</w:t>
      </w:r>
      <w:r>
        <w:rPr>
          <w:rFonts w:ascii="Times New Roman" w:eastAsia="Times New Roman" w:hAnsi="Times New Roman" w:cs="Times New Roman"/>
          <w:sz w:val="24"/>
          <w:szCs w:val="24"/>
        </w:rPr>
        <w:t xml:space="preserve">oaches, such as multilevel Structural Equation Modeling. While this was a study designed to ask and answer a substantive question about youths’ engagement and how it relates to their interest, it demonstrates the use of a data analytic approach (i.e., the </w:t>
      </w:r>
      <w:r>
        <w:rPr>
          <w:rFonts w:ascii="Times New Roman" w:eastAsia="Times New Roman" w:hAnsi="Times New Roman" w:cs="Times New Roman"/>
          <w:sz w:val="24"/>
          <w:szCs w:val="24"/>
        </w:rPr>
        <w:t>use of youths’ predicted engagement from mixed effects models--and, in the appendix, models estimated with MCMC) that is particularly suited to exploring how in-the-moment experiences relate to their antecedents and outcomes. While we used ESM data, this a</w:t>
      </w:r>
      <w:r>
        <w:rPr>
          <w:rFonts w:ascii="Times New Roman" w:eastAsia="Times New Roman" w:hAnsi="Times New Roman" w:cs="Times New Roman"/>
          <w:sz w:val="24"/>
          <w:szCs w:val="24"/>
        </w:rPr>
        <w:t>pproach could also be used for other methods of data collection, such as log-trace data, such as that from intelligent tutoring systems and online microworlds (Gerard, Ryoo, McElhaney, Liu, Rafferty, &amp; Linn, 2015; Gobert, Baker, &amp; Wixon, 2015).</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 and Recommendations for Future Research</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the use of ESM is a strength of the present study, one limitation concerns the specific items used and how we used them to measure youths’ engagement. We measured engagement using a composite, aimi</w:t>
      </w:r>
      <w:r>
        <w:rPr>
          <w:rFonts w:ascii="Times New Roman" w:eastAsia="Times New Roman" w:hAnsi="Times New Roman" w:cs="Times New Roman"/>
          <w:sz w:val="24"/>
          <w:szCs w:val="24"/>
        </w:rPr>
        <w:t>ng to tap the multiple dimensions of engagement in past research, but not distinguishing them in the analysis. As a consequence, we do not understand whether the changes are a consequence of behavioral, cognitive, and affective engagement (which includes a</w:t>
      </w:r>
      <w:r>
        <w:rPr>
          <w:rFonts w:ascii="Times New Roman" w:eastAsia="Times New Roman" w:hAnsi="Times New Roman" w:cs="Times New Roman"/>
          <w:sz w:val="24"/>
          <w:szCs w:val="24"/>
        </w:rPr>
        <w:t xml:space="preserve">n indicator of situational interest)--or some particular configuration of these dimensions. Future research can better explore </w:t>
      </w:r>
      <w:r>
        <w:rPr>
          <w:rFonts w:ascii="Times New Roman" w:eastAsia="Times New Roman" w:hAnsi="Times New Roman" w:cs="Times New Roman"/>
          <w:i/>
          <w:sz w:val="24"/>
          <w:szCs w:val="24"/>
        </w:rPr>
        <w:t xml:space="preserve">which types </w:t>
      </w:r>
      <w:r>
        <w:rPr>
          <w:rFonts w:ascii="Times New Roman" w:eastAsia="Times New Roman" w:hAnsi="Times New Roman" w:cs="Times New Roman"/>
          <w:sz w:val="24"/>
          <w:szCs w:val="24"/>
        </w:rPr>
        <w:t>of engagement matter in which ways in terms of their impact on youths’ interest. To this end, person-oriented analyse</w:t>
      </w:r>
      <w:r>
        <w:rPr>
          <w:rFonts w:ascii="Times New Roman" w:eastAsia="Times New Roman" w:hAnsi="Times New Roman" w:cs="Times New Roman"/>
          <w:sz w:val="24"/>
          <w:szCs w:val="24"/>
        </w:rPr>
        <w:t>s, and analytic approaches such as Latent Profile Analysis, hold promise for understanding how the dimensions of engagement are experienced by youth. Researchers can also explore other outcomes, such as changes in youths’ future goals and plans and their c</w:t>
      </w:r>
      <w:r>
        <w:rPr>
          <w:rFonts w:ascii="Times New Roman" w:eastAsia="Times New Roman" w:hAnsi="Times New Roman" w:cs="Times New Roman"/>
          <w:sz w:val="24"/>
          <w:szCs w:val="24"/>
        </w:rPr>
        <w:t xml:space="preserve">ompetence. </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Another limitation concerns the sample of participating youth in the present study. The sample was collected in a highly purposive manner, such that programs designed and implemented with best practices for OST STEM programming were identified</w:t>
      </w:r>
      <w:r>
        <w:rPr>
          <w:rFonts w:ascii="Times New Roman" w:eastAsia="Times New Roman" w:hAnsi="Times New Roman" w:cs="Times New Roman"/>
          <w:sz w:val="24"/>
          <w:szCs w:val="24"/>
        </w:rPr>
        <w:t xml:space="preserve"> and selected as the context for this study. While the results use students’ pre-interest to account for how their initial inclination toward STEM domains impacts their post-program interest, their experiences during the programs are highly contingent upon</w:t>
      </w:r>
      <w:r>
        <w:rPr>
          <w:rFonts w:ascii="Times New Roman" w:eastAsia="Times New Roman" w:hAnsi="Times New Roman" w:cs="Times New Roman"/>
          <w:sz w:val="24"/>
          <w:szCs w:val="24"/>
        </w:rPr>
        <w:t xml:space="preserve"> the activities they are involved in and the quality of the guidance and instruction of the youth activity leaders. Additionally, the sample was made up of youth almost completely from underrepresented (in STEM) groups of individuals. Accordingly, we are n</w:t>
      </w:r>
      <w:r>
        <w:rPr>
          <w:rFonts w:ascii="Times New Roman" w:eastAsia="Times New Roman" w:hAnsi="Times New Roman" w:cs="Times New Roman"/>
          <w:sz w:val="24"/>
          <w:szCs w:val="24"/>
        </w:rPr>
        <w:t xml:space="preserve">ot yet able to say how these findings might generalize to other summer STEM </w:t>
      </w:r>
      <w:proofErr w:type="gramStart"/>
      <w:r>
        <w:rPr>
          <w:rFonts w:ascii="Times New Roman" w:eastAsia="Times New Roman" w:hAnsi="Times New Roman" w:cs="Times New Roman"/>
          <w:sz w:val="24"/>
          <w:szCs w:val="24"/>
        </w:rPr>
        <w:t>programs, and</w:t>
      </w:r>
      <w:proofErr w:type="gramEnd"/>
      <w:r>
        <w:rPr>
          <w:rFonts w:ascii="Times New Roman" w:eastAsia="Times New Roman" w:hAnsi="Times New Roman" w:cs="Times New Roman"/>
          <w:sz w:val="24"/>
          <w:szCs w:val="24"/>
        </w:rPr>
        <w:t xml:space="preserve"> considering how youths’ engagement impacts their interest in other, different OST contexts may be a worthwhile aim of future research. Related to this limitation, the</w:t>
      </w:r>
      <w:r>
        <w:rPr>
          <w:rFonts w:ascii="Times New Roman" w:eastAsia="Times New Roman" w:hAnsi="Times New Roman" w:cs="Times New Roman"/>
          <w:sz w:val="24"/>
          <w:szCs w:val="24"/>
        </w:rPr>
        <w:t>re was a large degree of missing data, though not substantially higher than that in other studies that use ESM (Hektner et al., 2007). Our use of sensitivity analysis showed that more than 50% of the effect of youths’ engagement upon the changes in their i</w:t>
      </w:r>
      <w:r>
        <w:rPr>
          <w:rFonts w:ascii="Times New Roman" w:eastAsia="Times New Roman" w:hAnsi="Times New Roman" w:cs="Times New Roman"/>
          <w:sz w:val="24"/>
          <w:szCs w:val="24"/>
        </w:rPr>
        <w:t>nterest would need to be due to bias for it to be invalidated, suggesting that issues related to missing data would have to be very substantial (i.e., the effect of survivorship bias, in that only the youth who were most interested attended and completed a</w:t>
      </w:r>
      <w:r>
        <w:rPr>
          <w:rFonts w:ascii="Times New Roman" w:eastAsia="Times New Roman" w:hAnsi="Times New Roman" w:cs="Times New Roman"/>
          <w:sz w:val="24"/>
          <w:szCs w:val="24"/>
        </w:rPr>
        <w:t>ll of the survey measures) for this effect to be negated were the data that are missing to be included. Nevertheless, particularly in OST settings, where data collection can present some challenges, future research can carefully consider and aim to mitigat</w:t>
      </w:r>
      <w:r>
        <w:rPr>
          <w:rFonts w:ascii="Times New Roman" w:eastAsia="Times New Roman" w:hAnsi="Times New Roman" w:cs="Times New Roman"/>
          <w:sz w:val="24"/>
          <w:szCs w:val="24"/>
        </w:rPr>
        <w:t>e potential impacts of missing data.</w:t>
      </w:r>
    </w:p>
    <w:p w:rsidR="00CC66DE" w:rsidRDefault="000E3E7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aim of this study was to explore whether and how youths’ engagement in summer STEM programs promotes their development of interest in STEM. Using ESM as a data </w:t>
      </w:r>
      <w:r>
        <w:rPr>
          <w:rFonts w:ascii="Times New Roman" w:eastAsia="Times New Roman" w:hAnsi="Times New Roman" w:cs="Times New Roman"/>
          <w:sz w:val="24"/>
          <w:szCs w:val="24"/>
        </w:rPr>
        <w:lastRenderedPageBreak/>
        <w:t>collection methodology and a unique mixed e</w:t>
      </w:r>
      <w:r>
        <w:rPr>
          <w:rFonts w:ascii="Times New Roman" w:eastAsia="Times New Roman" w:hAnsi="Times New Roman" w:cs="Times New Roman"/>
          <w:sz w:val="24"/>
          <w:szCs w:val="24"/>
        </w:rPr>
        <w:t xml:space="preserve">ffects modeling approach for the data analysis, we found that youths’ experiences in terms of </w:t>
      </w:r>
      <w:proofErr w:type="gramStart"/>
      <w:r>
        <w:rPr>
          <w:rFonts w:ascii="Times New Roman" w:eastAsia="Times New Roman" w:hAnsi="Times New Roman" w:cs="Times New Roman"/>
          <w:sz w:val="24"/>
          <w:szCs w:val="24"/>
        </w:rPr>
        <w:t>their</w:t>
      </w:r>
      <w:proofErr w:type="gramEnd"/>
      <w:r>
        <w:rPr>
          <w:rFonts w:ascii="Times New Roman" w:eastAsia="Times New Roman" w:hAnsi="Times New Roman" w:cs="Times New Roman"/>
          <w:sz w:val="24"/>
          <w:szCs w:val="24"/>
        </w:rPr>
        <w:t xml:space="preserve"> in-the-moment engagement led to changes in their post-program interest. The method of data collection (ESM) is an example of how intensive data methods (i.e</w:t>
      </w:r>
      <w:r>
        <w:rPr>
          <w:rFonts w:ascii="Times New Roman" w:eastAsia="Times New Roman" w:hAnsi="Times New Roman" w:cs="Times New Roman"/>
          <w:sz w:val="24"/>
          <w:szCs w:val="24"/>
        </w:rPr>
        <w:t xml:space="preserve">., Bolger &amp; Laurencau, 2013) can be used to ask questions that are difficult to answer simply using self-report surveys, which do not lend (as much) insight into the experience of individuals </w:t>
      </w:r>
      <w:r>
        <w:rPr>
          <w:rFonts w:ascii="Times New Roman" w:eastAsia="Times New Roman" w:hAnsi="Times New Roman" w:cs="Times New Roman"/>
          <w:i/>
          <w:sz w:val="24"/>
          <w:szCs w:val="24"/>
        </w:rPr>
        <w:t>during</w:t>
      </w:r>
      <w:r>
        <w:rPr>
          <w:rFonts w:ascii="Times New Roman" w:eastAsia="Times New Roman" w:hAnsi="Times New Roman" w:cs="Times New Roman"/>
          <w:sz w:val="24"/>
          <w:szCs w:val="24"/>
        </w:rPr>
        <w:t xml:space="preserve"> the moment, activity, or programming we are interested in</w:t>
      </w:r>
      <w:r>
        <w:rPr>
          <w:rFonts w:ascii="Times New Roman" w:eastAsia="Times New Roman" w:hAnsi="Times New Roman" w:cs="Times New Roman"/>
          <w:sz w:val="24"/>
          <w:szCs w:val="24"/>
        </w:rPr>
        <w:t xml:space="preserve">. These findings are in line with previous research suggesting that out-of-school time STEM programs can lead to increased STEM interest (Dabney et al., 2012; Elam et al., 2012). </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sought to add to this literature by examining one possible</w:t>
      </w:r>
      <w:r>
        <w:rPr>
          <w:rFonts w:ascii="Times New Roman" w:eastAsia="Times New Roman" w:hAnsi="Times New Roman" w:cs="Times New Roman"/>
          <w:sz w:val="24"/>
          <w:szCs w:val="24"/>
        </w:rPr>
        <w:t xml:space="preserve"> mechanism, engagement, for the development of youth interest. Engagement is widely </w:t>
      </w:r>
      <w:proofErr w:type="gramStart"/>
      <w:r>
        <w:rPr>
          <w:rFonts w:ascii="Times New Roman" w:eastAsia="Times New Roman" w:hAnsi="Times New Roman" w:cs="Times New Roman"/>
          <w:sz w:val="24"/>
          <w:szCs w:val="24"/>
        </w:rPr>
        <w:t>understand</w:t>
      </w:r>
      <w:proofErr w:type="gramEnd"/>
      <w:r>
        <w:rPr>
          <w:rFonts w:ascii="Times New Roman" w:eastAsia="Times New Roman" w:hAnsi="Times New Roman" w:cs="Times New Roman"/>
          <w:sz w:val="24"/>
          <w:szCs w:val="24"/>
        </w:rPr>
        <w:t xml:space="preserve"> by educators and scholars as important to many adaptive academic outcomes, including interest. As out-of-school time programs are well-suited to supplement STEM </w:t>
      </w:r>
      <w:r>
        <w:rPr>
          <w:rFonts w:ascii="Times New Roman" w:eastAsia="Times New Roman" w:hAnsi="Times New Roman" w:cs="Times New Roman"/>
          <w:sz w:val="24"/>
          <w:szCs w:val="24"/>
        </w:rPr>
        <w:t xml:space="preserve">learning among youth with engaging activities, it is important for researchers to continue to focus on these informal learning environments as they are particularly promising vehicles for interest development.  </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findings have some implications for p</w:t>
      </w:r>
      <w:r>
        <w:rPr>
          <w:rFonts w:ascii="Times New Roman" w:eastAsia="Times New Roman" w:hAnsi="Times New Roman" w:cs="Times New Roman"/>
          <w:sz w:val="24"/>
          <w:szCs w:val="24"/>
        </w:rPr>
        <w:t xml:space="preserve">ractice as well as the research literature. The experiences that youth have in summer STEM programs have an impact on their STEM interest  after their involvement in these programs; accordingly, youth activity leaders should seek to design activities that </w:t>
      </w:r>
      <w:r>
        <w:rPr>
          <w:rFonts w:ascii="Times New Roman" w:eastAsia="Times New Roman" w:hAnsi="Times New Roman" w:cs="Times New Roman"/>
          <w:sz w:val="24"/>
          <w:szCs w:val="24"/>
        </w:rPr>
        <w:t>are highly engaging to youth. Research on engaging activities in summer STEM programs suggests expansion of initiatives to provide opportunities for youth, particularly those with less opportunities to develop interest in STEM domains, to participate in ou</w:t>
      </w:r>
      <w:r>
        <w:rPr>
          <w:rFonts w:ascii="Times New Roman" w:eastAsia="Times New Roman" w:hAnsi="Times New Roman" w:cs="Times New Roman"/>
          <w:sz w:val="24"/>
          <w:szCs w:val="24"/>
        </w:rPr>
        <w:t>t-of-school time STEM programs.</w:t>
      </w:r>
    </w:p>
    <w:p w:rsidR="00CC66DE" w:rsidRDefault="000E3E7F" w:rsidP="00AC1815">
      <w:pPr>
        <w:spacing w:line="480" w:lineRule="auto"/>
        <w:jc w:val="cente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References</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Bates, D., Maechler, M., Bolker, B., &amp; Walker, S. (201). Fitting Linear Mixed-Effects Models Using lme4. Journal of Statistical Software, 67(1), 1-48. doi:10.18637/jss.v067.i01.</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 P., Lewenstein, B., Shouse, A.W., &amp; Feder, M.A. (Eds.) (2009). Learning science in informal environments: People, places and pursuits. Washington, DC: National Academy Press. </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Beymer, P. N., Rosenberg, J. M., Schmidt, J. A., &amp; Naftzger, N. J. (2018).</w:t>
      </w:r>
      <w:r>
        <w:rPr>
          <w:rFonts w:ascii="Times New Roman" w:eastAsia="Times New Roman" w:hAnsi="Times New Roman" w:cs="Times New Roman"/>
          <w:sz w:val="24"/>
          <w:szCs w:val="24"/>
        </w:rPr>
        <w:t xml:space="preserve"> Examining Relationships among Choice, Affect, and Engagement in Summer STEM Programs. Journal of Youth and Adolescence, 1-14.</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Bolger, N., &amp; Laurenceau, J. P. (2013). Intensive longitudinal methods. New York, NY: Guilford.</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Brophy, J. (2008). Developing stu</w:t>
      </w:r>
      <w:r>
        <w:rPr>
          <w:rFonts w:ascii="Times New Roman" w:eastAsia="Times New Roman" w:hAnsi="Times New Roman" w:cs="Times New Roman"/>
          <w:sz w:val="24"/>
          <w:szCs w:val="24"/>
        </w:rPr>
        <w:t>dents' appreciation for what is taught in school. Educational Psychologist, 43(3), 132-141. doi:10.1080/00461520701756511</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Brophy, J. (2008). Developing students' appreciation for what is taught in school. Educational psychologist, 43(3), 132-141.</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Christens</w:t>
      </w:r>
      <w:r>
        <w:rPr>
          <w:rFonts w:ascii="Times New Roman" w:eastAsia="Times New Roman" w:hAnsi="Times New Roman" w:cs="Times New Roman"/>
          <w:sz w:val="24"/>
          <w:szCs w:val="24"/>
        </w:rPr>
        <w:t>on, A. L. Reschly, &amp; C. Wylie (Eds.), The handbook of research on student engagement (pp. 763–782). New York: Springer Science. https://doi.org/10.1007/978-1-4614-2018-7_37</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Fayer, S., Lacey, A., &amp; Watson, A. (2017). STEM occupations: past, present, and fut</w:t>
      </w:r>
      <w:r>
        <w:rPr>
          <w:rFonts w:ascii="Times New Roman" w:eastAsia="Times New Roman" w:hAnsi="Times New Roman" w:cs="Times New Roman"/>
          <w:sz w:val="24"/>
          <w:szCs w:val="24"/>
        </w:rPr>
        <w:t xml:space="preserve">ure. </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Frank, K. 2000. “Impact of a Confounding Variable on the Inference of a Regression Coefficient.” Sociological Methods and Research, 29(2), 147-194 https://msu.edu/~kenfrank/papers/impact%20of%20a%20confounding%20variable.pdf</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Fredricks, J. A., Blumenf</w:t>
      </w:r>
      <w:r>
        <w:rPr>
          <w:rFonts w:ascii="Times New Roman" w:eastAsia="Times New Roman" w:hAnsi="Times New Roman" w:cs="Times New Roman"/>
          <w:sz w:val="24"/>
          <w:szCs w:val="24"/>
        </w:rPr>
        <w:t>eld, P. C., &amp; Paris, A. H. (2004). School engagement: Potential of the concept, state of the evidence. Review of Educational Research, 74(1), 59-109.</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Gelman, A., &amp; Hill, J. (2007). Data analysis using regression and multilevel, hierarchical models (Vol. 1)</w:t>
      </w:r>
      <w:r>
        <w:rPr>
          <w:rFonts w:ascii="Times New Roman" w:eastAsia="Times New Roman" w:hAnsi="Times New Roman" w:cs="Times New Roman"/>
          <w:sz w:val="24"/>
          <w:szCs w:val="24"/>
        </w:rPr>
        <w:t>. New York, NY, USA: Cambridge University Press.</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Gerard, L. F., Ryoo, K., McElhaney, K. W., Liu, O. L., Rafferty, A. N., &amp; Linn, M. C. (2016). Automated guidance for student inquiry. Journal of Educational Psychology, 108(1), 60.</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Gobert, J. D., Baker, R. S</w:t>
      </w:r>
      <w:r>
        <w:rPr>
          <w:rFonts w:ascii="Times New Roman" w:eastAsia="Times New Roman" w:hAnsi="Times New Roman" w:cs="Times New Roman"/>
          <w:sz w:val="24"/>
          <w:szCs w:val="24"/>
        </w:rPr>
        <w:t>., &amp; Wixon, M. B. (2015). Operationalizing and detecting disengagement within online science microworlds. Educational Psychologist, 50(1), 43-57.</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Hadfield, J. D. (2010). MCMC methods for multi-response generalized linear mixed models: The MCMCglmm R Packag</w:t>
      </w:r>
      <w:r>
        <w:rPr>
          <w:rFonts w:ascii="Times New Roman" w:eastAsia="Times New Roman" w:hAnsi="Times New Roman" w:cs="Times New Roman"/>
          <w:sz w:val="24"/>
          <w:szCs w:val="24"/>
        </w:rPr>
        <w:t>e. Journal of Statistical Software, 33(2), 1-22. http://www.jstatsoft.org/v33/i02/.</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Harackiewicz, J. M., Smith, J. L., &amp; Priniski, S. J. (2016). Interest matters: The importance of promoting interest in education. Policy Insights from the Behavioral and Br</w:t>
      </w:r>
      <w:r>
        <w:rPr>
          <w:rFonts w:ascii="Times New Roman" w:eastAsia="Times New Roman" w:hAnsi="Times New Roman" w:cs="Times New Roman"/>
          <w:sz w:val="24"/>
          <w:szCs w:val="24"/>
        </w:rPr>
        <w:t>ain Sciences, 3(2), 220-227.</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Hektner, J. M., Schmidt, J. A., &amp; Csikszentmihalyi, M. (2007). Experience sampling method: Measuring the quality of everyday life. Sage.</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Hidi, S. &amp; Renninger, K. A. (2006). The four-phase model of interest development. Educational Psychologist, 41(2), 111-127. </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Hidi, S., Renninger, K.A., &amp; Krapp, A. (2004). Interest, a motivational variable that combines affective and cognitive functioning.</w:t>
      </w:r>
      <w:r>
        <w:rPr>
          <w:rFonts w:ascii="Times New Roman" w:eastAsia="Times New Roman" w:hAnsi="Times New Roman" w:cs="Times New Roman"/>
          <w:sz w:val="24"/>
          <w:szCs w:val="24"/>
        </w:rPr>
        <w:t xml:space="preserve"> In D. Y Dai &amp; R.J. Sternber (eds.), Motivation, emotion and cognition: Integative perspectives on intellectual functioning and development (pp. 89-115). Mahwah, NJ: Lawrence Erlbaum. </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Hill, C., Corbett, C., &amp; St Rose, A. (2010). Why so few? Women in scien</w:t>
      </w:r>
      <w:r>
        <w:rPr>
          <w:rFonts w:ascii="Times New Roman" w:eastAsia="Times New Roman" w:hAnsi="Times New Roman" w:cs="Times New Roman"/>
          <w:sz w:val="24"/>
          <w:szCs w:val="24"/>
        </w:rPr>
        <w:t>ce, technology, engineering, and mathematics. American Association of University Women. 1111 Sixteenth Street NW, Washington, DC 20036.</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Hirsch, B. J., Mekinda, M. A., &amp; Stawicki, J. (2010). More than attendance: The importance of after-school program quali</w:t>
      </w:r>
      <w:r>
        <w:rPr>
          <w:rFonts w:ascii="Times New Roman" w:eastAsia="Times New Roman" w:hAnsi="Times New Roman" w:cs="Times New Roman"/>
          <w:sz w:val="24"/>
          <w:szCs w:val="24"/>
        </w:rPr>
        <w:t>ty. American Journal of Community Psychology, 45(3), 447–452. https://doi.org/10.1007/s10464-010-9310-4.</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Houslay, T. M., &amp; Wilson, A. J. (2017). Avoiding the misuse of BLUP in behavioural ecology. Behavioral Ecology, 28(4), 948-952.</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Lauer, P. A., Akiba, M.</w:t>
      </w:r>
      <w:r>
        <w:rPr>
          <w:rFonts w:ascii="Times New Roman" w:eastAsia="Times New Roman" w:hAnsi="Times New Roman" w:cs="Times New Roman"/>
          <w:sz w:val="24"/>
          <w:szCs w:val="24"/>
        </w:rPr>
        <w:t>, Wilkerson, S. B., Apthorp, H. S., Snow, D., &amp; Martin-Glenn, M. L. (2006). Out-of-school-time programs: A meta-analysis of effects for at-risk students. Review of educational research, 76(2), 275-313.</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Academy of Engineering and National Research </w:t>
      </w:r>
      <w:r>
        <w:rPr>
          <w:rFonts w:ascii="Times New Roman" w:eastAsia="Times New Roman" w:hAnsi="Times New Roman" w:cs="Times New Roman"/>
          <w:sz w:val="24"/>
          <w:szCs w:val="24"/>
        </w:rPr>
        <w:t xml:space="preserve">Council (2014). STEM integration in K-12 Education. Washington, DC: National Academies Press. </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OECD (2016), PISA 2015 Assessment and Analytical Framework: Science, Reading, Mathematics and Financial Literacy, OECD Publishing, Paris. http://dx.doi.org/10.17</w:t>
      </w:r>
      <w:r>
        <w:rPr>
          <w:rFonts w:ascii="Times New Roman" w:eastAsia="Times New Roman" w:hAnsi="Times New Roman" w:cs="Times New Roman"/>
          <w:sz w:val="24"/>
          <w:szCs w:val="24"/>
        </w:rPr>
        <w:t>87/9789264255425-en</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Prenzel, M. (1992). Selective persistence of interests. In K.A. Renninger, S. Hidi &amp; A. Krapp (eds.), The role of interest in learning and development (pp. 71-98). Hillsdale, NJ: Lawrence Erlbaum. </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(2018). R: A language and </w:t>
      </w:r>
      <w:r>
        <w:rPr>
          <w:rFonts w:ascii="Times New Roman" w:eastAsia="Times New Roman" w:hAnsi="Times New Roman" w:cs="Times New Roman"/>
          <w:sz w:val="24"/>
          <w:szCs w:val="24"/>
        </w:rPr>
        <w:t>environment for statistical computing. R Foundation for Statistical Computing, Vienna, Austria. URL https://www.R-project.org/.</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Rosenberg, J. M., Xu, R., &amp; Frank, K. A. (2018). Konfound-It: Interactive application (and Stata procedure and R package) to car</w:t>
      </w:r>
      <w:r>
        <w:rPr>
          <w:rFonts w:ascii="Times New Roman" w:eastAsia="Times New Roman" w:hAnsi="Times New Roman" w:cs="Times New Roman"/>
          <w:sz w:val="24"/>
          <w:szCs w:val="24"/>
        </w:rPr>
        <w:t>ry out sensitivity analysis. http://konfound-it.com.</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Shernoff, D. J., &amp; Schmidt, J. A. (2008). Further evidence of an engagement–achievement paradox among US high school students. Journal of Youth and Adolescence, 37(5), 564-580.</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Sinatra, G. M., Heddy, B. </w:t>
      </w:r>
      <w:r>
        <w:rPr>
          <w:rFonts w:ascii="Times New Roman" w:eastAsia="Times New Roman" w:hAnsi="Times New Roman" w:cs="Times New Roman"/>
          <w:sz w:val="24"/>
          <w:szCs w:val="24"/>
        </w:rPr>
        <w:t>C., &amp; Lombardi, D. (2015). The challenges of defining and measuring student engagement in science. Educational Psychologist, 50(1), 1-13. doi:10.1080/00461520.2014.1002924</w:t>
      </w:r>
    </w:p>
    <w:p w:rsidR="00CC66DE" w:rsidRDefault="000E3E7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Skinner, E., Pitzer, J., &amp; Steele, J. (2013). Coping as part of motivational resilie</w:t>
      </w:r>
      <w:r>
        <w:rPr>
          <w:rFonts w:ascii="Times New Roman" w:eastAsia="Times New Roman" w:hAnsi="Times New Roman" w:cs="Times New Roman"/>
          <w:sz w:val="24"/>
          <w:szCs w:val="24"/>
        </w:rPr>
        <w:t>nce in school: A multidimensional measure of families, allocations, and profiles of academic coping. Educational and psychological measurement, 73(5), 803-835.</w:t>
      </w:r>
    </w:p>
    <w:p w:rsidR="00CC66DE" w:rsidRDefault="000E3E7F">
      <w:pPr>
        <w:spacing w:line="480" w:lineRule="auto"/>
        <w:rPr>
          <w:rFonts w:ascii="Times New Roman" w:eastAsia="Times New Roman" w:hAnsi="Times New Roman" w:cs="Times New Roman"/>
          <w:sz w:val="24"/>
          <w:szCs w:val="24"/>
        </w:rPr>
      </w:pPr>
      <w:r>
        <w:br w:type="page"/>
      </w: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A: Results using Markov Chain Monte Carlo (MCMC) estimation</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MCMCglmm methods, unlike </w:t>
      </w:r>
      <w:r>
        <w:rPr>
          <w:rFonts w:ascii="Times New Roman" w:eastAsia="Times New Roman" w:hAnsi="Times New Roman" w:cs="Times New Roman"/>
          <w:sz w:val="24"/>
          <w:szCs w:val="24"/>
        </w:rPr>
        <w:t xml:space="preserve">ML, requires priors. One view of these priors is that they constrain the possible values that parameters may take in order to set the modeling up for success (Houslay &amp; Wilson, 2017). Another way to look at priors is to consider them as part of a Bayesian </w:t>
      </w:r>
      <w:r>
        <w:rPr>
          <w:rFonts w:ascii="Times New Roman" w:eastAsia="Times New Roman" w:hAnsi="Times New Roman" w:cs="Times New Roman"/>
          <w:sz w:val="24"/>
          <w:szCs w:val="24"/>
        </w:rPr>
        <w:t>approach, in which they represent the degree of belief in different parameter values (Gelman &amp; Hill, 2007). There are also cases when the prior values can be estimated from the data in the sample. Gelman and Hill (2007) describe multi-level models in these</w:t>
      </w:r>
      <w:r>
        <w:rPr>
          <w:rFonts w:ascii="Times New Roman" w:eastAsia="Times New Roman" w:hAnsi="Times New Roman" w:cs="Times New Roman"/>
          <w:sz w:val="24"/>
          <w:szCs w:val="24"/>
        </w:rPr>
        <w:t xml:space="preserve"> terms: For the “random” effects, usually “grouping” variables like the classroom students are in, for example, the prior for the classroom-specific effects is estimated on the basis of the mean and variance in the dependent variable from the whole sample </w:t>
      </w:r>
      <w:r>
        <w:rPr>
          <w:rFonts w:ascii="Times New Roman" w:eastAsia="Times New Roman" w:hAnsi="Times New Roman" w:cs="Times New Roman"/>
          <w:sz w:val="24"/>
          <w:szCs w:val="24"/>
        </w:rPr>
        <w:t xml:space="preserve">or data set collected. In these cases (in which the prior for “random” effects can be estimated from the data), the priors for the other variables can be set to be neutral, with the aim to constrain the possible values that parameters may take rather than </w:t>
      </w:r>
      <w:r>
        <w:rPr>
          <w:rFonts w:ascii="Times New Roman" w:eastAsia="Times New Roman" w:hAnsi="Times New Roman" w:cs="Times New Roman"/>
          <w:sz w:val="24"/>
          <w:szCs w:val="24"/>
        </w:rPr>
        <w:t>to be used as part of a fully Bayesian approach. Accordingly, for the models specified for this study, we specified weak priors that are consistent with a wide range of possible parameter values. Some authors refer to these as “uninformative” priors; for i</w:t>
      </w:r>
      <w:r>
        <w:rPr>
          <w:rFonts w:ascii="Times New Roman" w:eastAsia="Times New Roman" w:hAnsi="Times New Roman" w:cs="Times New Roman"/>
          <w:sz w:val="24"/>
          <w:szCs w:val="24"/>
        </w:rPr>
        <w:t xml:space="preserve">dentical model specifications, the results from use of uninformative priors with MCMCglmm and ML are identical. When we run the MCMC procedure, we follow guidelines by Kruschke (2015) for checking the representativeness (by checking the burn-in period and </w:t>
      </w:r>
      <w:r>
        <w:rPr>
          <w:rFonts w:ascii="Times New Roman" w:eastAsia="Times New Roman" w:hAnsi="Times New Roman" w:cs="Times New Roman"/>
          <w:sz w:val="24"/>
          <w:szCs w:val="24"/>
        </w:rPr>
        <w:t>the convergence of multiple chains), accuracy (by checking the effective sample size and the the Monte Carlo standard error (MCSE) for estimates), and efficiency of the estimation (by running multiple chains in parallel and by way of using the efficient MC</w:t>
      </w:r>
      <w:r>
        <w:rPr>
          <w:rFonts w:ascii="Times New Roman" w:eastAsia="Times New Roman" w:hAnsi="Times New Roman" w:cs="Times New Roman"/>
          <w:sz w:val="24"/>
          <w:szCs w:val="24"/>
        </w:rPr>
        <w:t>MCglmm package.</w:t>
      </w:r>
    </w:p>
    <w:p w:rsidR="00CC66DE" w:rsidRDefault="00CC66DE">
      <w:pPr>
        <w:spacing w:line="480" w:lineRule="auto"/>
        <w:rPr>
          <w:rFonts w:ascii="Times New Roman" w:eastAsia="Times New Roman" w:hAnsi="Times New Roman" w:cs="Times New Roman"/>
          <w:sz w:val="24"/>
          <w:szCs w:val="24"/>
        </w:rPr>
      </w:pPr>
    </w:p>
    <w:p w:rsidR="00AC1815" w:rsidRDefault="00AC1815">
      <w:pPr>
        <w:spacing w:line="480" w:lineRule="auto"/>
        <w:jc w:val="center"/>
        <w:rPr>
          <w:rFonts w:ascii="Times New Roman" w:eastAsia="Times New Roman" w:hAnsi="Times New Roman" w:cs="Times New Roman"/>
          <w:sz w:val="24"/>
          <w:szCs w:val="24"/>
        </w:rPr>
      </w:pP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MCMC results</w:t>
      </w:r>
    </w:p>
    <w:p w:rsidR="00CC66DE" w:rsidRDefault="000E3E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appendix, we present results from models estimated with MCMC. Because this approach accounts for the uncertainty in the estimates of youths’ ESM engagement, it is expected to yield results that are less bia</w:t>
      </w:r>
      <w:r>
        <w:rPr>
          <w:rFonts w:ascii="Times New Roman" w:eastAsia="Times New Roman" w:hAnsi="Times New Roman" w:cs="Times New Roman"/>
          <w:sz w:val="24"/>
          <w:szCs w:val="24"/>
        </w:rPr>
        <w:t xml:space="preserve">sed than those obtained from the two-step approach. In this approach, using the MCMCglmm (Hadfield, 2012) we first specify the model. More information on the model specified (and the priors required) is described in Appendix A. </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model estimate</w:t>
      </w:r>
      <w:r>
        <w:rPr>
          <w:rFonts w:ascii="Times New Roman" w:eastAsia="Times New Roman" w:hAnsi="Times New Roman" w:cs="Times New Roman"/>
          <w:sz w:val="24"/>
          <w:szCs w:val="24"/>
        </w:rPr>
        <w:t>d with MCMC, for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individual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xml:space="preserve">and ESM response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engagement-i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01</w:t>
      </w:r>
      <w:r>
        <w:rPr>
          <w:rFonts w:ascii="Times New Roman" w:eastAsia="Times New Roman" w:hAnsi="Times New Roman" w:cs="Times New Roman"/>
          <w:sz w:val="24"/>
          <w:szCs w:val="24"/>
        </w:rPr>
        <w:t xml:space="preserve"> + esm-engagement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11</w:t>
      </w:r>
      <w:r>
        <w:rPr>
          <w:rFonts w:ascii="Times New Roman" w:eastAsia="Times New Roman" w:hAnsi="Times New Roman" w:cs="Times New Roman"/>
          <w:sz w:val="24"/>
          <w:szCs w:val="24"/>
        </w:rPr>
        <w:t xml:space="preserve"> + gender</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21</w:t>
      </w:r>
      <w:r>
        <w:rPr>
          <w:rFonts w:ascii="Times New Roman" w:eastAsia="Times New Roman" w:hAnsi="Times New Roman" w:cs="Times New Roman"/>
          <w:sz w:val="24"/>
          <w:szCs w:val="24"/>
        </w:rPr>
        <w:t xml:space="preserve"> + pre-interest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31</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𝜀</w:t>
      </w:r>
      <w:r>
        <w:rPr>
          <w:rFonts w:ascii="Times New Roman" w:eastAsia="Times New Roman" w:hAnsi="Times New Roman" w:cs="Times New Roman"/>
          <w:sz w:val="24"/>
          <w:szCs w:val="24"/>
          <w:vertAlign w:val="subscript"/>
        </w:rPr>
        <w:t>i</w:t>
      </w:r>
    </w:p>
    <w:p w:rsidR="00CC66DE" w:rsidRDefault="000E3E7F">
      <w:pPr>
        <w:spacing w:line="48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xml:space="preserve"> + engagement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*µ</w:t>
      </w:r>
      <w:r>
        <w:rPr>
          <w:rFonts w:ascii="Times New Roman" w:eastAsia="Times New Roman" w:hAnsi="Times New Roman" w:cs="Times New Roman"/>
          <w:sz w:val="24"/>
          <w:szCs w:val="24"/>
          <w:vertAlign w:val="subscript"/>
        </w:rPr>
        <w:t>1</w:t>
      </w:r>
    </w:p>
    <w:p w:rsidR="00CC66DE" w:rsidRDefault="000E3E7F">
      <w:pPr>
        <w:spacing w:line="48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post-interest-i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02</w:t>
      </w:r>
      <w:r>
        <w:rPr>
          <w:rFonts w:ascii="Times New Roman" w:eastAsia="Times New Roman" w:hAnsi="Times New Roman" w:cs="Times New Roman"/>
          <w:sz w:val="24"/>
          <w:szCs w:val="24"/>
        </w:rPr>
        <w:t xml:space="preserve"> + gender</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12</w:t>
      </w:r>
      <w:r>
        <w:rPr>
          <w:rFonts w:ascii="Times New Roman" w:eastAsia="Times New Roman" w:hAnsi="Times New Roman" w:cs="Times New Roman"/>
          <w:sz w:val="24"/>
          <w:szCs w:val="24"/>
        </w:rPr>
        <w:t xml:space="preserve"> + pre-interest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22</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𝜀</w:t>
      </w:r>
      <w:r>
        <w:rPr>
          <w:rFonts w:ascii="Times New Roman" w:eastAsia="Times New Roman" w:hAnsi="Times New Roman" w:cs="Times New Roman"/>
          <w:sz w:val="24"/>
          <w:szCs w:val="24"/>
          <w:vertAlign w:val="subscript"/>
        </w:rPr>
        <w:t>i</w:t>
      </w:r>
    </w:p>
    <w:p w:rsidR="00CC66DE" w:rsidRDefault="000E3E7F">
      <w:pPr>
        <w:spacing w:line="48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engagement-i</w:t>
      </w:r>
      <w:r>
        <w:rPr>
          <w:rFonts w:ascii="Times New Roman" w:eastAsia="Times New Roman" w:hAnsi="Times New Roman" w:cs="Times New Roman"/>
          <w:sz w:val="24"/>
          <w:szCs w:val="24"/>
        </w:rPr>
        <w:t xml:space="preserve"> ~ Y</w:t>
      </w:r>
      <w:r>
        <w:rPr>
          <w:rFonts w:ascii="Times New Roman" w:eastAsia="Times New Roman" w:hAnsi="Times New Roman" w:cs="Times New Roman"/>
          <w:sz w:val="24"/>
          <w:szCs w:val="24"/>
          <w:vertAlign w:val="subscript"/>
        </w:rPr>
        <w:t>post-interest-i</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specified as a multivariate model, with the relationship between ESM engagement and post-interest examined through their covariance (Y</w:t>
      </w:r>
      <w:r>
        <w:rPr>
          <w:rFonts w:ascii="Times New Roman" w:eastAsia="Times New Roman" w:hAnsi="Times New Roman" w:cs="Times New Roman"/>
          <w:sz w:val="24"/>
          <w:szCs w:val="24"/>
          <w:vertAlign w:val="subscript"/>
        </w:rPr>
        <w:t>engagement-i</w:t>
      </w:r>
      <w:r>
        <w:rPr>
          <w:rFonts w:ascii="Times New Roman" w:eastAsia="Times New Roman" w:hAnsi="Times New Roman" w:cs="Times New Roman"/>
          <w:sz w:val="24"/>
          <w:szCs w:val="24"/>
        </w:rPr>
        <w:t xml:space="preserve"> ~ Y</w:t>
      </w:r>
      <w:r>
        <w:rPr>
          <w:rFonts w:ascii="Times New Roman" w:eastAsia="Times New Roman" w:hAnsi="Times New Roman" w:cs="Times New Roman"/>
          <w:sz w:val="24"/>
          <w:szCs w:val="24"/>
          <w:vertAlign w:val="subscript"/>
        </w:rPr>
        <w:t>post-interest-i</w:t>
      </w:r>
      <w:r>
        <w:rPr>
          <w:rFonts w:ascii="Times New Roman" w:eastAsia="Times New Roman" w:hAnsi="Times New Roman" w:cs="Times New Roman"/>
          <w:sz w:val="24"/>
          <w:szCs w:val="24"/>
        </w:rPr>
        <w:t xml:space="preserve"> ). The results are presented in Table B1. To determine statistica</w:t>
      </w:r>
      <w:r>
        <w:rPr>
          <w:rFonts w:ascii="Times New Roman" w:eastAsia="Times New Roman" w:hAnsi="Times New Roman" w:cs="Times New Roman"/>
          <w:sz w:val="24"/>
          <w:szCs w:val="24"/>
        </w:rPr>
        <w:t>l significance, we used the Highest Density Intervals to determine whether 95% of the posterior distribution did not include zero.</w:t>
      </w:r>
    </w:p>
    <w:p w:rsidR="00CC66DE" w:rsidRDefault="00CC66DE">
      <w:pPr>
        <w:spacing w:line="480" w:lineRule="auto"/>
        <w:rPr>
          <w:rFonts w:ascii="Times New Roman" w:eastAsia="Times New Roman" w:hAnsi="Times New Roman" w:cs="Times New Roman"/>
          <w:sz w:val="24"/>
          <w:szCs w:val="24"/>
        </w:rPr>
      </w:pPr>
    </w:p>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B1. Results from models with engagement estimated with MCMC.</w:t>
      </w:r>
    </w:p>
    <w:tbl>
      <w:tblPr>
        <w:tblStyle w:val="a2"/>
        <w:tblW w:w="5940" w:type="dxa"/>
        <w:tblInd w:w="100" w:type="dxa"/>
        <w:tblLayout w:type="fixed"/>
        <w:tblLook w:val="0600" w:firstRow="0" w:lastRow="0" w:firstColumn="0" w:lastColumn="0" w:noHBand="1" w:noVBand="1"/>
      </w:tblPr>
      <w:tblGrid>
        <w:gridCol w:w="4680"/>
        <w:gridCol w:w="1260"/>
      </w:tblGrid>
      <w:tr w:rsidR="00AC1815" w:rsidTr="00AC1815">
        <w:tc>
          <w:tcPr>
            <w:tcW w:w="4680" w:type="dxa"/>
            <w:tcBorders>
              <w:bottom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Fixed parts (Predicting ESM engagement)</w:t>
            </w:r>
          </w:p>
        </w:tc>
        <w:tc>
          <w:tcPr>
            <w:tcW w:w="1260" w:type="dxa"/>
            <w:tcBorders>
              <w:bottom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(SE)</w:t>
            </w:r>
          </w:p>
        </w:tc>
      </w:tr>
      <w:tr w:rsidR="00AC1815" w:rsidTr="00AC1815">
        <w:tc>
          <w:tcPr>
            <w:tcW w:w="4680" w:type="dxa"/>
            <w:tcBorders>
              <w:top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2.53 (.24)</w:t>
            </w:r>
          </w:p>
        </w:tc>
      </w:tr>
      <w:tr w:rsidR="00AC1815" w:rsidTr="00AC1815">
        <w:tc>
          <w:tcPr>
            <w:tcW w:w="468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26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 (.09)</w:t>
            </w:r>
          </w:p>
        </w:tc>
      </w:tr>
      <w:tr w:rsidR="00AC1815" w:rsidTr="00AC1815">
        <w:tc>
          <w:tcPr>
            <w:tcW w:w="468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Pre-interest</w:t>
            </w:r>
          </w:p>
        </w:tc>
        <w:tc>
          <w:tcPr>
            <w:tcW w:w="126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(.07)</w:t>
            </w:r>
          </w:p>
        </w:tc>
      </w:tr>
      <w:tr w:rsidR="00AC1815" w:rsidTr="00AC1815">
        <w:tc>
          <w:tcPr>
            <w:tcW w:w="4680" w:type="dxa"/>
            <w:tcBorders>
              <w:bottom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Fixed parts (Predicting post-interest)</w:t>
            </w:r>
          </w:p>
        </w:tc>
        <w:tc>
          <w:tcPr>
            <w:tcW w:w="1260" w:type="dxa"/>
            <w:tcBorders>
              <w:bottom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p>
        </w:tc>
      </w:tr>
      <w:tr w:rsidR="00AC1815" w:rsidTr="00AC1815">
        <w:tc>
          <w:tcPr>
            <w:tcW w:w="4680" w:type="dxa"/>
            <w:tcBorders>
              <w:top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Intercept</w:t>
            </w:r>
          </w:p>
        </w:tc>
        <w:tc>
          <w:tcPr>
            <w:tcW w:w="1260" w:type="dxa"/>
            <w:tcBorders>
              <w:top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 (.85)</w:t>
            </w:r>
          </w:p>
        </w:tc>
      </w:tr>
      <w:tr w:rsidR="00AC1815" w:rsidTr="00AC1815">
        <w:tc>
          <w:tcPr>
            <w:tcW w:w="468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26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(.16)</w:t>
            </w:r>
          </w:p>
        </w:tc>
      </w:tr>
      <w:tr w:rsidR="00AC1815" w:rsidTr="00AC1815">
        <w:trPr>
          <w:trHeight w:val="500"/>
        </w:trPr>
        <w:tc>
          <w:tcPr>
            <w:tcW w:w="468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Pre-interest</w:t>
            </w:r>
          </w:p>
        </w:tc>
        <w:tc>
          <w:tcPr>
            <w:tcW w:w="126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 (.20)*</w:t>
            </w:r>
          </w:p>
        </w:tc>
      </w:tr>
      <w:tr w:rsidR="00AC1815" w:rsidTr="00AC1815">
        <w:tc>
          <w:tcPr>
            <w:tcW w:w="4680" w:type="dxa"/>
            <w:tcBorders>
              <w:bottom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parts</w:t>
            </w:r>
          </w:p>
        </w:tc>
        <w:tc>
          <w:tcPr>
            <w:tcW w:w="1260" w:type="dxa"/>
            <w:tcBorders>
              <w:bottom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p>
        </w:tc>
      </w:tr>
      <w:tr w:rsidR="00AC1815" w:rsidTr="00AC1815">
        <w:tc>
          <w:tcPr>
            <w:tcW w:w="4680" w:type="dxa"/>
            <w:tcBorders>
              <w:top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ESM Engagement intercept  (var.)</w:t>
            </w:r>
          </w:p>
        </w:tc>
        <w:tc>
          <w:tcPr>
            <w:tcW w:w="1260" w:type="dxa"/>
            <w:tcBorders>
              <w:top w:val="single" w:sz="4" w:space="0" w:color="auto"/>
            </w:tcBorders>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AC1815" w:rsidTr="00AC1815">
        <w:tc>
          <w:tcPr>
            <w:tcW w:w="468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Post-interest intercept (var.)</w:t>
            </w:r>
          </w:p>
        </w:tc>
        <w:tc>
          <w:tcPr>
            <w:tcW w:w="126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AC1815" w:rsidTr="00AC1815">
        <w:tc>
          <w:tcPr>
            <w:tcW w:w="468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ESM Engagement and Post-interest (corr.)</w:t>
            </w:r>
          </w:p>
        </w:tc>
        <w:tc>
          <w:tcPr>
            <w:tcW w:w="1260" w:type="dxa"/>
            <w:shd w:val="clear" w:color="auto" w:fill="auto"/>
            <w:tcMar>
              <w:top w:w="100" w:type="dxa"/>
              <w:left w:w="100" w:type="dxa"/>
              <w:bottom w:w="100" w:type="dxa"/>
              <w:right w:w="100" w:type="dxa"/>
            </w:tcMar>
          </w:tcPr>
          <w:p w:rsidR="00AC1815" w:rsidRDefault="00AC1815" w:rsidP="00AC181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rsidR="00CC66DE" w:rsidRDefault="000E3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p &lt; .05</w:t>
      </w:r>
    </w:p>
    <w:p w:rsidR="00CC66DE" w:rsidRDefault="000E3E7F">
      <w:pPr>
        <w:spacing w:line="480" w:lineRule="auto"/>
        <w:jc w:val="center"/>
        <w:rPr>
          <w:rFonts w:ascii="Times New Roman" w:eastAsia="Times New Roman" w:hAnsi="Times New Roman" w:cs="Times New Roman"/>
          <w:sz w:val="24"/>
          <w:szCs w:val="24"/>
        </w:rPr>
      </w:pPr>
      <w:r>
        <w:br w:type="page"/>
      </w: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Code</w:t>
      </w:r>
    </w:p>
    <w:p w:rsidR="00CC66DE" w:rsidRDefault="000E3E7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to reproduce the analysis is available here: </w:t>
      </w:r>
      <w:hyperlink r:id="rId9">
        <w:r>
          <w:rPr>
            <w:rFonts w:ascii="Times New Roman" w:eastAsia="Times New Roman" w:hAnsi="Times New Roman" w:cs="Times New Roman"/>
            <w:color w:val="1155CC"/>
            <w:sz w:val="24"/>
            <w:szCs w:val="24"/>
            <w:u w:val="single"/>
          </w:rPr>
          <w:t>https://github.com/jrosen4</w:t>
        </w:r>
        <w:r>
          <w:rPr>
            <w:rFonts w:ascii="Times New Roman" w:eastAsia="Times New Roman" w:hAnsi="Times New Roman" w:cs="Times New Roman"/>
            <w:color w:val="1155CC"/>
            <w:sz w:val="24"/>
            <w:szCs w:val="24"/>
            <w:u w:val="single"/>
          </w:rPr>
          <w:t>8/mcmcglmm/blob/master/mcmgglmm-example-3.Rmd</w:t>
        </w:r>
      </w:hyperlink>
    </w:p>
    <w:sectPr w:rsidR="00CC66DE">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E7F" w:rsidRDefault="000E3E7F">
      <w:pPr>
        <w:spacing w:line="240" w:lineRule="auto"/>
      </w:pPr>
      <w:r>
        <w:separator/>
      </w:r>
    </w:p>
  </w:endnote>
  <w:endnote w:type="continuationSeparator" w:id="0">
    <w:p w:rsidR="000E3E7F" w:rsidRDefault="000E3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E7F" w:rsidRDefault="000E3E7F">
      <w:pPr>
        <w:spacing w:line="240" w:lineRule="auto"/>
      </w:pPr>
      <w:r>
        <w:separator/>
      </w:r>
    </w:p>
  </w:footnote>
  <w:footnote w:type="continuationSeparator" w:id="0">
    <w:p w:rsidR="000E3E7F" w:rsidRDefault="000E3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6DE" w:rsidRDefault="00CC66DE">
    <w:pPr>
      <w:jc w:val="right"/>
      <w:rPr>
        <w:rFonts w:ascii="Times New Roman" w:eastAsia="Times New Roman" w:hAnsi="Times New Roman" w:cs="Times New Roman"/>
        <w:sz w:val="24"/>
        <w:szCs w:val="24"/>
      </w:rPr>
    </w:pPr>
  </w:p>
  <w:p w:rsidR="00CC66DE" w:rsidRDefault="000E3E7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AC1815">
      <w:rPr>
        <w:rFonts w:ascii="Times New Roman" w:eastAsia="Times New Roman" w:hAnsi="Times New Roman" w:cs="Times New Roman"/>
        <w:sz w:val="24"/>
        <w:szCs w:val="24"/>
      </w:rPr>
      <w:fldChar w:fldCharType="separate"/>
    </w:r>
    <w:r w:rsidR="00AC181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A7B95"/>
    <w:multiLevelType w:val="multilevel"/>
    <w:tmpl w:val="A66CF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C30A8F"/>
    <w:multiLevelType w:val="multilevel"/>
    <w:tmpl w:val="7684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DE"/>
    <w:rsid w:val="000E3E7F"/>
    <w:rsid w:val="007E3168"/>
    <w:rsid w:val="00AC1815"/>
    <w:rsid w:val="00CC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D8C7"/>
  <w15:docId w15:val="{1011265A-FAFF-2540-B676-FDD74CBB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rosen@m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rosen48/mcmcglmm/blob/master/mcmgglmm-example-3.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6519</Words>
  <Characters>37160</Characters>
  <Application>Microsoft Office Word</Application>
  <DocSecurity>0</DocSecurity>
  <Lines>309</Lines>
  <Paragraphs>87</Paragraphs>
  <ScaleCrop>false</ScaleCrop>
  <Company/>
  <LinksUpToDate>false</LinksUpToDate>
  <CharactersWithSpaces>43592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2</cp:revision>
  <dcterms:created xsi:type="dcterms:W3CDTF">2018-04-03T14:23:00Z</dcterms:created>
  <dcterms:modified xsi:type="dcterms:W3CDTF">2018-04-03T14:23:00Z</dcterms:modified>
</cp:coreProperties>
</file>