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Website Refresh Design Guidance</w:t>
      </w:r>
    </w:p>
    <w:p>
      <w:pPr>
        <w:spacing w:after="120" w:line="276" w:lineRule="auto"/>
      </w:pPr>
      <w:r>
        <w:t>For Joshua M. Rosenberg</w:t>
      </w:r>
    </w:p>
    <w:p>
      <w:pPr>
        <w:spacing w:after="120" w:line="276" w:lineRule="auto"/>
      </w:pPr>
      <w:r>
        <w:t>This companion document gathers the visual and practical design recommendations from the larger website refresh. The goal is not to overdesign the site. The goal is to make Josh’s work easier to understand, easier to scan, and more inviting to move through.</w:t>
      </w:r>
    </w:p>
    <w:p>
      <w:pPr>
        <w:pStyle w:val="Heading1"/>
        <w:spacing w:before="200" w:after="80"/>
      </w:pPr>
      <w:r>
        <w:t>Overall Visual Direction</w:t>
      </w:r>
    </w:p>
    <w:p>
      <w:pPr>
        <w:spacing w:after="120" w:line="276" w:lineRule="auto"/>
      </w:pPr>
      <w:r>
        <w:t>The revised site should feel clearer, warmer, more polished, and easier to navigate while still feeling like Josh. It should support the substance of the work rather than compete with it.</w:t>
      </w:r>
    </w:p>
    <w:p>
      <w:pPr>
        <w:pStyle w:val="Heading2"/>
        <w:spacing w:before="120" w:after="80"/>
      </w:pPr>
      <w:r>
        <w:t>The site should feel:</w:t>
      </w:r>
    </w:p>
    <w:p>
      <w:pPr>
        <w:pStyle w:val="ListBullet"/>
        <w:spacing w:after="40"/>
      </w:pPr>
      <w:r>
        <w:t>Professional</w:t>
      </w:r>
    </w:p>
    <w:p>
      <w:pPr>
        <w:pStyle w:val="ListBullet"/>
        <w:spacing w:after="40"/>
      </w:pPr>
      <w:r>
        <w:t>Clear</w:t>
      </w:r>
    </w:p>
    <w:p>
      <w:pPr>
        <w:pStyle w:val="ListBullet"/>
        <w:spacing w:after="40"/>
      </w:pPr>
      <w:r>
        <w:t>Current</w:t>
      </w:r>
    </w:p>
    <w:p>
      <w:pPr>
        <w:pStyle w:val="ListBullet"/>
        <w:spacing w:after="40"/>
      </w:pPr>
      <w:r>
        <w:t>Human</w:t>
      </w:r>
    </w:p>
    <w:p>
      <w:pPr>
        <w:pStyle w:val="ListBullet"/>
        <w:spacing w:after="40"/>
      </w:pPr>
      <w:r>
        <w:t>Easy to scan</w:t>
      </w:r>
    </w:p>
    <w:p>
      <w:pPr>
        <w:pStyle w:val="ListBullet"/>
        <w:spacing w:after="40"/>
      </w:pPr>
      <w:r>
        <w:t>Connected to education, data, writing, family, and place</w:t>
      </w:r>
    </w:p>
    <w:p>
      <w:pPr>
        <w:pStyle w:val="Heading2"/>
        <w:spacing w:before="120" w:after="80"/>
      </w:pPr>
      <w:r>
        <w:t>The site should not feel:</w:t>
      </w:r>
    </w:p>
    <w:p>
      <w:pPr>
        <w:pStyle w:val="ListBullet"/>
        <w:spacing w:after="40"/>
      </w:pPr>
      <w:r>
        <w:t>Corporate</w:t>
      </w:r>
    </w:p>
    <w:p>
      <w:pPr>
        <w:pStyle w:val="ListBullet"/>
        <w:spacing w:after="40"/>
      </w:pPr>
      <w:r>
        <w:t>Flashy</w:t>
      </w:r>
    </w:p>
    <w:p>
      <w:pPr>
        <w:pStyle w:val="ListBullet"/>
        <w:spacing w:after="40"/>
      </w:pPr>
      <w:r>
        <w:t>Overly technical</w:t>
      </w:r>
    </w:p>
    <w:p>
      <w:pPr>
        <w:pStyle w:val="ListBullet"/>
        <w:spacing w:after="40"/>
      </w:pPr>
      <w:r>
        <w:t>Like a generic faculty directory page</w:t>
      </w:r>
    </w:p>
    <w:p>
      <w:pPr>
        <w:pStyle w:val="ListBullet"/>
        <w:spacing w:after="40"/>
      </w:pPr>
      <w:r>
        <w:t>Like a long list of links</w:t>
      </w:r>
    </w:p>
    <w:p>
      <w:pPr>
        <w:pStyle w:val="Heading1"/>
        <w:spacing w:before="200" w:after="80"/>
      </w:pPr>
      <w:r>
        <w:t>Visual Hierarchy</w:t>
      </w:r>
    </w:p>
    <w:p>
      <w:pPr>
        <w:spacing w:after="120" w:line="276" w:lineRule="auto"/>
      </w:pPr>
      <w:r>
        <w:t>The site should make the most important information easiest to see. Each page should have one clear opening idea, short sections, and obvious next steps.</w:t>
      </w:r>
    </w:p>
    <w:p>
      <w:pPr>
        <w:pStyle w:val="ListBullet"/>
        <w:spacing w:after="40"/>
      </w:pPr>
      <w:r>
        <w:t>Use one large headline at the top of each page.</w:t>
      </w:r>
    </w:p>
    <w:p>
      <w:pPr>
        <w:pStyle w:val="ListBullet"/>
        <w:spacing w:after="40"/>
      </w:pPr>
      <w:r>
        <w:t>Use short introductory paragraphs.</w:t>
      </w:r>
    </w:p>
    <w:p>
      <w:pPr>
        <w:pStyle w:val="ListBullet"/>
        <w:spacing w:after="40"/>
      </w:pPr>
      <w:r>
        <w:t>Use clear section headings.</w:t>
      </w:r>
    </w:p>
    <w:p>
      <w:pPr>
        <w:pStyle w:val="ListBullet"/>
        <w:spacing w:after="40"/>
      </w:pPr>
      <w:r>
        <w:t>Use simple cards for featured projects or resources.</w:t>
      </w:r>
    </w:p>
    <w:p>
      <w:pPr>
        <w:pStyle w:val="ListBullet"/>
        <w:spacing w:after="40"/>
      </w:pPr>
      <w:r>
        <w:t>Use buttons for primary actions.</w:t>
      </w:r>
    </w:p>
    <w:p>
      <w:pPr>
        <w:pStyle w:val="ListBullet"/>
        <w:spacing w:after="40"/>
      </w:pPr>
      <w:r>
        <w:t>Avoid long lists where a small set of featured links would be stronger.</w:t>
      </w:r>
    </w:p>
    <w:p>
      <w:pPr>
        <w:pStyle w:val="ListBullet"/>
        <w:spacing w:after="40"/>
      </w:pPr>
      <w:r>
        <w:t>Add more spacing between sections so the site feels intentional rather than crowded.</w:t>
      </w:r>
    </w:p>
    <w:p>
      <w:pPr>
        <w:pStyle w:val="Heading1"/>
        <w:spacing w:before="200" w:after="80"/>
      </w:pPr>
      <w:r>
        <w:t>Typography</w:t>
      </w:r>
    </w:p>
    <w:p>
      <w:pPr>
        <w:spacing w:after="120" w:line="276" w:lineRule="auto"/>
      </w:pPr>
      <w:r>
        <w:t>Use no more than two font families: one for headings and one for body copy. The most important goal is readability.</w:t>
      </w:r>
    </w:p>
    <w:p>
      <w:pPr>
        <w:pStyle w:val="Heading2"/>
        <w:spacing w:before="120" w:after="80"/>
      </w:pPr>
      <w:r>
        <w:t>Recommended starting pairing</w:t>
      </w:r>
    </w:p>
    <w:p>
      <w:pPr>
        <w:pStyle w:val="ListBullet"/>
        <w:spacing w:after="40"/>
      </w:pPr>
      <w:r>
        <w:t>Headings: Libre Baskerville</w:t>
      </w:r>
    </w:p>
    <w:p>
      <w:pPr>
        <w:pStyle w:val="ListBullet"/>
        <w:spacing w:after="40"/>
      </w:pPr>
      <w:r>
        <w:t>Body: Inter</w:t>
      </w:r>
    </w:p>
    <w:p>
      <w:pPr>
        <w:spacing w:after="120" w:line="276" w:lineRule="auto"/>
      </w:pPr>
      <w:r>
        <w:t>This pairing gives the site a scholarly feel while keeping body text clean, modern, and easy to read.</w:t>
      </w:r>
    </w:p>
    <w:p>
      <w:pPr>
        <w:pStyle w:val="Heading2"/>
        <w:spacing w:before="120" w:after="80"/>
      </w:pPr>
      <w:r>
        <w:t>Other viable font pairings</w:t>
      </w:r>
    </w:p>
    <w:tbl>
      <w:tblPr>
        <w:tblStyle w:val="TableGrid"/>
        <w:tblW w:type="auto" w:w="0"/>
        <w:tblLook w:firstColumn="1" w:firstRow="1" w:lastColumn="0" w:lastRow="0" w:noHBand="0" w:noVBand="1" w:val="04A0"/>
      </w:tblPr>
      <w:tblGrid>
        <w:gridCol w:w="2448"/>
        <w:gridCol w:w="2448"/>
        <w:gridCol w:w="2448"/>
        <w:gridCol w:w="2448"/>
      </w:tblGrid>
      <w:tr>
        <w:tc>
          <w:tcPr>
            <w:tcW w:type="dxa" w:w="2448"/>
          </w:tcPr>
          <w:p>
            <w:r>
              <w:rPr>
                <w:b/>
              </w:rPr>
              <w:t>Direction</w:t>
            </w:r>
          </w:p>
        </w:tc>
        <w:tc>
          <w:tcPr>
            <w:tcW w:type="dxa" w:w="2448"/>
          </w:tcPr>
          <w:p>
            <w:r>
              <w:rPr>
                <w:b/>
              </w:rPr>
              <w:t>Headings</w:t>
            </w:r>
          </w:p>
        </w:tc>
        <w:tc>
          <w:tcPr>
            <w:tcW w:type="dxa" w:w="2448"/>
          </w:tcPr>
          <w:p>
            <w:r>
              <w:rPr>
                <w:b/>
              </w:rPr>
              <w:t>Body</w:t>
            </w:r>
          </w:p>
        </w:tc>
        <w:tc>
          <w:tcPr>
            <w:tcW w:type="dxa" w:w="2448"/>
          </w:tcPr>
          <w:p>
            <w:r>
              <w:rPr>
                <w:b/>
              </w:rPr>
              <w:t>Notes</w:t>
            </w:r>
          </w:p>
        </w:tc>
      </w:tr>
      <w:tr>
        <w:tc>
          <w:tcPr>
            <w:tcW w:type="dxa" w:w="2448"/>
          </w:tcPr>
          <w:p>
            <w:r>
              <w:t>Clean and professional</w:t>
            </w:r>
          </w:p>
        </w:tc>
        <w:tc>
          <w:tcPr>
            <w:tcW w:type="dxa" w:w="2448"/>
          </w:tcPr>
          <w:p>
            <w:r>
              <w:t>Source Serif 4</w:t>
            </w:r>
          </w:p>
        </w:tc>
        <w:tc>
          <w:tcPr>
            <w:tcW w:type="dxa" w:w="2448"/>
          </w:tcPr>
          <w:p>
            <w:r>
              <w:t>Source Sans 3</w:t>
            </w:r>
          </w:p>
        </w:tc>
        <w:tc>
          <w:tcPr>
            <w:tcW w:type="dxa" w:w="2448"/>
          </w:tcPr>
          <w:p>
            <w:r>
              <w:t>Polished and readable without becoming overly formal.</w:t>
            </w:r>
          </w:p>
        </w:tc>
      </w:tr>
      <w:tr>
        <w:tc>
          <w:tcPr>
            <w:tcW w:type="dxa" w:w="2448"/>
          </w:tcPr>
          <w:p>
            <w:r>
              <w:t>Warm and human</w:t>
            </w:r>
          </w:p>
        </w:tc>
        <w:tc>
          <w:tcPr>
            <w:tcW w:type="dxa" w:w="2448"/>
          </w:tcPr>
          <w:p>
            <w:r>
              <w:t>Lora</w:t>
            </w:r>
          </w:p>
        </w:tc>
        <w:tc>
          <w:tcPr>
            <w:tcW w:type="dxa" w:w="2448"/>
          </w:tcPr>
          <w:p>
            <w:r>
              <w:t>Work Sans</w:t>
            </w:r>
          </w:p>
        </w:tc>
        <w:tc>
          <w:tcPr>
            <w:tcW w:type="dxa" w:w="2448"/>
          </w:tcPr>
          <w:p>
            <w:r>
              <w:t>A slightly more personal and writerly option.</w:t>
            </w:r>
          </w:p>
        </w:tc>
      </w:tr>
      <w:tr>
        <w:tc>
          <w:tcPr>
            <w:tcW w:type="dxa" w:w="2448"/>
          </w:tcPr>
          <w:p>
            <w:r>
              <w:t>Minimal and contemporary</w:t>
            </w:r>
          </w:p>
        </w:tc>
        <w:tc>
          <w:tcPr>
            <w:tcW w:type="dxa" w:w="2448"/>
          </w:tcPr>
          <w:p>
            <w:r>
              <w:t>IBM Plex Serif</w:t>
            </w:r>
          </w:p>
        </w:tc>
        <w:tc>
          <w:tcPr>
            <w:tcW w:type="dxa" w:w="2448"/>
          </w:tcPr>
          <w:p>
            <w:r>
              <w:t>IBM Plex Sans</w:t>
            </w:r>
          </w:p>
        </w:tc>
        <w:tc>
          <w:tcPr>
            <w:tcW w:type="dxa" w:w="2448"/>
          </w:tcPr>
          <w:p>
            <w:r>
              <w:t>Research/technology feel, though potentially less warm.</w:t>
            </w:r>
          </w:p>
        </w:tc>
      </w:tr>
    </w:tbl>
    <w:p/>
    <w:p>
      <w:pPr>
        <w:pStyle w:val="Heading2"/>
        <w:spacing w:before="120" w:after="80"/>
      </w:pPr>
      <w:r>
        <w:t>Typography guidelines</w:t>
      </w:r>
    </w:p>
    <w:p>
      <w:pPr>
        <w:pStyle w:val="ListBullet"/>
        <w:spacing w:after="40"/>
      </w:pPr>
      <w:r>
        <w:t>Keep body text large enough to read comfortably.</w:t>
      </w:r>
    </w:p>
    <w:p>
      <w:pPr>
        <w:pStyle w:val="ListBullet"/>
        <w:spacing w:after="40"/>
      </w:pPr>
      <w:r>
        <w:t>Use short paragraphs.</w:t>
      </w:r>
    </w:p>
    <w:p>
      <w:pPr>
        <w:pStyle w:val="ListBullet"/>
        <w:spacing w:after="40"/>
      </w:pPr>
      <w:r>
        <w:t>Use consistent heading levels.</w:t>
      </w:r>
    </w:p>
    <w:p>
      <w:pPr>
        <w:pStyle w:val="ListBullet"/>
        <w:spacing w:after="40"/>
      </w:pPr>
      <w:r>
        <w:t>Avoid too many font sizes or styles.</w:t>
      </w:r>
    </w:p>
    <w:p>
      <w:pPr>
        <w:pStyle w:val="ListBullet"/>
        <w:spacing w:after="40"/>
      </w:pPr>
      <w:r>
        <w:t>Use bold text sparingly for emphasis.</w:t>
      </w:r>
    </w:p>
    <w:p>
      <w:pPr>
        <w:pStyle w:val="ListBullet"/>
        <w:spacing w:after="40"/>
      </w:pPr>
      <w:r>
        <w:t>Make links visually distinct from regular text.</w:t>
      </w:r>
    </w:p>
    <w:p>
      <w:pPr>
        <w:pStyle w:val="Heading2"/>
        <w:spacing w:before="120" w:after="80"/>
      </w:pPr>
      <w:r>
        <w:t>Suggested sizes</w:t>
      </w:r>
    </w:p>
    <w:tbl>
      <w:tblPr>
        <w:tblStyle w:val="TableGrid"/>
        <w:tblW w:type="auto" w:w="0"/>
        <w:tblLook w:firstColumn="1" w:firstRow="1" w:lastColumn="0" w:lastRow="0" w:noHBand="0" w:noVBand="1" w:val="04A0"/>
      </w:tblPr>
      <w:tblGrid>
        <w:gridCol w:w="4896"/>
        <w:gridCol w:w="4896"/>
      </w:tblGrid>
      <w:tr>
        <w:tc>
          <w:tcPr>
            <w:tcW w:type="dxa" w:w="4896"/>
          </w:tcPr>
          <w:p>
            <w:r>
              <w:rPr>
                <w:b/>
              </w:rPr>
              <w:t>Element</w:t>
            </w:r>
          </w:p>
        </w:tc>
        <w:tc>
          <w:tcPr>
            <w:tcW w:type="dxa" w:w="4896"/>
          </w:tcPr>
          <w:p>
            <w:r>
              <w:rPr>
                <w:b/>
              </w:rPr>
              <w:t>Recommended size</w:t>
            </w:r>
          </w:p>
        </w:tc>
      </w:tr>
      <w:tr>
        <w:tc>
          <w:tcPr>
            <w:tcW w:type="dxa" w:w="4896"/>
          </w:tcPr>
          <w:p>
            <w:r>
              <w:t>Page headline</w:t>
            </w:r>
          </w:p>
        </w:tc>
        <w:tc>
          <w:tcPr>
            <w:tcW w:type="dxa" w:w="4896"/>
          </w:tcPr>
          <w:p>
            <w:r>
              <w:t>42–52 px</w:t>
            </w:r>
          </w:p>
        </w:tc>
      </w:tr>
      <w:tr>
        <w:tc>
          <w:tcPr>
            <w:tcW w:type="dxa" w:w="4896"/>
          </w:tcPr>
          <w:p>
            <w:r>
              <w:t>Section headings</w:t>
            </w:r>
          </w:p>
        </w:tc>
        <w:tc>
          <w:tcPr>
            <w:tcW w:type="dxa" w:w="4896"/>
          </w:tcPr>
          <w:p>
            <w:r>
              <w:t>26–34 px</w:t>
            </w:r>
          </w:p>
        </w:tc>
      </w:tr>
      <w:tr>
        <w:tc>
          <w:tcPr>
            <w:tcW w:type="dxa" w:w="4896"/>
          </w:tcPr>
          <w:p>
            <w:r>
              <w:t>Body text</w:t>
            </w:r>
          </w:p>
        </w:tc>
        <w:tc>
          <w:tcPr>
            <w:tcW w:type="dxa" w:w="4896"/>
          </w:tcPr>
          <w:p>
            <w:r>
              <w:t>17–19 px</w:t>
            </w:r>
          </w:p>
        </w:tc>
      </w:tr>
      <w:tr>
        <w:tc>
          <w:tcPr>
            <w:tcW w:type="dxa" w:w="4896"/>
          </w:tcPr>
          <w:p>
            <w:r>
              <w:t>Small text/captions</w:t>
            </w:r>
          </w:p>
        </w:tc>
        <w:tc>
          <w:tcPr>
            <w:tcW w:type="dxa" w:w="4896"/>
          </w:tcPr>
          <w:p>
            <w:r>
              <w:t>14–15 px</w:t>
            </w:r>
          </w:p>
        </w:tc>
      </w:tr>
      <w:tr>
        <w:tc>
          <w:tcPr>
            <w:tcW w:type="dxa" w:w="4896"/>
          </w:tcPr>
          <w:p>
            <w:r>
              <w:t>Body line height</w:t>
            </w:r>
          </w:p>
        </w:tc>
        <w:tc>
          <w:tcPr>
            <w:tcW w:type="dxa" w:w="4896"/>
          </w:tcPr>
          <w:p>
            <w:r>
              <w:t>1.5–1.7</w:t>
            </w:r>
          </w:p>
        </w:tc>
      </w:tr>
    </w:tbl>
    <w:p/>
    <w:p>
      <w:pPr>
        <w:pStyle w:val="Heading1"/>
        <w:spacing w:before="200" w:after="80"/>
      </w:pPr>
      <w:r>
        <w:t>Color</w:t>
      </w:r>
    </w:p>
    <w:p>
      <w:pPr>
        <w:spacing w:after="120" w:line="276" w:lineRule="auto"/>
      </w:pPr>
      <w:r>
        <w:t>Use a restrained palette with one clear accent color. The safest and strongest direction is scholarly navy with a warm accent.</w:t>
      </w:r>
    </w:p>
    <w:p>
      <w:pPr>
        <w:pStyle w:val="Heading2"/>
        <w:spacing w:before="120" w:after="80"/>
      </w:pPr>
      <w:r>
        <w:t>Recommended palette</w:t>
      </w:r>
    </w:p>
    <w:tbl>
      <w:tblPr>
        <w:tblStyle w:val="TableGrid"/>
        <w:tblW w:type="auto" w:w="0"/>
        <w:tblLook w:firstColumn="1" w:firstRow="1" w:lastColumn="0" w:lastRow="0" w:noHBand="0" w:noVBand="1" w:val="04A0"/>
      </w:tblPr>
      <w:tblGrid>
        <w:gridCol w:w="4896"/>
        <w:gridCol w:w="4896"/>
      </w:tblGrid>
      <w:tr>
        <w:tc>
          <w:tcPr>
            <w:tcW w:type="dxa" w:w="4896"/>
          </w:tcPr>
          <w:p>
            <w:r>
              <w:rPr>
                <w:b/>
              </w:rPr>
              <w:t>Use</w:t>
            </w:r>
          </w:p>
        </w:tc>
        <w:tc>
          <w:tcPr>
            <w:tcW w:type="dxa" w:w="4896"/>
          </w:tcPr>
          <w:p>
            <w:r>
              <w:rPr>
                <w:b/>
              </w:rPr>
              <w:t>Color</w:t>
            </w:r>
          </w:p>
        </w:tc>
      </w:tr>
      <w:tr>
        <w:tc>
          <w:tcPr>
            <w:tcW w:type="dxa" w:w="4896"/>
          </w:tcPr>
          <w:p>
            <w:r>
              <w:t>Background</w:t>
            </w:r>
          </w:p>
        </w:tc>
        <w:tc>
          <w:tcPr>
            <w:tcW w:type="dxa" w:w="4896"/>
          </w:tcPr>
          <w:p>
            <w:r>
              <w:t>#F8F6F1</w:t>
            </w:r>
          </w:p>
        </w:tc>
      </w:tr>
      <w:tr>
        <w:tc>
          <w:tcPr>
            <w:tcW w:type="dxa" w:w="4896"/>
          </w:tcPr>
          <w:p>
            <w:r>
              <w:t>Main text</w:t>
            </w:r>
          </w:p>
        </w:tc>
        <w:tc>
          <w:tcPr>
            <w:tcW w:type="dxa" w:w="4896"/>
          </w:tcPr>
          <w:p>
            <w:r>
              <w:t>#1F2933</w:t>
            </w:r>
          </w:p>
        </w:tc>
      </w:tr>
      <w:tr>
        <w:tc>
          <w:tcPr>
            <w:tcW w:type="dxa" w:w="4896"/>
          </w:tcPr>
          <w:p>
            <w:r>
              <w:t>Headings/navy</w:t>
            </w:r>
          </w:p>
        </w:tc>
        <w:tc>
          <w:tcPr>
            <w:tcW w:type="dxa" w:w="4896"/>
          </w:tcPr>
          <w:p>
            <w:r>
              <w:t>#16324F</w:t>
            </w:r>
          </w:p>
        </w:tc>
      </w:tr>
      <w:tr>
        <w:tc>
          <w:tcPr>
            <w:tcW w:type="dxa" w:w="4896"/>
          </w:tcPr>
          <w:p>
            <w:r>
              <w:t>Accent</w:t>
            </w:r>
          </w:p>
        </w:tc>
        <w:tc>
          <w:tcPr>
            <w:tcW w:type="dxa" w:w="4896"/>
          </w:tcPr>
          <w:p>
            <w:r>
              <w:t>#B86B32</w:t>
            </w:r>
          </w:p>
        </w:tc>
      </w:tr>
      <w:tr>
        <w:tc>
          <w:tcPr>
            <w:tcW w:type="dxa" w:w="4896"/>
          </w:tcPr>
          <w:p>
            <w:r>
              <w:t>Light section background</w:t>
            </w:r>
          </w:p>
        </w:tc>
        <w:tc>
          <w:tcPr>
            <w:tcW w:type="dxa" w:w="4896"/>
          </w:tcPr>
          <w:p>
            <w:r>
              <w:t>#EFE8DD</w:t>
            </w:r>
          </w:p>
        </w:tc>
      </w:tr>
    </w:tbl>
    <w:p/>
    <w:p>
      <w:pPr>
        <w:spacing w:after="120" w:line="276" w:lineRule="auto"/>
      </w:pPr>
      <w:r>
        <w:t>This combination should feel polished, readable, academic, and warm without feeling corporate or overdesigned.</w:t>
      </w:r>
    </w:p>
    <w:p>
      <w:pPr>
        <w:pStyle w:val="Heading2"/>
        <w:spacing w:before="120" w:after="80"/>
      </w:pPr>
      <w:r>
        <w:t>Alternate palette directions</w:t>
      </w:r>
    </w:p>
    <w:tbl>
      <w:tblPr>
        <w:tblStyle w:val="TableGrid"/>
        <w:tblW w:type="auto" w:w="0"/>
        <w:tblLook w:firstColumn="1" w:firstRow="1" w:lastColumn="0" w:lastRow="0" w:noHBand="0" w:noVBand="1" w:val="04A0"/>
      </w:tblPr>
      <w:tblGrid>
        <w:gridCol w:w="2448"/>
        <w:gridCol w:w="2448"/>
        <w:gridCol w:w="2448"/>
        <w:gridCol w:w="2448"/>
      </w:tblGrid>
      <w:tr>
        <w:tc>
          <w:tcPr>
            <w:tcW w:type="dxa" w:w="2448"/>
          </w:tcPr>
          <w:p>
            <w:r>
              <w:rPr>
                <w:b/>
              </w:rPr>
              <w:t>Direction</w:t>
            </w:r>
          </w:p>
        </w:tc>
        <w:tc>
          <w:tcPr>
            <w:tcW w:type="dxa" w:w="2448"/>
          </w:tcPr>
          <w:p>
            <w:r>
              <w:rPr>
                <w:b/>
              </w:rPr>
              <w:t>Background</w:t>
            </w:r>
          </w:p>
        </w:tc>
        <w:tc>
          <w:tcPr>
            <w:tcW w:type="dxa" w:w="2448"/>
          </w:tcPr>
          <w:p>
            <w:r>
              <w:rPr>
                <w:b/>
              </w:rPr>
              <w:t>Main text</w:t>
            </w:r>
          </w:p>
        </w:tc>
        <w:tc>
          <w:tcPr>
            <w:tcW w:type="dxa" w:w="2448"/>
          </w:tcPr>
          <w:p>
            <w:r>
              <w:rPr>
                <w:b/>
              </w:rPr>
              <w:t>Heading/accent notes</w:t>
            </w:r>
          </w:p>
        </w:tc>
      </w:tr>
      <w:tr>
        <w:tc>
          <w:tcPr>
            <w:tcW w:type="dxa" w:w="2448"/>
          </w:tcPr>
          <w:p>
            <w:r>
              <w:t>Clean Academic Blue</w:t>
            </w:r>
          </w:p>
        </w:tc>
        <w:tc>
          <w:tcPr>
            <w:tcW w:type="dxa" w:w="2448"/>
          </w:tcPr>
          <w:p>
            <w:r>
              <w:t>#FFFFFF</w:t>
            </w:r>
          </w:p>
        </w:tc>
        <w:tc>
          <w:tcPr>
            <w:tcW w:type="dxa" w:w="2448"/>
          </w:tcPr>
          <w:p>
            <w:r>
              <w:t>#222222</w:t>
            </w:r>
          </w:p>
        </w:tc>
        <w:tc>
          <w:tcPr>
            <w:tcW w:type="dxa" w:w="2448"/>
          </w:tcPr>
          <w:p>
            <w:r>
              <w:t>Headings #12355B; accent #D9822B; light section #F3F6F8.</w:t>
            </w:r>
          </w:p>
        </w:tc>
      </w:tr>
      <w:tr>
        <w:tc>
          <w:tcPr>
            <w:tcW w:type="dxa" w:w="2448"/>
          </w:tcPr>
          <w:p>
            <w:r>
              <w:t>Field Notes / East Tennessee</w:t>
            </w:r>
          </w:p>
        </w:tc>
        <w:tc>
          <w:tcPr>
            <w:tcW w:type="dxa" w:w="2448"/>
          </w:tcPr>
          <w:p>
            <w:r>
              <w:t>#FAF7F0</w:t>
            </w:r>
          </w:p>
        </w:tc>
        <w:tc>
          <w:tcPr>
            <w:tcW w:type="dxa" w:w="2448"/>
          </w:tcPr>
          <w:p>
            <w:r>
              <w:t>#263238</w:t>
            </w:r>
          </w:p>
        </w:tc>
        <w:tc>
          <w:tcPr>
            <w:tcW w:type="dxa" w:w="2448"/>
          </w:tcPr>
          <w:p>
            <w:r>
              <w:t>Headings #284B3C; accent #C46A2B; light section #EEF1E8.</w:t>
            </w:r>
          </w:p>
        </w:tc>
      </w:tr>
      <w:tr>
        <w:tc>
          <w:tcPr>
            <w:tcW w:type="dxa" w:w="2448"/>
          </w:tcPr>
          <w:p>
            <w:r>
              <w:t>Data + Education</w:t>
            </w:r>
          </w:p>
        </w:tc>
        <w:tc>
          <w:tcPr>
            <w:tcW w:type="dxa" w:w="2448"/>
          </w:tcPr>
          <w:p>
            <w:r>
              <w:t>#F7F9FB</w:t>
            </w:r>
          </w:p>
        </w:tc>
        <w:tc>
          <w:tcPr>
            <w:tcW w:type="dxa" w:w="2448"/>
          </w:tcPr>
          <w:p>
            <w:r>
              <w:t>#202A36</w:t>
            </w:r>
          </w:p>
        </w:tc>
        <w:tc>
          <w:tcPr>
            <w:tcW w:type="dxa" w:w="2448"/>
          </w:tcPr>
          <w:p>
            <w:r>
              <w:t>Headings #1E3A5F; accent #3A7CA5; secondary accent #C56A2D.</w:t>
            </w:r>
          </w:p>
        </w:tc>
      </w:tr>
    </w:tbl>
    <w:p/>
    <w:p>
      <w:pPr>
        <w:pStyle w:val="Heading1"/>
        <w:spacing w:before="200" w:after="80"/>
      </w:pPr>
      <w:r>
        <w:t>Images</w:t>
      </w:r>
    </w:p>
    <w:p>
      <w:pPr>
        <w:spacing w:after="120" w:line="276" w:lineRule="auto"/>
      </w:pPr>
      <w:r>
        <w:t>Images should be used selectively and intentionally. They should reinforce the story of the site rather than decorate it.</w:t>
      </w:r>
    </w:p>
    <w:p>
      <w:pPr>
        <w:pStyle w:val="ListBullet"/>
        <w:spacing w:after="40"/>
      </w:pPr>
      <w:r>
        <w:t>Use a strong professional portrait on the homepage or About page.</w:t>
      </w:r>
    </w:p>
    <w:p>
      <w:pPr>
        <w:pStyle w:val="ListBullet"/>
        <w:spacing w:after="40"/>
      </w:pPr>
      <w:r>
        <w:t>Include a few images connected to teaching, research, or projects if available.</w:t>
      </w:r>
    </w:p>
    <w:p>
      <w:pPr>
        <w:pStyle w:val="ListBullet"/>
        <w:spacing w:after="40"/>
      </w:pPr>
      <w:r>
        <w:t>Use selected hiking, family, and outdoor photography in the Writing &amp; Photography section.</w:t>
      </w:r>
    </w:p>
    <w:p>
      <w:pPr>
        <w:pStyle w:val="ListBullet"/>
        <w:spacing w:after="40"/>
      </w:pPr>
      <w:r>
        <w:t>Include a visual treatment for Hiking Knoxville if a book cover or related image is available.</w:t>
      </w:r>
    </w:p>
    <w:p>
      <w:pPr>
        <w:pStyle w:val="ListBullet"/>
        <w:spacing w:after="40"/>
      </w:pPr>
      <w:r>
        <w:t>Curate photography carefully so it feels intentional rather than like a large archive.</w:t>
      </w:r>
    </w:p>
    <w:p>
      <w:pPr>
        <w:pStyle w:val="Heading1"/>
        <w:spacing w:before="200" w:after="80"/>
      </w:pPr>
      <w:r>
        <w:t>Cards and Featured Links</w:t>
      </w:r>
    </w:p>
    <w:p>
      <w:pPr>
        <w:spacing w:after="120" w:line="276" w:lineRule="auto"/>
      </w:pPr>
      <w:r>
        <w:t>Replace long lists of links with simple cards where appropriate. Cards are especially useful for featured projects and resources.</w:t>
      </w:r>
    </w:p>
    <w:p>
      <w:pPr>
        <w:pStyle w:val="Heading2"/>
        <w:spacing w:before="120" w:after="80"/>
      </w:pPr>
      <w:r>
        <w:t>Strong candidates for cards</w:t>
      </w:r>
    </w:p>
    <w:p>
      <w:pPr>
        <w:pStyle w:val="ListBullet"/>
        <w:spacing w:after="40"/>
      </w:pPr>
      <w:r>
        <w:t>Project CREDIBLE</w:t>
      </w:r>
    </w:p>
    <w:p>
      <w:pPr>
        <w:pStyle w:val="ListBullet"/>
        <w:spacing w:after="40"/>
      </w:pPr>
      <w:r>
        <w:t>Making Data Science Count</w:t>
      </w:r>
    </w:p>
    <w:p>
      <w:pPr>
        <w:pStyle w:val="ListBullet"/>
        <w:spacing w:after="40"/>
      </w:pPr>
      <w:r>
        <w:t>Data Science in Education Using R</w:t>
      </w:r>
    </w:p>
    <w:p>
      <w:pPr>
        <w:pStyle w:val="ListBullet"/>
        <w:spacing w:after="40"/>
      </w:pPr>
      <w:r>
        <w:t>Hiking Knoxville</w:t>
      </w:r>
    </w:p>
    <w:p>
      <w:pPr>
        <w:pStyle w:val="ListBullet"/>
        <w:spacing w:after="40"/>
      </w:pPr>
      <w:r>
        <w:t>Substack/newsletter</w:t>
      </w:r>
    </w:p>
    <w:p>
      <w:pPr>
        <w:pStyle w:val="ListBullet"/>
        <w:spacing w:after="40"/>
      </w:pPr>
      <w:r>
        <w:t>Google Scholar or selected publications</w:t>
      </w:r>
    </w:p>
    <w:p>
      <w:pPr>
        <w:pStyle w:val="Heading2"/>
        <w:spacing w:before="120" w:after="80"/>
      </w:pPr>
      <w:r>
        <w:t>Each card should include:</w:t>
      </w:r>
    </w:p>
    <w:p>
      <w:pPr>
        <w:pStyle w:val="ListBullet"/>
        <w:spacing w:after="40"/>
      </w:pPr>
      <w:r>
        <w:t>A clear title</w:t>
      </w:r>
    </w:p>
    <w:p>
      <w:pPr>
        <w:pStyle w:val="ListBullet"/>
        <w:spacing w:after="40"/>
      </w:pPr>
      <w:r>
        <w:t>One short description</w:t>
      </w:r>
    </w:p>
    <w:p>
      <w:pPr>
        <w:pStyle w:val="ListBullet"/>
        <w:spacing w:after="40"/>
      </w:pPr>
      <w:r>
        <w:t>One button or link</w:t>
      </w:r>
    </w:p>
    <w:p>
      <w:pPr>
        <w:pStyle w:val="Heading1"/>
        <w:spacing w:before="200" w:after="80"/>
      </w:pPr>
      <w:r>
        <w:t>Buttons and Calls to Action</w:t>
      </w:r>
    </w:p>
    <w:p>
      <w:pPr>
        <w:spacing w:after="120" w:line="276" w:lineRule="auto"/>
      </w:pPr>
      <w:r>
        <w:t>Use clear, consistent calls to action. Each button or link should point visitors to the most useful next step.</w:t>
      </w:r>
    </w:p>
    <w:p>
      <w:pPr>
        <w:pStyle w:val="ListBullet"/>
        <w:spacing w:after="40"/>
      </w:pPr>
      <w:r>
        <w:t>Explore Research</w:t>
      </w:r>
    </w:p>
    <w:p>
      <w:pPr>
        <w:pStyle w:val="ListBullet"/>
        <w:spacing w:after="40"/>
      </w:pPr>
      <w:r>
        <w:t>Learn About My Teaching</w:t>
      </w:r>
    </w:p>
    <w:p>
      <w:pPr>
        <w:pStyle w:val="ListBullet"/>
        <w:spacing w:after="40"/>
      </w:pPr>
      <w:r>
        <w:t>View CV</w:t>
      </w:r>
    </w:p>
    <w:p>
      <w:pPr>
        <w:pStyle w:val="ListBullet"/>
        <w:spacing w:after="40"/>
      </w:pPr>
      <w:r>
        <w:t>View Publications</w:t>
      </w:r>
    </w:p>
    <w:p>
      <w:pPr>
        <w:pStyle w:val="ListBullet"/>
        <w:spacing w:after="40"/>
      </w:pPr>
      <w:r>
        <w:t>Read on Substack</w:t>
      </w:r>
    </w:p>
    <w:p>
      <w:pPr>
        <w:pStyle w:val="ListBullet"/>
        <w:spacing w:after="40"/>
      </w:pPr>
      <w:r>
        <w:t>Learn About Hiking Knoxville</w:t>
      </w:r>
    </w:p>
    <w:p>
      <w:pPr>
        <w:pStyle w:val="ListBullet"/>
        <w:spacing w:after="40"/>
      </w:pPr>
      <w:r>
        <w:t>Contact Josh</w:t>
      </w:r>
    </w:p>
    <w:p>
      <w:pPr>
        <w:pStyle w:val="Heading1"/>
        <w:spacing w:before="200" w:after="80"/>
      </w:pPr>
      <w:r>
        <w:t>Mobile Readability</w:t>
      </w:r>
    </w:p>
    <w:p>
      <w:pPr>
        <w:spacing w:after="120" w:line="276" w:lineRule="auto"/>
      </w:pPr>
      <w:r>
        <w:t>Many visitors may first encounter the site on mobile, especially from a social link, email signature, Substack, conference page, or Google search. The site should be easy to read and navigate on a phone.</w:t>
      </w:r>
    </w:p>
    <w:p>
      <w:pPr>
        <w:pStyle w:val="ListBullet"/>
        <w:spacing w:after="40"/>
      </w:pPr>
      <w:r>
        <w:t>Use shorter paragraphs.</w:t>
      </w:r>
    </w:p>
    <w:p>
      <w:pPr>
        <w:pStyle w:val="ListBullet"/>
        <w:spacing w:after="40"/>
      </w:pPr>
      <w:r>
        <w:t>Create clear section breaks.</w:t>
      </w:r>
    </w:p>
    <w:p>
      <w:pPr>
        <w:pStyle w:val="ListBullet"/>
        <w:spacing w:after="40"/>
      </w:pPr>
      <w:r>
        <w:t>Make buttons easy to tap.</w:t>
      </w:r>
    </w:p>
    <w:p>
      <w:pPr>
        <w:pStyle w:val="ListBullet"/>
        <w:spacing w:after="40"/>
      </w:pPr>
      <w:r>
        <w:t>Ensure cards stack cleanly on smaller screens.</w:t>
      </w:r>
    </w:p>
    <w:p>
      <w:pPr>
        <w:pStyle w:val="ListBullet"/>
        <w:spacing w:after="40"/>
      </w:pPr>
      <w:r>
        <w:t>Keep navigation from feeling crowded.</w:t>
      </w:r>
    </w:p>
    <w:p>
      <w:pPr>
        <w:pStyle w:val="ListBullet"/>
        <w:spacing w:after="40"/>
      </w:pPr>
      <w:r>
        <w:t>Make sure images do not overwhelm the page.</w:t>
      </w:r>
    </w:p>
    <w:p>
      <w:pPr>
        <w:pStyle w:val="ListBullet"/>
        <w:spacing w:after="40"/>
      </w:pPr>
      <w:r>
        <w:t>Check desktop and mobile views together so the experience feels consistent.</w:t>
      </w:r>
    </w:p>
    <w:p>
      <w:pPr>
        <w:pStyle w:val="Heading1"/>
        <w:spacing w:before="200" w:after="80"/>
      </w:pPr>
      <w:r>
        <w:t>Overall Design Recommendation</w:t>
      </w:r>
    </w:p>
    <w:p>
      <w:pPr>
        <w:spacing w:after="120" w:line="276" w:lineRule="auto"/>
      </w:pPr>
      <w:r>
        <w:t>The design should support the message: Josh is an accomplished scholar, teacher, writer, and community-minded person whose work helps teachers, learners, and educational systems learn from data.</w:t>
      </w:r>
    </w:p>
    <w:p>
      <w:pPr>
        <w:spacing w:after="120" w:line="276" w:lineRule="auto"/>
      </w:pPr>
      <w:r>
        <w:t>The best design choices will make that message easier to see, not harder.</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Website Refresh Design Guidance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