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D83F2" w14:textId="23C26C88" w:rsidR="00D265C6" w:rsidRDefault="00D265C6" w:rsidP="00D265C6">
      <w:pPr>
        <w:jc w:val="center"/>
        <w:rPr>
          <w:rFonts w:ascii="Times New Roman" w:hAnsi="Times New Roman" w:cs="Times New Roman"/>
          <w:b/>
          <w:bCs/>
        </w:rPr>
      </w:pPr>
      <w:r w:rsidRPr="006E72C1">
        <w:rPr>
          <w:rFonts w:ascii="Times New Roman" w:hAnsi="Times New Roman" w:cs="Times New Roman"/>
          <w:b/>
          <w:bCs/>
        </w:rPr>
        <w:t xml:space="preserve">Experiences, </w:t>
      </w:r>
      <w:r w:rsidRPr="00D265C6">
        <w:rPr>
          <w:rFonts w:ascii="Times New Roman" w:hAnsi="Times New Roman" w:cs="Times New Roman"/>
          <w:b/>
          <w:bCs/>
        </w:rPr>
        <w:t>A</w:t>
      </w:r>
      <w:r w:rsidRPr="006E72C1">
        <w:rPr>
          <w:rFonts w:ascii="Times New Roman" w:hAnsi="Times New Roman" w:cs="Times New Roman"/>
          <w:b/>
          <w:bCs/>
        </w:rPr>
        <w:t xml:space="preserve">ctivities, and </w:t>
      </w:r>
      <w:r w:rsidRPr="00D265C6">
        <w:rPr>
          <w:rFonts w:ascii="Times New Roman" w:hAnsi="Times New Roman" w:cs="Times New Roman"/>
          <w:b/>
          <w:bCs/>
        </w:rPr>
        <w:t>P</w:t>
      </w:r>
      <w:r w:rsidRPr="006E72C1">
        <w:rPr>
          <w:rFonts w:ascii="Times New Roman" w:hAnsi="Times New Roman" w:cs="Times New Roman"/>
          <w:b/>
          <w:bCs/>
        </w:rPr>
        <w:t xml:space="preserve">ersonal </w:t>
      </w:r>
      <w:r w:rsidRPr="00D265C6">
        <w:rPr>
          <w:rFonts w:ascii="Times New Roman" w:hAnsi="Times New Roman" w:cs="Times New Roman"/>
          <w:b/>
          <w:bCs/>
        </w:rPr>
        <w:t>C</w:t>
      </w:r>
      <w:r w:rsidRPr="006E72C1">
        <w:rPr>
          <w:rFonts w:ascii="Times New Roman" w:hAnsi="Times New Roman" w:cs="Times New Roman"/>
          <w:b/>
          <w:bCs/>
        </w:rPr>
        <w:t>haracteristics as</w:t>
      </w:r>
      <w:r w:rsidRPr="00D265C6">
        <w:rPr>
          <w:rFonts w:ascii="Times New Roman" w:hAnsi="Times New Roman" w:cs="Times New Roman"/>
          <w:b/>
          <w:bCs/>
        </w:rPr>
        <w:t xml:space="preserve"> P</w:t>
      </w:r>
      <w:r w:rsidRPr="006E72C1">
        <w:rPr>
          <w:rFonts w:ascii="Times New Roman" w:hAnsi="Times New Roman" w:cs="Times New Roman"/>
          <w:b/>
          <w:bCs/>
        </w:rPr>
        <w:t>redictors of</w:t>
      </w:r>
      <w:r w:rsidRPr="00D265C6">
        <w:rPr>
          <w:rFonts w:ascii="Times New Roman" w:hAnsi="Times New Roman" w:cs="Times New Roman"/>
          <w:b/>
          <w:bCs/>
        </w:rPr>
        <w:t xml:space="preserve"> En</w:t>
      </w:r>
      <w:r w:rsidRPr="006E72C1">
        <w:rPr>
          <w:rFonts w:ascii="Times New Roman" w:hAnsi="Times New Roman" w:cs="Times New Roman"/>
          <w:b/>
          <w:bCs/>
        </w:rPr>
        <w:t>gagement in STEM-focused</w:t>
      </w:r>
      <w:r w:rsidRPr="00D265C6">
        <w:rPr>
          <w:rFonts w:ascii="Times New Roman" w:hAnsi="Times New Roman" w:cs="Times New Roman"/>
          <w:b/>
          <w:bCs/>
        </w:rPr>
        <w:t xml:space="preserve"> S</w:t>
      </w:r>
      <w:r w:rsidRPr="006E72C1">
        <w:rPr>
          <w:rFonts w:ascii="Times New Roman" w:hAnsi="Times New Roman" w:cs="Times New Roman"/>
          <w:b/>
          <w:bCs/>
        </w:rPr>
        <w:t xml:space="preserve">ummer </w:t>
      </w:r>
      <w:r w:rsidRPr="00D265C6">
        <w:rPr>
          <w:rFonts w:ascii="Times New Roman" w:hAnsi="Times New Roman" w:cs="Times New Roman"/>
          <w:b/>
          <w:bCs/>
        </w:rPr>
        <w:t>P</w:t>
      </w:r>
      <w:r w:rsidRPr="006E72C1">
        <w:rPr>
          <w:rFonts w:ascii="Times New Roman" w:hAnsi="Times New Roman" w:cs="Times New Roman"/>
          <w:b/>
          <w:bCs/>
        </w:rPr>
        <w:t>rograms</w:t>
      </w:r>
    </w:p>
    <w:p w14:paraId="74CA6CFA" w14:textId="77777777" w:rsidR="00D265C6" w:rsidRPr="00D265C6" w:rsidRDefault="00D265C6" w:rsidP="00D265C6">
      <w:pPr>
        <w:jc w:val="center"/>
        <w:rPr>
          <w:rFonts w:ascii="Times New Roman" w:hAnsi="Times New Roman" w:cs="Times New Roman"/>
          <w:b/>
          <w:bCs/>
        </w:rPr>
      </w:pPr>
    </w:p>
    <w:p w14:paraId="4573E2BB" w14:textId="7AADFEF3" w:rsidR="00D265C6" w:rsidRDefault="00D265C6" w:rsidP="00D265C6">
      <w:pPr>
        <w:jc w:val="center"/>
        <w:rPr>
          <w:rFonts w:ascii="Times New Roman" w:hAnsi="Times New Roman" w:cs="Times New Roman"/>
        </w:rPr>
      </w:pPr>
      <w:r>
        <w:rPr>
          <w:rFonts w:ascii="Times New Roman" w:hAnsi="Times New Roman" w:cs="Times New Roman"/>
        </w:rPr>
        <w:t>Jennifer A. Schmidt</w:t>
      </w:r>
      <w:r>
        <w:rPr>
          <w:rFonts w:ascii="Times New Roman" w:hAnsi="Times New Roman" w:cs="Times New Roman"/>
          <w:vertAlign w:val="superscript"/>
        </w:rPr>
        <w:t>1</w:t>
      </w:r>
      <w:r>
        <w:rPr>
          <w:rFonts w:ascii="Times New Roman" w:hAnsi="Times New Roman" w:cs="Times New Roman"/>
        </w:rPr>
        <w:t>, Patrick N. Beymer</w:t>
      </w:r>
      <w:r>
        <w:rPr>
          <w:rFonts w:ascii="Times New Roman" w:hAnsi="Times New Roman" w:cs="Times New Roman"/>
          <w:vertAlign w:val="superscript"/>
        </w:rPr>
        <w:t>1</w:t>
      </w:r>
      <w:r>
        <w:rPr>
          <w:rFonts w:ascii="Times New Roman" w:hAnsi="Times New Roman" w:cs="Times New Roman"/>
        </w:rPr>
        <w:t>, Joshua M. Rosenberg</w:t>
      </w:r>
      <w:r>
        <w:rPr>
          <w:rFonts w:ascii="Times New Roman" w:hAnsi="Times New Roman" w:cs="Times New Roman"/>
          <w:vertAlign w:val="superscript"/>
        </w:rPr>
        <w:t>2</w:t>
      </w:r>
      <w:r>
        <w:rPr>
          <w:rFonts w:ascii="Times New Roman" w:hAnsi="Times New Roman" w:cs="Times New Roman"/>
        </w:rPr>
        <w:t>, Neil Naftzger</w:t>
      </w:r>
      <w:r>
        <w:rPr>
          <w:rFonts w:ascii="Times New Roman" w:hAnsi="Times New Roman" w:cs="Times New Roman"/>
          <w:vertAlign w:val="superscript"/>
        </w:rPr>
        <w:t>3</w:t>
      </w:r>
      <w:r>
        <w:rPr>
          <w:rFonts w:ascii="Times New Roman" w:hAnsi="Times New Roman" w:cs="Times New Roman"/>
        </w:rPr>
        <w:t>, and Lee Shumow</w:t>
      </w:r>
      <w:r>
        <w:rPr>
          <w:rFonts w:ascii="Times New Roman" w:hAnsi="Times New Roman" w:cs="Times New Roman"/>
          <w:vertAlign w:val="superscript"/>
        </w:rPr>
        <w:t>4</w:t>
      </w:r>
    </w:p>
    <w:p w14:paraId="5BF3569B" w14:textId="11854E4C" w:rsidR="00D265C6" w:rsidRDefault="00D265C6">
      <w:pPr>
        <w:rPr>
          <w:rFonts w:ascii="Times New Roman" w:hAnsi="Times New Roman" w:cs="Times New Roman"/>
        </w:rPr>
      </w:pPr>
    </w:p>
    <w:p w14:paraId="5E607E2A" w14:textId="77777777" w:rsidR="00D265C6" w:rsidRDefault="00D265C6" w:rsidP="00D265C6">
      <w:pPr>
        <w:rPr>
          <w:rFonts w:ascii="Times New Roman" w:hAnsi="Times New Roman" w:cs="Times New Roman"/>
        </w:rPr>
      </w:pPr>
      <w:r>
        <w:rPr>
          <w:rFonts w:ascii="Times New Roman" w:hAnsi="Times New Roman" w:cs="Times New Roman"/>
          <w:vertAlign w:val="superscript"/>
        </w:rPr>
        <w:t>1</w:t>
      </w:r>
      <w:r w:rsidRPr="00D265C6">
        <w:rPr>
          <w:rFonts w:ascii="Times New Roman" w:hAnsi="Times New Roman" w:cs="Times New Roman"/>
        </w:rPr>
        <w:t>Counseling Educational Psychology and Special Education, Michigan State University, East Lansing, Michigan</w:t>
      </w:r>
    </w:p>
    <w:p w14:paraId="21CD9C33" w14:textId="0D62D642" w:rsidR="00D265C6" w:rsidRPr="00D265C6" w:rsidRDefault="00D265C6" w:rsidP="00D265C6">
      <w:pPr>
        <w:rPr>
          <w:rFonts w:ascii="Times New Roman" w:hAnsi="Times New Roman" w:cs="Times New Roman"/>
        </w:rPr>
      </w:pPr>
      <w:r>
        <w:rPr>
          <w:rFonts w:ascii="Times New Roman" w:hAnsi="Times New Roman" w:cs="Times New Roman"/>
          <w:vertAlign w:val="superscript"/>
        </w:rPr>
        <w:t>2</w:t>
      </w:r>
      <w:r w:rsidRPr="00D265C6">
        <w:rPr>
          <w:rFonts w:ascii="Times New Roman" w:hAnsi="Times New Roman" w:cs="Times New Roman"/>
        </w:rPr>
        <w:t>Theory &amp; Practice in Teacher Education, University of Tennessee Knoxville, Knoxville, Tennessee</w:t>
      </w:r>
      <w:r w:rsidRPr="00D265C6">
        <w:rPr>
          <w:rFonts w:ascii="Times New Roman" w:hAnsi="Times New Roman" w:cs="Times New Roman"/>
        </w:rPr>
        <w:br/>
      </w:r>
      <w:r>
        <w:rPr>
          <w:rFonts w:ascii="Times New Roman" w:hAnsi="Times New Roman" w:cs="Times New Roman"/>
          <w:vertAlign w:val="superscript"/>
        </w:rPr>
        <w:t>3</w:t>
      </w:r>
      <w:r w:rsidRPr="00D265C6">
        <w:rPr>
          <w:rFonts w:ascii="Times New Roman" w:hAnsi="Times New Roman" w:cs="Times New Roman"/>
        </w:rPr>
        <w:t>American Institutes for Research, Washington, District of Columbia</w:t>
      </w:r>
      <w:r w:rsidRPr="00D265C6">
        <w:rPr>
          <w:rFonts w:ascii="Times New Roman" w:hAnsi="Times New Roman" w:cs="Times New Roman"/>
        </w:rPr>
        <w:br/>
      </w:r>
      <w:r>
        <w:rPr>
          <w:rFonts w:ascii="Times New Roman" w:hAnsi="Times New Roman" w:cs="Times New Roman"/>
          <w:vertAlign w:val="superscript"/>
        </w:rPr>
        <w:t>4</w:t>
      </w:r>
      <w:r w:rsidRPr="00D265C6">
        <w:rPr>
          <w:rFonts w:ascii="Times New Roman" w:hAnsi="Times New Roman" w:cs="Times New Roman"/>
        </w:rPr>
        <w:t xml:space="preserve">Leadership, Educational Psychology, and Foundations, Northern Illinois University, DeKalb, Illinois </w:t>
      </w:r>
    </w:p>
    <w:p w14:paraId="42197D32" w14:textId="77777777" w:rsidR="00D265C6" w:rsidRDefault="00D265C6">
      <w:pPr>
        <w:rPr>
          <w:rFonts w:ascii="Times New Roman" w:hAnsi="Times New Roman" w:cs="Times New Roman"/>
        </w:rPr>
      </w:pPr>
    </w:p>
    <w:p w14:paraId="1D1FB279" w14:textId="54D88579" w:rsidR="006E72C1" w:rsidRDefault="00D265C6">
      <w:pPr>
        <w:rPr>
          <w:rFonts w:ascii="Times New Roman" w:hAnsi="Times New Roman" w:cs="Times New Roman"/>
        </w:rPr>
      </w:pPr>
      <w:r>
        <w:rPr>
          <w:rFonts w:ascii="Times New Roman" w:hAnsi="Times New Roman" w:cs="Times New Roman"/>
        </w:rPr>
        <w:t>This article is a pre-print of</w:t>
      </w:r>
      <w:r w:rsidR="006E72C1" w:rsidRPr="006E72C1">
        <w:rPr>
          <w:rFonts w:ascii="Times New Roman" w:hAnsi="Times New Roman" w:cs="Times New Roman"/>
        </w:rPr>
        <w:t xml:space="preserve">: Schmidt JA, </w:t>
      </w:r>
      <w:proofErr w:type="spellStart"/>
      <w:r w:rsidR="006E72C1" w:rsidRPr="006E72C1">
        <w:rPr>
          <w:rFonts w:ascii="Times New Roman" w:hAnsi="Times New Roman" w:cs="Times New Roman"/>
        </w:rPr>
        <w:t>Beymer</w:t>
      </w:r>
      <w:proofErr w:type="spellEnd"/>
      <w:r w:rsidR="006E72C1" w:rsidRPr="006E72C1">
        <w:rPr>
          <w:rFonts w:ascii="Times New Roman" w:hAnsi="Times New Roman" w:cs="Times New Roman"/>
        </w:rPr>
        <w:t xml:space="preserve"> PN, Rosenberg JM, </w:t>
      </w:r>
      <w:proofErr w:type="spellStart"/>
      <w:r w:rsidR="006E72C1" w:rsidRPr="006E72C1">
        <w:rPr>
          <w:rFonts w:ascii="Times New Roman" w:hAnsi="Times New Roman" w:cs="Times New Roman"/>
        </w:rPr>
        <w:t>Naftzger</w:t>
      </w:r>
      <w:proofErr w:type="spellEnd"/>
      <w:r w:rsidR="006E72C1" w:rsidRPr="006E72C1">
        <w:rPr>
          <w:rFonts w:ascii="Times New Roman" w:hAnsi="Times New Roman" w:cs="Times New Roman"/>
        </w:rPr>
        <w:t xml:space="preserve"> NN, </w:t>
      </w:r>
      <w:proofErr w:type="spellStart"/>
      <w:r w:rsidR="006E72C1" w:rsidRPr="006E72C1">
        <w:rPr>
          <w:rFonts w:ascii="Times New Roman" w:hAnsi="Times New Roman" w:cs="Times New Roman"/>
        </w:rPr>
        <w:t>Shumow</w:t>
      </w:r>
      <w:proofErr w:type="spellEnd"/>
      <w:r w:rsidR="006E72C1" w:rsidRPr="006E72C1">
        <w:rPr>
          <w:rFonts w:ascii="Times New Roman" w:hAnsi="Times New Roman" w:cs="Times New Roman"/>
        </w:rPr>
        <w:t xml:space="preserve"> L. </w:t>
      </w:r>
      <w:r w:rsidR="006E72C1">
        <w:rPr>
          <w:rFonts w:ascii="Times New Roman" w:hAnsi="Times New Roman" w:cs="Times New Roman"/>
        </w:rPr>
        <w:t xml:space="preserve">(2020). </w:t>
      </w:r>
      <w:r w:rsidR="006E72C1" w:rsidRPr="006E72C1">
        <w:rPr>
          <w:rFonts w:ascii="Times New Roman" w:hAnsi="Times New Roman" w:cs="Times New Roman"/>
        </w:rPr>
        <w:t xml:space="preserve">Experiences, activities, and personal characteristics as predictors of engagement in STEM-focused summer programs. </w:t>
      </w:r>
      <w:r w:rsidR="006E72C1" w:rsidRPr="006E72C1">
        <w:rPr>
          <w:rFonts w:ascii="Times New Roman" w:hAnsi="Times New Roman" w:cs="Times New Roman"/>
          <w:i/>
          <w:iCs/>
        </w:rPr>
        <w:t>J</w:t>
      </w:r>
      <w:r w:rsidR="006E72C1" w:rsidRPr="006E72C1">
        <w:rPr>
          <w:rFonts w:ascii="Times New Roman" w:hAnsi="Times New Roman" w:cs="Times New Roman"/>
          <w:i/>
          <w:iCs/>
        </w:rPr>
        <w:t>ournal of</w:t>
      </w:r>
      <w:r w:rsidR="006E72C1" w:rsidRPr="006E72C1">
        <w:rPr>
          <w:rFonts w:ascii="Times New Roman" w:hAnsi="Times New Roman" w:cs="Times New Roman"/>
          <w:i/>
          <w:iCs/>
        </w:rPr>
        <w:t xml:space="preserve"> Res</w:t>
      </w:r>
      <w:r w:rsidR="006E72C1" w:rsidRPr="006E72C1">
        <w:rPr>
          <w:rFonts w:ascii="Times New Roman" w:hAnsi="Times New Roman" w:cs="Times New Roman"/>
          <w:i/>
          <w:iCs/>
        </w:rPr>
        <w:t>earch in</w:t>
      </w:r>
      <w:r w:rsidR="006E72C1" w:rsidRPr="006E72C1">
        <w:rPr>
          <w:rFonts w:ascii="Times New Roman" w:hAnsi="Times New Roman" w:cs="Times New Roman"/>
          <w:i/>
          <w:iCs/>
        </w:rPr>
        <w:t xml:space="preserve"> Sci</w:t>
      </w:r>
      <w:r w:rsidR="006E72C1" w:rsidRPr="006E72C1">
        <w:rPr>
          <w:rFonts w:ascii="Times New Roman" w:hAnsi="Times New Roman" w:cs="Times New Roman"/>
          <w:i/>
          <w:iCs/>
        </w:rPr>
        <w:t>ence</w:t>
      </w:r>
      <w:r w:rsidR="006E72C1" w:rsidRPr="006E72C1">
        <w:rPr>
          <w:rFonts w:ascii="Times New Roman" w:hAnsi="Times New Roman" w:cs="Times New Roman"/>
          <w:i/>
          <w:iCs/>
        </w:rPr>
        <w:t xml:space="preserve"> Teach</w:t>
      </w:r>
      <w:r w:rsidR="006E72C1" w:rsidRPr="006E72C1">
        <w:rPr>
          <w:rFonts w:ascii="Times New Roman" w:hAnsi="Times New Roman" w:cs="Times New Roman"/>
          <w:i/>
          <w:iCs/>
        </w:rPr>
        <w:t>ing</w:t>
      </w:r>
      <w:r w:rsidR="006E72C1" w:rsidRPr="006E72C1">
        <w:rPr>
          <w:rFonts w:ascii="Times New Roman" w:hAnsi="Times New Roman" w:cs="Times New Roman"/>
        </w:rPr>
        <w:t>.</w:t>
      </w:r>
      <w:r w:rsidR="006E72C1">
        <w:rPr>
          <w:rFonts w:ascii="Times New Roman" w:hAnsi="Times New Roman" w:cs="Times New Roman"/>
        </w:rPr>
        <w:t xml:space="preserve"> </w:t>
      </w:r>
      <w:r w:rsidR="006E72C1" w:rsidRPr="006E72C1">
        <w:rPr>
          <w:rFonts w:ascii="Times New Roman" w:hAnsi="Times New Roman" w:cs="Times New Roman"/>
        </w:rPr>
        <w:t xml:space="preserve">1–29. </w:t>
      </w:r>
      <w:hyperlink r:id="rId8" w:history="1">
        <w:r w:rsidR="006E72C1" w:rsidRPr="006E72C1">
          <w:rPr>
            <w:rStyle w:val="Hyperlink"/>
            <w:rFonts w:ascii="Times New Roman" w:hAnsi="Times New Roman" w:cs="Times New Roman"/>
          </w:rPr>
          <w:t>https</w:t>
        </w:r>
        <w:r w:rsidR="006E72C1" w:rsidRPr="006E72C1">
          <w:rPr>
            <w:rStyle w:val="Hyperlink"/>
            <w:rFonts w:ascii="Times New Roman" w:hAnsi="Times New Roman" w:cs="Times New Roman"/>
          </w:rPr>
          <w:t>:</w:t>
        </w:r>
        <w:r w:rsidR="006E72C1" w:rsidRPr="006E72C1">
          <w:rPr>
            <w:rStyle w:val="Hyperlink"/>
            <w:rFonts w:ascii="Times New Roman" w:hAnsi="Times New Roman" w:cs="Times New Roman"/>
          </w:rPr>
          <w:t>//doi. org/10.1002/tea.21630</w:t>
        </w:r>
      </w:hyperlink>
      <w:r w:rsidR="006E72C1">
        <w:rPr>
          <w:rFonts w:ascii="Times New Roman" w:hAnsi="Times New Roman" w:cs="Times New Roman"/>
        </w:rPr>
        <w:br w:type="page"/>
      </w:r>
    </w:p>
    <w:p w14:paraId="30E6D234" w14:textId="07D54E0B" w:rsidR="00632F24" w:rsidRPr="003D3598" w:rsidRDefault="00593933" w:rsidP="006E72C1">
      <w:pPr>
        <w:widowControl w:val="0"/>
        <w:autoSpaceDE w:val="0"/>
        <w:autoSpaceDN w:val="0"/>
        <w:adjustRightInd w:val="0"/>
        <w:spacing w:after="240"/>
        <w:ind w:firstLine="720"/>
        <w:contextualSpacing/>
        <w:rPr>
          <w:rFonts w:ascii="Times New Roman" w:hAnsi="Times New Roman" w:cs="Times New Roman"/>
        </w:rPr>
      </w:pPr>
      <w:r w:rsidRPr="003D3598">
        <w:rPr>
          <w:rFonts w:ascii="Times New Roman" w:hAnsi="Times New Roman" w:cs="Times New Roman"/>
        </w:rPr>
        <w:lastRenderedPageBreak/>
        <w:t xml:space="preserve">The past decade has seen a rise in </w:t>
      </w:r>
      <w:r w:rsidR="00867527" w:rsidRPr="003D3598">
        <w:rPr>
          <w:rFonts w:ascii="Times New Roman" w:hAnsi="Times New Roman" w:cs="Times New Roman"/>
        </w:rPr>
        <w:t>out-of-school</w:t>
      </w:r>
      <w:r w:rsidR="00130F7C" w:rsidRPr="003D3598">
        <w:rPr>
          <w:rFonts w:ascii="Times New Roman" w:hAnsi="Times New Roman" w:cs="Times New Roman"/>
        </w:rPr>
        <w:t>-time (OST)</w:t>
      </w:r>
      <w:r w:rsidR="00867527" w:rsidRPr="003D3598">
        <w:rPr>
          <w:rFonts w:ascii="Times New Roman" w:hAnsi="Times New Roman" w:cs="Times New Roman"/>
        </w:rPr>
        <w:t xml:space="preserve"> </w:t>
      </w:r>
      <w:r w:rsidRPr="003D3598">
        <w:rPr>
          <w:rFonts w:ascii="Times New Roman" w:hAnsi="Times New Roman" w:cs="Times New Roman"/>
        </w:rPr>
        <w:t>programs</w:t>
      </w:r>
      <w:r w:rsidR="00867527" w:rsidRPr="003D3598">
        <w:rPr>
          <w:rFonts w:ascii="Times New Roman" w:hAnsi="Times New Roman" w:cs="Times New Roman"/>
        </w:rPr>
        <w:t xml:space="preserve"> for youth that are</w:t>
      </w:r>
      <w:r w:rsidRPr="003D3598">
        <w:rPr>
          <w:rFonts w:ascii="Times New Roman" w:hAnsi="Times New Roman" w:cs="Times New Roman"/>
        </w:rPr>
        <w:t xml:space="preserve"> focused on STEM content</w:t>
      </w:r>
      <w:r w:rsidR="00867527" w:rsidRPr="003D3598">
        <w:rPr>
          <w:rFonts w:ascii="Times New Roman" w:hAnsi="Times New Roman" w:cs="Times New Roman"/>
        </w:rPr>
        <w:t xml:space="preserve">. These after-school and summer programs are often </w:t>
      </w:r>
      <w:r w:rsidR="00D10B4A" w:rsidRPr="003D3598">
        <w:rPr>
          <w:rFonts w:ascii="Times New Roman" w:hAnsi="Times New Roman" w:cs="Times New Roman"/>
        </w:rPr>
        <w:t>seen</w:t>
      </w:r>
      <w:r w:rsidR="00867527" w:rsidRPr="003D3598">
        <w:rPr>
          <w:rFonts w:ascii="Times New Roman" w:hAnsi="Times New Roman" w:cs="Times New Roman"/>
        </w:rPr>
        <w:t xml:space="preserve"> as a supplement to classroom instruction,</w:t>
      </w:r>
      <w:r w:rsidRPr="003D3598">
        <w:rPr>
          <w:rFonts w:ascii="Times New Roman" w:hAnsi="Times New Roman" w:cs="Times New Roman"/>
        </w:rPr>
        <w:t xml:space="preserve"> with the </w:t>
      </w:r>
      <w:r w:rsidR="00D10B4A" w:rsidRPr="003D3598">
        <w:rPr>
          <w:rFonts w:ascii="Times New Roman" w:hAnsi="Times New Roman" w:cs="Times New Roman"/>
        </w:rPr>
        <w:t xml:space="preserve">dual </w:t>
      </w:r>
      <w:r w:rsidRPr="003D3598">
        <w:rPr>
          <w:rFonts w:ascii="Times New Roman" w:hAnsi="Times New Roman" w:cs="Times New Roman"/>
        </w:rPr>
        <w:t>aim</w:t>
      </w:r>
      <w:r w:rsidR="00482E86" w:rsidRPr="003D3598">
        <w:rPr>
          <w:rFonts w:ascii="Times New Roman" w:hAnsi="Times New Roman" w:cs="Times New Roman"/>
        </w:rPr>
        <w:t>s</w:t>
      </w:r>
      <w:r w:rsidRPr="003D3598">
        <w:rPr>
          <w:rFonts w:ascii="Times New Roman" w:hAnsi="Times New Roman" w:cs="Times New Roman"/>
        </w:rPr>
        <w:t xml:space="preserve"> of promoting </w:t>
      </w:r>
      <w:r w:rsidR="00D40A95" w:rsidRPr="003D3598">
        <w:rPr>
          <w:rFonts w:ascii="Times New Roman" w:hAnsi="Times New Roman" w:cs="Times New Roman"/>
        </w:rPr>
        <w:t>engagement</w:t>
      </w:r>
      <w:r w:rsidRPr="003D3598">
        <w:rPr>
          <w:rFonts w:ascii="Times New Roman" w:hAnsi="Times New Roman" w:cs="Times New Roman"/>
        </w:rPr>
        <w:t xml:space="preserve"> </w:t>
      </w:r>
      <w:r w:rsidR="00D10B4A" w:rsidRPr="003D3598">
        <w:rPr>
          <w:rFonts w:ascii="Times New Roman" w:hAnsi="Times New Roman" w:cs="Times New Roman"/>
        </w:rPr>
        <w:t xml:space="preserve">and interest </w:t>
      </w:r>
      <w:r w:rsidRPr="003D3598">
        <w:rPr>
          <w:rFonts w:ascii="Times New Roman" w:hAnsi="Times New Roman" w:cs="Times New Roman"/>
        </w:rPr>
        <w:t xml:space="preserve">in STEM careers and building academic skills (Dabney et al., 2012; Davis &amp; Hardin, 2013; Elam, </w:t>
      </w:r>
      <w:proofErr w:type="spellStart"/>
      <w:r w:rsidRPr="003D3598">
        <w:rPr>
          <w:rFonts w:ascii="Times New Roman" w:hAnsi="Times New Roman" w:cs="Times New Roman"/>
        </w:rPr>
        <w:t>Donham</w:t>
      </w:r>
      <w:proofErr w:type="spellEnd"/>
      <w:r w:rsidRPr="003D3598">
        <w:rPr>
          <w:rFonts w:ascii="Times New Roman" w:hAnsi="Times New Roman" w:cs="Times New Roman"/>
        </w:rPr>
        <w:t xml:space="preserve"> &amp; Solomon, 2012; Kataoka &amp; </w:t>
      </w:r>
      <w:proofErr w:type="spellStart"/>
      <w:r w:rsidRPr="003D3598">
        <w:rPr>
          <w:rFonts w:ascii="Times New Roman" w:hAnsi="Times New Roman" w:cs="Times New Roman"/>
        </w:rPr>
        <w:t>Vandell</w:t>
      </w:r>
      <w:proofErr w:type="spellEnd"/>
      <w:r w:rsidRPr="003D3598">
        <w:rPr>
          <w:rFonts w:ascii="Times New Roman" w:hAnsi="Times New Roman" w:cs="Times New Roman"/>
        </w:rPr>
        <w:t>, 201</w:t>
      </w:r>
      <w:r w:rsidR="00EC7063">
        <w:rPr>
          <w:rFonts w:ascii="Times New Roman" w:hAnsi="Times New Roman" w:cs="Times New Roman"/>
        </w:rPr>
        <w:t>3</w:t>
      </w:r>
      <w:r w:rsidRPr="003D3598">
        <w:rPr>
          <w:rFonts w:ascii="Times New Roman" w:hAnsi="Times New Roman" w:cs="Times New Roman"/>
        </w:rPr>
        <w:t>; Mohr-Schroeder et al., 2014). Research has shown that STEM-focused summer programs are effective at increasing youths</w:t>
      </w:r>
      <w:r w:rsidR="003C1ED9">
        <w:rPr>
          <w:rFonts w:ascii="Times New Roman" w:hAnsi="Times New Roman" w:cs="Times New Roman"/>
        </w:rPr>
        <w:t>’</w:t>
      </w:r>
      <w:r w:rsidRPr="003D3598">
        <w:rPr>
          <w:rFonts w:ascii="Times New Roman" w:hAnsi="Times New Roman" w:cs="Times New Roman"/>
        </w:rPr>
        <w:t xml:space="preserve"> motivation and interest in STEM fields, and also help youth to improve work habits, task persistence, and peer interacti</w:t>
      </w:r>
      <w:r w:rsidR="00632F24" w:rsidRPr="003D3598">
        <w:rPr>
          <w:rFonts w:ascii="Times New Roman" w:hAnsi="Times New Roman" w:cs="Times New Roman"/>
        </w:rPr>
        <w:t xml:space="preserve">ons once they return to school (Greene, </w:t>
      </w:r>
      <w:r w:rsidR="00EC7063">
        <w:rPr>
          <w:rFonts w:ascii="Times New Roman" w:hAnsi="Times New Roman" w:cs="Times New Roman"/>
        </w:rPr>
        <w:t>Lee, Constance &amp; Hynes,</w:t>
      </w:r>
      <w:r w:rsidR="00632F24" w:rsidRPr="003D3598">
        <w:rPr>
          <w:rFonts w:ascii="Times New Roman" w:hAnsi="Times New Roman" w:cs="Times New Roman"/>
        </w:rPr>
        <w:t xml:space="preserve"> 2013; Mohr-Schroeder et al., 2014; Kataoka &amp; </w:t>
      </w:r>
      <w:proofErr w:type="spellStart"/>
      <w:r w:rsidR="00632F24" w:rsidRPr="003D3598">
        <w:rPr>
          <w:rFonts w:ascii="Times New Roman" w:hAnsi="Times New Roman" w:cs="Times New Roman"/>
        </w:rPr>
        <w:t>Vandell</w:t>
      </w:r>
      <w:proofErr w:type="spellEnd"/>
      <w:r w:rsidR="00632F24" w:rsidRPr="003D3598">
        <w:rPr>
          <w:rFonts w:ascii="Times New Roman" w:hAnsi="Times New Roman" w:cs="Times New Roman"/>
        </w:rPr>
        <w:t xml:space="preserve">, 2013). </w:t>
      </w:r>
      <w:r w:rsidR="00280974" w:rsidRPr="003D3598">
        <w:rPr>
          <w:rFonts w:ascii="Times New Roman" w:hAnsi="Times New Roman" w:cs="Times New Roman"/>
        </w:rPr>
        <w:t xml:space="preserve">Because of these promising results, STEM-focused summer programs might represent an effective way to increase </w:t>
      </w:r>
      <w:r w:rsidR="00D40A95" w:rsidRPr="003D3598">
        <w:rPr>
          <w:rFonts w:ascii="Times New Roman" w:hAnsi="Times New Roman" w:cs="Times New Roman"/>
        </w:rPr>
        <w:t>engagement</w:t>
      </w:r>
      <w:r w:rsidR="002E1366" w:rsidRPr="003D3598">
        <w:rPr>
          <w:rFonts w:ascii="Times New Roman" w:hAnsi="Times New Roman" w:cs="Times New Roman"/>
        </w:rPr>
        <w:t xml:space="preserve"> in STEM fields</w:t>
      </w:r>
      <w:r w:rsidR="00E40E85" w:rsidRPr="003D3598">
        <w:rPr>
          <w:rFonts w:ascii="Times New Roman" w:hAnsi="Times New Roman" w:cs="Times New Roman"/>
        </w:rPr>
        <w:t>, particularly</w:t>
      </w:r>
      <w:r w:rsidR="002E1366" w:rsidRPr="003D3598">
        <w:rPr>
          <w:rFonts w:ascii="Times New Roman" w:hAnsi="Times New Roman" w:cs="Times New Roman"/>
        </w:rPr>
        <w:t xml:space="preserve"> among populations that are historically underrepresented in such fields.</w:t>
      </w:r>
    </w:p>
    <w:p w14:paraId="1A6BF32E" w14:textId="5BC2AE9E" w:rsidR="005722DE" w:rsidRPr="0041527C" w:rsidRDefault="00632F24" w:rsidP="00A73422">
      <w:pPr>
        <w:widowControl w:val="0"/>
        <w:autoSpaceDE w:val="0"/>
        <w:autoSpaceDN w:val="0"/>
        <w:adjustRightInd w:val="0"/>
        <w:spacing w:after="240"/>
        <w:ind w:firstLine="720"/>
        <w:contextualSpacing/>
        <w:rPr>
          <w:rFonts w:ascii="Times New Roman" w:hAnsi="Times New Roman" w:cs="Times New Roman"/>
        </w:rPr>
      </w:pPr>
      <w:r w:rsidRPr="003D3598">
        <w:rPr>
          <w:rFonts w:ascii="Times New Roman" w:hAnsi="Times New Roman" w:cs="Times New Roman"/>
        </w:rPr>
        <w:t xml:space="preserve">STEM focused </w:t>
      </w:r>
      <w:r w:rsidR="00130F7C" w:rsidRPr="003D3598">
        <w:rPr>
          <w:rFonts w:ascii="Times New Roman" w:hAnsi="Times New Roman" w:cs="Times New Roman"/>
        </w:rPr>
        <w:t>OST</w:t>
      </w:r>
      <w:r w:rsidR="005958B8" w:rsidRPr="003D3598">
        <w:rPr>
          <w:rFonts w:ascii="Times New Roman" w:hAnsi="Times New Roman" w:cs="Times New Roman"/>
        </w:rPr>
        <w:t xml:space="preserve"> environments</w:t>
      </w:r>
      <w:r w:rsidRPr="003D3598">
        <w:rPr>
          <w:rFonts w:ascii="Times New Roman" w:hAnsi="Times New Roman" w:cs="Times New Roman"/>
        </w:rPr>
        <w:t xml:space="preserve"> in general, and summer </w:t>
      </w:r>
      <w:r w:rsidR="00E2566D" w:rsidRPr="003D3598">
        <w:rPr>
          <w:rFonts w:ascii="Times New Roman" w:hAnsi="Times New Roman" w:cs="Times New Roman"/>
        </w:rPr>
        <w:t xml:space="preserve">STEM </w:t>
      </w:r>
      <w:r w:rsidRPr="003D3598">
        <w:rPr>
          <w:rFonts w:ascii="Times New Roman" w:hAnsi="Times New Roman" w:cs="Times New Roman"/>
        </w:rPr>
        <w:t>programs in particular</w:t>
      </w:r>
      <w:r w:rsidR="00B41D24" w:rsidRPr="003D3598">
        <w:rPr>
          <w:rFonts w:ascii="Times New Roman" w:hAnsi="Times New Roman" w:cs="Times New Roman"/>
        </w:rPr>
        <w:t>,</w:t>
      </w:r>
      <w:r w:rsidRPr="003D3598">
        <w:rPr>
          <w:rFonts w:ascii="Times New Roman" w:hAnsi="Times New Roman" w:cs="Times New Roman"/>
        </w:rPr>
        <w:t xml:space="preserve"> </w:t>
      </w:r>
      <w:r w:rsidR="005958B8" w:rsidRPr="003D3598">
        <w:rPr>
          <w:rFonts w:ascii="Times New Roman" w:hAnsi="Times New Roman" w:cs="Times New Roman"/>
        </w:rPr>
        <w:t xml:space="preserve">are substantially different </w:t>
      </w:r>
      <w:r w:rsidR="005722DE" w:rsidRPr="003D3598">
        <w:rPr>
          <w:rFonts w:ascii="Times New Roman" w:hAnsi="Times New Roman" w:cs="Times New Roman"/>
        </w:rPr>
        <w:t xml:space="preserve">from </w:t>
      </w:r>
      <w:r w:rsidR="005958B8" w:rsidRPr="003D3598">
        <w:rPr>
          <w:rFonts w:ascii="Times New Roman" w:hAnsi="Times New Roman" w:cs="Times New Roman"/>
        </w:rPr>
        <w:t>school-day instruction</w:t>
      </w:r>
      <w:r w:rsidRPr="003D3598">
        <w:rPr>
          <w:rFonts w:ascii="Times New Roman" w:hAnsi="Times New Roman" w:cs="Times New Roman"/>
        </w:rPr>
        <w:t xml:space="preserve"> </w:t>
      </w:r>
      <w:r w:rsidR="005958B8" w:rsidRPr="003D3598">
        <w:rPr>
          <w:rFonts w:ascii="Times New Roman" w:hAnsi="Times New Roman" w:cs="Times New Roman"/>
        </w:rPr>
        <w:t>(</w:t>
      </w:r>
      <w:proofErr w:type="spellStart"/>
      <w:r w:rsidR="005958B8" w:rsidRPr="003D3598">
        <w:rPr>
          <w:rFonts w:ascii="Times New Roman" w:hAnsi="Times New Roman" w:cs="Times New Roman"/>
        </w:rPr>
        <w:t>Renninger</w:t>
      </w:r>
      <w:proofErr w:type="spellEnd"/>
      <w:r w:rsidR="005958B8" w:rsidRPr="003D3598">
        <w:rPr>
          <w:rFonts w:ascii="Times New Roman" w:hAnsi="Times New Roman" w:cs="Times New Roman"/>
        </w:rPr>
        <w:t xml:space="preserve">, 2007). While learning in school-based settings is likely to focus on transferring knowledge to students in accordance with curricular frameworks and standards, </w:t>
      </w:r>
      <w:r w:rsidR="00130F7C" w:rsidRPr="003D3598">
        <w:rPr>
          <w:rFonts w:ascii="Times New Roman" w:hAnsi="Times New Roman" w:cs="Times New Roman"/>
        </w:rPr>
        <w:t>OST</w:t>
      </w:r>
      <w:r w:rsidR="005958B8" w:rsidRPr="003D3598">
        <w:rPr>
          <w:rFonts w:ascii="Times New Roman" w:hAnsi="Times New Roman" w:cs="Times New Roman"/>
        </w:rPr>
        <w:t xml:space="preserve"> environments</w:t>
      </w:r>
      <w:r w:rsidR="00E21F50" w:rsidRPr="003D3598">
        <w:rPr>
          <w:rFonts w:ascii="Times New Roman" w:hAnsi="Times New Roman" w:cs="Times New Roman"/>
        </w:rPr>
        <w:t xml:space="preserve"> can</w:t>
      </w:r>
      <w:r w:rsidR="005958B8" w:rsidRPr="003D3598">
        <w:rPr>
          <w:rFonts w:ascii="Times New Roman" w:hAnsi="Times New Roman" w:cs="Times New Roman"/>
        </w:rPr>
        <w:t xml:space="preserve"> provide youth</w:t>
      </w:r>
      <w:r w:rsidR="00E21F50" w:rsidRPr="003D3598">
        <w:rPr>
          <w:rFonts w:ascii="Times New Roman" w:hAnsi="Times New Roman" w:cs="Times New Roman"/>
        </w:rPr>
        <w:t xml:space="preserve"> with greater</w:t>
      </w:r>
      <w:r w:rsidR="005958B8" w:rsidRPr="003D3598">
        <w:rPr>
          <w:rFonts w:ascii="Times New Roman" w:hAnsi="Times New Roman" w:cs="Times New Roman"/>
        </w:rPr>
        <w:t xml:space="preserve"> opportunit</w:t>
      </w:r>
      <w:r w:rsidR="00FD671F">
        <w:rPr>
          <w:rFonts w:ascii="Times New Roman" w:hAnsi="Times New Roman" w:cs="Times New Roman"/>
        </w:rPr>
        <w:t xml:space="preserve">y </w:t>
      </w:r>
      <w:r w:rsidR="005958B8" w:rsidRPr="00E12A75">
        <w:rPr>
          <w:rFonts w:ascii="Times New Roman" w:hAnsi="Times New Roman" w:cs="Times New Roman"/>
        </w:rPr>
        <w:t xml:space="preserve">to engage with STEM-related content in ways that are presumed to generate and sustain interest in STEM fields. </w:t>
      </w:r>
      <w:r w:rsidR="00A2191F">
        <w:rPr>
          <w:rFonts w:ascii="Times New Roman" w:hAnsi="Times New Roman" w:cs="Times New Roman"/>
        </w:rPr>
        <w:t>Specifically, such programs are focused on exposing youth to new settings and content as opposed to gauging the learning that is happening in these settings; creating space for youth to learn and discover things on their own that are not always explicitly anchored to a set of learning standards</w:t>
      </w:r>
      <w:r w:rsidR="00FC24F8">
        <w:rPr>
          <w:rFonts w:ascii="Times New Roman" w:hAnsi="Times New Roman" w:cs="Times New Roman"/>
        </w:rPr>
        <w:t xml:space="preserve"> (</w:t>
      </w:r>
      <w:proofErr w:type="spellStart"/>
      <w:r w:rsidR="002D090F">
        <w:rPr>
          <w:rFonts w:ascii="Times New Roman" w:hAnsi="Times New Roman" w:cs="Times New Roman"/>
        </w:rPr>
        <w:t>Luehmann</w:t>
      </w:r>
      <w:proofErr w:type="spellEnd"/>
      <w:r w:rsidR="002D090F">
        <w:rPr>
          <w:rFonts w:ascii="Times New Roman" w:hAnsi="Times New Roman" w:cs="Times New Roman"/>
        </w:rPr>
        <w:t xml:space="preserve">, 2009; </w:t>
      </w:r>
      <w:r w:rsidR="00FC24F8">
        <w:rPr>
          <w:rFonts w:ascii="Times New Roman" w:hAnsi="Times New Roman" w:cs="Times New Roman"/>
        </w:rPr>
        <w:t xml:space="preserve">Rennie, 2014) </w:t>
      </w:r>
      <w:r w:rsidR="00A2191F">
        <w:rPr>
          <w:rFonts w:ascii="Times New Roman" w:hAnsi="Times New Roman" w:cs="Times New Roman"/>
        </w:rPr>
        <w:t xml:space="preserve">. They also </w:t>
      </w:r>
      <w:r w:rsidR="00A70FBD">
        <w:rPr>
          <w:rFonts w:ascii="Times New Roman" w:hAnsi="Times New Roman" w:cs="Times New Roman"/>
        </w:rPr>
        <w:t>tend to</w:t>
      </w:r>
      <w:r w:rsidR="00A2191F">
        <w:rPr>
          <w:rFonts w:ascii="Times New Roman" w:hAnsi="Times New Roman" w:cs="Times New Roman"/>
        </w:rPr>
        <w:t xml:space="preserve"> focus on building positive relationships through interactive activities that are intended to be fun for participating youth. </w:t>
      </w:r>
      <w:r w:rsidR="005C258A" w:rsidRPr="00E12A75">
        <w:rPr>
          <w:rFonts w:ascii="Times New Roman" w:hAnsi="Times New Roman" w:cs="Times New Roman"/>
        </w:rPr>
        <w:t>These</w:t>
      </w:r>
      <w:r w:rsidR="005958B8" w:rsidRPr="00E12A75">
        <w:rPr>
          <w:rFonts w:ascii="Times New Roman" w:hAnsi="Times New Roman" w:cs="Times New Roman"/>
        </w:rPr>
        <w:t xml:space="preserve"> settings</w:t>
      </w:r>
      <w:r w:rsidR="00CD1473" w:rsidRPr="00E12A75">
        <w:rPr>
          <w:rFonts w:ascii="Times New Roman" w:hAnsi="Times New Roman" w:cs="Times New Roman"/>
        </w:rPr>
        <w:t xml:space="preserve"> </w:t>
      </w:r>
      <w:r w:rsidR="00A70FBD">
        <w:rPr>
          <w:rFonts w:ascii="Times New Roman" w:hAnsi="Times New Roman" w:cs="Times New Roman"/>
        </w:rPr>
        <w:t>may be</w:t>
      </w:r>
      <w:r w:rsidR="001664AF" w:rsidRPr="00E12A75">
        <w:rPr>
          <w:rFonts w:ascii="Times New Roman" w:hAnsi="Times New Roman" w:cs="Times New Roman"/>
        </w:rPr>
        <w:t xml:space="preserve"> ideal gateways to STEM </w:t>
      </w:r>
      <w:r w:rsidR="005C258A" w:rsidRPr="00870EF0">
        <w:rPr>
          <w:rFonts w:ascii="Times New Roman" w:hAnsi="Times New Roman" w:cs="Times New Roman"/>
        </w:rPr>
        <w:t>pathways</w:t>
      </w:r>
      <w:r w:rsidR="00CD1473" w:rsidRPr="00870EF0">
        <w:rPr>
          <w:rFonts w:ascii="Times New Roman" w:hAnsi="Times New Roman" w:cs="Times New Roman"/>
        </w:rPr>
        <w:t xml:space="preserve"> be</w:t>
      </w:r>
      <w:r w:rsidR="00CD1473" w:rsidRPr="00B62186">
        <w:rPr>
          <w:rFonts w:ascii="Times New Roman" w:hAnsi="Times New Roman" w:cs="Times New Roman"/>
        </w:rPr>
        <w:t>cause they</w:t>
      </w:r>
      <w:r w:rsidR="005958B8" w:rsidRPr="00011528">
        <w:rPr>
          <w:rFonts w:ascii="Times New Roman" w:hAnsi="Times New Roman" w:cs="Times New Roman"/>
        </w:rPr>
        <w:t xml:space="preserve"> typically afford youth greater choice and autonomy in terms of what they want to learn and how they go about conducting inquiry-related tasks</w:t>
      </w:r>
      <w:r w:rsidR="0060234C" w:rsidRPr="0041527C">
        <w:rPr>
          <w:rFonts w:ascii="Times New Roman" w:hAnsi="Times New Roman" w:cs="Times New Roman"/>
        </w:rPr>
        <w:t xml:space="preserve"> (Falk &amp; </w:t>
      </w:r>
      <w:proofErr w:type="spellStart"/>
      <w:r w:rsidR="0060234C" w:rsidRPr="0041527C">
        <w:rPr>
          <w:rFonts w:ascii="Times New Roman" w:hAnsi="Times New Roman" w:cs="Times New Roman"/>
        </w:rPr>
        <w:t>Storksdieck</w:t>
      </w:r>
      <w:proofErr w:type="spellEnd"/>
      <w:r w:rsidR="0060234C" w:rsidRPr="0041527C">
        <w:rPr>
          <w:rFonts w:ascii="Times New Roman" w:hAnsi="Times New Roman" w:cs="Times New Roman"/>
        </w:rPr>
        <w:t>, 2005</w:t>
      </w:r>
      <w:r w:rsidR="0060234C" w:rsidRPr="003D3598">
        <w:rPr>
          <w:rFonts w:ascii="Times New Roman" w:hAnsi="Times New Roman" w:cs="Times New Roman"/>
        </w:rPr>
        <w:t>)</w:t>
      </w:r>
      <w:r w:rsidR="005958B8" w:rsidRPr="00DA4579">
        <w:rPr>
          <w:rFonts w:ascii="Times New Roman" w:hAnsi="Times New Roman" w:cs="Times New Roman"/>
        </w:rPr>
        <w:t>.</w:t>
      </w:r>
      <w:r w:rsidR="00CD1473" w:rsidRPr="00FD671F">
        <w:rPr>
          <w:rFonts w:ascii="Times New Roman" w:hAnsi="Times New Roman" w:cs="Times New Roman"/>
        </w:rPr>
        <w:t xml:space="preserve"> It is important to understand youth experiences in </w:t>
      </w:r>
      <w:r w:rsidR="00130F7C" w:rsidRPr="00FD671F">
        <w:rPr>
          <w:rFonts w:ascii="Times New Roman" w:hAnsi="Times New Roman" w:cs="Times New Roman"/>
        </w:rPr>
        <w:t>OST</w:t>
      </w:r>
      <w:r w:rsidR="00CD1473" w:rsidRPr="00FD671F">
        <w:rPr>
          <w:rFonts w:ascii="Times New Roman" w:hAnsi="Times New Roman" w:cs="Times New Roman"/>
        </w:rPr>
        <w:t xml:space="preserve"> programs in order to most effectively realize this potential.</w:t>
      </w:r>
      <w:r w:rsidR="005958B8" w:rsidRPr="00E12A75">
        <w:rPr>
          <w:rFonts w:ascii="Times New Roman" w:hAnsi="Times New Roman" w:cs="Times New Roman"/>
        </w:rPr>
        <w:t xml:space="preserve"> </w:t>
      </w:r>
      <w:r w:rsidR="00917E9F" w:rsidRPr="00E12A75">
        <w:rPr>
          <w:rFonts w:ascii="Times New Roman" w:hAnsi="Times New Roman" w:cs="Times New Roman"/>
        </w:rPr>
        <w:t>As a</w:t>
      </w:r>
      <w:r w:rsidR="009501D3">
        <w:rPr>
          <w:rFonts w:ascii="Times New Roman" w:hAnsi="Times New Roman" w:cs="Times New Roman"/>
        </w:rPr>
        <w:t xml:space="preserve">n initial </w:t>
      </w:r>
      <w:r w:rsidR="00917E9F" w:rsidRPr="00E12A75">
        <w:rPr>
          <w:rFonts w:ascii="Times New Roman" w:hAnsi="Times New Roman" w:cs="Times New Roman"/>
        </w:rPr>
        <w:t>step to</w:t>
      </w:r>
      <w:r w:rsidR="00557511">
        <w:rPr>
          <w:rFonts w:ascii="Times New Roman" w:hAnsi="Times New Roman" w:cs="Times New Roman"/>
        </w:rPr>
        <w:t>ward better</w:t>
      </w:r>
      <w:r w:rsidR="00917E9F" w:rsidRPr="00E12A75">
        <w:rPr>
          <w:rFonts w:ascii="Times New Roman" w:hAnsi="Times New Roman" w:cs="Times New Roman"/>
        </w:rPr>
        <w:t xml:space="preserve"> understanding </w:t>
      </w:r>
      <w:r w:rsidR="0060234C" w:rsidRPr="00E12A75">
        <w:rPr>
          <w:rFonts w:ascii="Times New Roman" w:hAnsi="Times New Roman" w:cs="Times New Roman"/>
        </w:rPr>
        <w:t>how</w:t>
      </w:r>
      <w:r w:rsidR="00917E9F" w:rsidRPr="00E12A75">
        <w:rPr>
          <w:rFonts w:ascii="Times New Roman" w:hAnsi="Times New Roman" w:cs="Times New Roman"/>
        </w:rPr>
        <w:t xml:space="preserve"> pathways to STEM </w:t>
      </w:r>
      <w:r w:rsidR="002E2241" w:rsidRPr="00E12A75">
        <w:rPr>
          <w:rFonts w:ascii="Times New Roman" w:hAnsi="Times New Roman" w:cs="Times New Roman"/>
        </w:rPr>
        <w:t xml:space="preserve">fields </w:t>
      </w:r>
      <w:r w:rsidR="0060234C" w:rsidRPr="009501D3">
        <w:rPr>
          <w:rFonts w:ascii="Times New Roman" w:hAnsi="Times New Roman" w:cs="Times New Roman"/>
        </w:rPr>
        <w:t>might be facilitated in</w:t>
      </w:r>
      <w:r w:rsidR="00917E9F" w:rsidRPr="009501D3">
        <w:rPr>
          <w:rFonts w:ascii="Times New Roman" w:hAnsi="Times New Roman" w:cs="Times New Roman"/>
        </w:rPr>
        <w:t xml:space="preserve"> </w:t>
      </w:r>
      <w:r w:rsidR="005C258A" w:rsidRPr="009501D3">
        <w:rPr>
          <w:rFonts w:ascii="Times New Roman" w:hAnsi="Times New Roman" w:cs="Times New Roman"/>
        </w:rPr>
        <w:t>out-of-school</w:t>
      </w:r>
      <w:r w:rsidR="00917E9F" w:rsidRPr="009501D3">
        <w:rPr>
          <w:rFonts w:ascii="Times New Roman" w:hAnsi="Times New Roman" w:cs="Times New Roman"/>
        </w:rPr>
        <w:t xml:space="preserve"> STEM programs, </w:t>
      </w:r>
      <w:r w:rsidR="0060234C" w:rsidRPr="009501D3">
        <w:rPr>
          <w:rFonts w:ascii="Times New Roman" w:hAnsi="Times New Roman" w:cs="Times New Roman"/>
        </w:rPr>
        <w:t>this paper examines</w:t>
      </w:r>
      <w:r w:rsidR="002E2241" w:rsidRPr="009501D3">
        <w:rPr>
          <w:rFonts w:ascii="Times New Roman" w:hAnsi="Times New Roman" w:cs="Times New Roman"/>
        </w:rPr>
        <w:t xml:space="preserve"> the ways in which immediate </w:t>
      </w:r>
      <w:r w:rsidR="0060234C" w:rsidRPr="009501D3">
        <w:rPr>
          <w:rFonts w:ascii="Times New Roman" w:hAnsi="Times New Roman" w:cs="Times New Roman"/>
        </w:rPr>
        <w:t>features of the program environment</w:t>
      </w:r>
      <w:r w:rsidR="002E2241" w:rsidRPr="00557511">
        <w:rPr>
          <w:rFonts w:ascii="Times New Roman" w:hAnsi="Times New Roman" w:cs="Times New Roman"/>
        </w:rPr>
        <w:t xml:space="preserve"> and youth characteristics facilitate or hinder </w:t>
      </w:r>
      <w:r w:rsidR="00DC01D8" w:rsidRPr="00870EF0">
        <w:rPr>
          <w:rFonts w:ascii="Times New Roman" w:hAnsi="Times New Roman" w:cs="Times New Roman"/>
        </w:rPr>
        <w:t>youths</w:t>
      </w:r>
      <w:r w:rsidR="00DA6322" w:rsidRPr="00870EF0">
        <w:rPr>
          <w:rFonts w:ascii="Times New Roman" w:hAnsi="Times New Roman" w:cs="Times New Roman"/>
        </w:rPr>
        <w:t>’</w:t>
      </w:r>
      <w:r w:rsidR="00917E9F" w:rsidRPr="00B62186">
        <w:rPr>
          <w:rFonts w:ascii="Times New Roman" w:hAnsi="Times New Roman" w:cs="Times New Roman"/>
        </w:rPr>
        <w:t xml:space="preserve"> </w:t>
      </w:r>
      <w:r w:rsidR="002E2241" w:rsidRPr="00B62186">
        <w:rPr>
          <w:rFonts w:ascii="Times New Roman" w:hAnsi="Times New Roman" w:cs="Times New Roman"/>
        </w:rPr>
        <w:t>in-the-moment</w:t>
      </w:r>
      <w:r w:rsidR="00917E9F" w:rsidRPr="00026666">
        <w:rPr>
          <w:rFonts w:ascii="Times New Roman" w:hAnsi="Times New Roman" w:cs="Times New Roman"/>
        </w:rPr>
        <w:t xml:space="preserve"> engagem</w:t>
      </w:r>
      <w:r w:rsidR="0060234C" w:rsidRPr="00026666">
        <w:rPr>
          <w:rFonts w:ascii="Times New Roman" w:hAnsi="Times New Roman" w:cs="Times New Roman"/>
        </w:rPr>
        <w:t>ent in program activities.</w:t>
      </w:r>
      <w:r w:rsidR="002E2241" w:rsidRPr="00011528">
        <w:rPr>
          <w:rFonts w:ascii="Times New Roman" w:hAnsi="Times New Roman" w:cs="Times New Roman"/>
        </w:rPr>
        <w:t xml:space="preserve"> </w:t>
      </w:r>
    </w:p>
    <w:p w14:paraId="58ECDCC3" w14:textId="7384120C" w:rsidR="00867527" w:rsidRPr="003D3598" w:rsidRDefault="00867527" w:rsidP="00A73422">
      <w:pPr>
        <w:widowControl w:val="0"/>
        <w:autoSpaceDE w:val="0"/>
        <w:autoSpaceDN w:val="0"/>
        <w:adjustRightInd w:val="0"/>
        <w:spacing w:after="240"/>
        <w:ind w:firstLine="720"/>
        <w:contextualSpacing/>
        <w:rPr>
          <w:rFonts w:ascii="Times New Roman" w:hAnsi="Times New Roman" w:cs="Times New Roman"/>
        </w:rPr>
      </w:pPr>
      <w:r w:rsidRPr="00111E51">
        <w:rPr>
          <w:rFonts w:ascii="Times New Roman" w:hAnsi="Times New Roman" w:cs="Times New Roman"/>
        </w:rPr>
        <w:t>The purpose of this paper</w:t>
      </w:r>
      <w:r w:rsidR="0018707E" w:rsidRPr="003D3598">
        <w:rPr>
          <w:rFonts w:ascii="Times New Roman" w:hAnsi="Times New Roman" w:cs="Times New Roman"/>
        </w:rPr>
        <w:t xml:space="preserve"> then,</w:t>
      </w:r>
      <w:r w:rsidRPr="003D3598">
        <w:rPr>
          <w:rFonts w:ascii="Times New Roman" w:hAnsi="Times New Roman" w:cs="Times New Roman"/>
        </w:rPr>
        <w:t xml:space="preserve"> is to explore how various experiences and activities employed in the delivery of summer STEM programs are associated with youth engagement in </w:t>
      </w:r>
      <w:r w:rsidR="00130F7C" w:rsidRPr="003D3598">
        <w:rPr>
          <w:rFonts w:ascii="Times New Roman" w:hAnsi="Times New Roman" w:cs="Times New Roman"/>
        </w:rPr>
        <w:t xml:space="preserve">these </w:t>
      </w:r>
      <w:r w:rsidRPr="003D3598">
        <w:rPr>
          <w:rFonts w:ascii="Times New Roman" w:hAnsi="Times New Roman" w:cs="Times New Roman"/>
        </w:rPr>
        <w:t xml:space="preserve">informal STEM learning settings. Based on existing theory and research, we hypothesize that when youth perceive a STEM-focused activity to be challenging </w:t>
      </w:r>
      <w:r w:rsidR="005C258A" w:rsidRPr="003D3598">
        <w:rPr>
          <w:rFonts w:ascii="Times New Roman" w:hAnsi="Times New Roman" w:cs="Times New Roman"/>
        </w:rPr>
        <w:t>or</w:t>
      </w:r>
      <w:r w:rsidRPr="003D3598">
        <w:rPr>
          <w:rFonts w:ascii="Times New Roman" w:hAnsi="Times New Roman" w:cs="Times New Roman"/>
        </w:rPr>
        <w:t xml:space="preserve"> relevant, they will have greater levels of situational engagement within the confines of that individual activity session. Likewise, engagement will be greater when participants feel they have an opportunity to learn something new or develop a skill. Additionally, we test whether the relationships specified in the above hypotheses differ by characteristics of the youth participants. Specifically, we examine</w:t>
      </w:r>
      <w:r w:rsidR="009A579A" w:rsidRPr="003D3598">
        <w:rPr>
          <w:rFonts w:ascii="Times New Roman" w:hAnsi="Times New Roman" w:cs="Times New Roman"/>
        </w:rPr>
        <w:t xml:space="preserve"> t</w:t>
      </w:r>
      <w:r w:rsidRPr="003D3598">
        <w:rPr>
          <w:rFonts w:ascii="Times New Roman" w:hAnsi="Times New Roman" w:cs="Times New Roman"/>
        </w:rPr>
        <w:t xml:space="preserve">he role of student gender and perceived competence. Finally, we conduct additional analyses with a more descriptive aim to identify specific program activities that are most likely to foster challenge, relevance, and learning, and explore the role of </w:t>
      </w:r>
      <w:r w:rsidR="00A70FBD">
        <w:rPr>
          <w:rFonts w:ascii="Times New Roman" w:hAnsi="Times New Roman" w:cs="Times New Roman"/>
        </w:rPr>
        <w:t>gender and perceived competence</w:t>
      </w:r>
      <w:r w:rsidRPr="003D3598">
        <w:rPr>
          <w:rFonts w:ascii="Times New Roman" w:hAnsi="Times New Roman" w:cs="Times New Roman"/>
        </w:rPr>
        <w:t xml:space="preserve"> in these relationships</w:t>
      </w:r>
      <w:r w:rsidR="00130F7C" w:rsidRPr="003D3598">
        <w:rPr>
          <w:rFonts w:ascii="Times New Roman" w:hAnsi="Times New Roman" w:cs="Times New Roman"/>
        </w:rPr>
        <w:t xml:space="preserve"> as well</w:t>
      </w:r>
      <w:r w:rsidRPr="003D3598">
        <w:rPr>
          <w:rFonts w:ascii="Times New Roman" w:hAnsi="Times New Roman" w:cs="Times New Roman"/>
        </w:rPr>
        <w:t>.</w:t>
      </w:r>
    </w:p>
    <w:p w14:paraId="385BB9D9" w14:textId="3DFBA866" w:rsidR="00173FAD" w:rsidRPr="003D3598" w:rsidRDefault="00397BFA" w:rsidP="00A73422">
      <w:pPr>
        <w:widowControl w:val="0"/>
        <w:autoSpaceDE w:val="0"/>
        <w:autoSpaceDN w:val="0"/>
        <w:adjustRightInd w:val="0"/>
        <w:spacing w:after="240"/>
        <w:contextualSpacing/>
        <w:rPr>
          <w:rFonts w:ascii="Times New Roman" w:hAnsi="Times New Roman" w:cs="Times New Roman"/>
          <w:b/>
        </w:rPr>
      </w:pPr>
      <w:r w:rsidRPr="003D3598">
        <w:rPr>
          <w:rFonts w:ascii="Times New Roman" w:hAnsi="Times New Roman" w:cs="Times New Roman"/>
          <w:b/>
        </w:rPr>
        <w:t>Framework</w:t>
      </w:r>
      <w:r w:rsidR="009006EA">
        <w:rPr>
          <w:rFonts w:ascii="Times New Roman" w:hAnsi="Times New Roman" w:cs="Times New Roman"/>
          <w:b/>
        </w:rPr>
        <w:t>s of Engagement</w:t>
      </w:r>
    </w:p>
    <w:p w14:paraId="3549B052" w14:textId="43F80BC3" w:rsidR="007F6224" w:rsidRDefault="0060234C" w:rsidP="00A73422">
      <w:pPr>
        <w:widowControl w:val="0"/>
        <w:autoSpaceDE w:val="0"/>
        <w:autoSpaceDN w:val="0"/>
        <w:adjustRightInd w:val="0"/>
        <w:spacing w:after="240"/>
        <w:contextualSpacing/>
        <w:rPr>
          <w:rFonts w:ascii="Times New Roman" w:hAnsi="Times New Roman" w:cs="Times New Roman"/>
        </w:rPr>
      </w:pPr>
      <w:r w:rsidRPr="003D3598">
        <w:rPr>
          <w:rFonts w:ascii="Times New Roman" w:hAnsi="Times New Roman" w:cs="Times New Roman"/>
        </w:rPr>
        <w:tab/>
      </w:r>
      <w:r w:rsidR="00A2191F">
        <w:rPr>
          <w:rFonts w:ascii="Times New Roman" w:hAnsi="Times New Roman" w:cs="Times New Roman"/>
        </w:rPr>
        <w:t>A</w:t>
      </w:r>
      <w:r w:rsidR="004C76BF" w:rsidRPr="003D3598">
        <w:rPr>
          <w:rFonts w:ascii="Times New Roman" w:hAnsi="Times New Roman" w:cs="Times New Roman"/>
        </w:rPr>
        <w:t xml:space="preserve">n increasing number of scholars have employed the framework of </w:t>
      </w:r>
      <w:r w:rsidR="004C76BF" w:rsidRPr="003D3598">
        <w:rPr>
          <w:rFonts w:ascii="Times New Roman" w:hAnsi="Times New Roman" w:cs="Times New Roman"/>
          <w:i/>
        </w:rPr>
        <w:t>engagement</w:t>
      </w:r>
      <w:r w:rsidR="004C76BF" w:rsidRPr="003D3598">
        <w:rPr>
          <w:rFonts w:ascii="Times New Roman" w:hAnsi="Times New Roman" w:cs="Times New Roman"/>
        </w:rPr>
        <w:t xml:space="preserve"> to better understand learning experiences in and out of school (see </w:t>
      </w:r>
      <w:r w:rsidR="00D2771F">
        <w:rPr>
          <w:rFonts w:ascii="Times New Roman" w:hAnsi="Times New Roman" w:cs="Times New Roman"/>
        </w:rPr>
        <w:t xml:space="preserve">Bell, </w:t>
      </w:r>
      <w:r w:rsidR="00510E80">
        <w:rPr>
          <w:rFonts w:ascii="Times New Roman" w:hAnsi="Times New Roman" w:cs="Times New Roman"/>
        </w:rPr>
        <w:t>et al.</w:t>
      </w:r>
      <w:r w:rsidR="00D2771F">
        <w:rPr>
          <w:rFonts w:ascii="Times New Roman" w:hAnsi="Times New Roman" w:cs="Times New Roman"/>
        </w:rPr>
        <w:t xml:space="preserve">, 2019; and  </w:t>
      </w:r>
      <w:r w:rsidR="004C76BF" w:rsidRPr="003D3598">
        <w:rPr>
          <w:rFonts w:ascii="Times New Roman" w:hAnsi="Times New Roman" w:cs="Times New Roman"/>
        </w:rPr>
        <w:t>Ch</w:t>
      </w:r>
      <w:r w:rsidR="00C244B8" w:rsidRPr="003D3598">
        <w:rPr>
          <w:rFonts w:ascii="Times New Roman" w:hAnsi="Times New Roman" w:cs="Times New Roman"/>
        </w:rPr>
        <w:t xml:space="preserve">ristenson, </w:t>
      </w:r>
      <w:proofErr w:type="spellStart"/>
      <w:r w:rsidR="00C244B8" w:rsidRPr="003D3598">
        <w:rPr>
          <w:rFonts w:ascii="Times New Roman" w:hAnsi="Times New Roman" w:cs="Times New Roman"/>
        </w:rPr>
        <w:t>Reschly</w:t>
      </w:r>
      <w:proofErr w:type="spellEnd"/>
      <w:r w:rsidR="00EC7063">
        <w:rPr>
          <w:rFonts w:ascii="Times New Roman" w:hAnsi="Times New Roman" w:cs="Times New Roman"/>
        </w:rPr>
        <w:t>,</w:t>
      </w:r>
      <w:r w:rsidR="00C244B8" w:rsidRPr="003D3598">
        <w:rPr>
          <w:rFonts w:ascii="Times New Roman" w:hAnsi="Times New Roman" w:cs="Times New Roman"/>
        </w:rPr>
        <w:t xml:space="preserve"> &amp; Wylie, 2012</w:t>
      </w:r>
      <w:r w:rsidR="00D2771F">
        <w:rPr>
          <w:rFonts w:ascii="Times New Roman" w:hAnsi="Times New Roman" w:cs="Times New Roman"/>
        </w:rPr>
        <w:t xml:space="preserve"> for reviews</w:t>
      </w:r>
      <w:r w:rsidR="004C76BF" w:rsidRPr="003D3598">
        <w:rPr>
          <w:rFonts w:ascii="Times New Roman" w:hAnsi="Times New Roman" w:cs="Times New Roman"/>
        </w:rPr>
        <w:t xml:space="preserve">). </w:t>
      </w:r>
      <w:r w:rsidR="009006EA">
        <w:rPr>
          <w:rFonts w:ascii="Times New Roman" w:hAnsi="Times New Roman" w:cs="Times New Roman"/>
        </w:rPr>
        <w:t>Engagement</w:t>
      </w:r>
      <w:r w:rsidR="004C76BF" w:rsidRPr="003D3598">
        <w:rPr>
          <w:rFonts w:ascii="Times New Roman" w:hAnsi="Times New Roman" w:cs="Times New Roman"/>
        </w:rPr>
        <w:t xml:space="preserve"> framework</w:t>
      </w:r>
      <w:r w:rsidR="009006EA">
        <w:rPr>
          <w:rFonts w:ascii="Times New Roman" w:hAnsi="Times New Roman" w:cs="Times New Roman"/>
        </w:rPr>
        <w:t>s</w:t>
      </w:r>
      <w:r w:rsidR="004C76BF" w:rsidRPr="003D3598">
        <w:rPr>
          <w:rFonts w:ascii="Times New Roman" w:hAnsi="Times New Roman" w:cs="Times New Roman"/>
        </w:rPr>
        <w:t xml:space="preserve"> ha</w:t>
      </w:r>
      <w:r w:rsidR="009006EA">
        <w:rPr>
          <w:rFonts w:ascii="Times New Roman" w:hAnsi="Times New Roman" w:cs="Times New Roman"/>
        </w:rPr>
        <w:t>ve</w:t>
      </w:r>
      <w:r w:rsidR="004C76BF" w:rsidRPr="003D3598">
        <w:rPr>
          <w:rFonts w:ascii="Times New Roman" w:hAnsi="Times New Roman" w:cs="Times New Roman"/>
        </w:rPr>
        <w:t xml:space="preserve"> been used to understand and combat school dropout (Christenson et al., 2008; Finn &amp; Owings, 2006) and </w:t>
      </w:r>
      <w:r w:rsidR="009006EA">
        <w:rPr>
          <w:rFonts w:ascii="Times New Roman" w:hAnsi="Times New Roman" w:cs="Times New Roman"/>
        </w:rPr>
        <w:t xml:space="preserve">engagement </w:t>
      </w:r>
      <w:r w:rsidR="004C76BF" w:rsidRPr="003D3598">
        <w:rPr>
          <w:rFonts w:ascii="Times New Roman" w:hAnsi="Times New Roman" w:cs="Times New Roman"/>
        </w:rPr>
        <w:t xml:space="preserve">has </w:t>
      </w:r>
      <w:r w:rsidR="004C76BF" w:rsidRPr="003D3598">
        <w:rPr>
          <w:rFonts w:ascii="Times New Roman" w:hAnsi="Times New Roman" w:cs="Times New Roman"/>
        </w:rPr>
        <w:lastRenderedPageBreak/>
        <w:t>been positively associated with achievement in a variety of academic domains, as well as other self-regulatory, social, and emotional learning outcomes both in and outside of school (Klem &amp; Connell, 2004; National Research Council and the Institute of Medicine, 2004). Given recent efforts in the United States to strengthen its STEM workforce (National Academy of Engineering and National Research Council, 2014</w:t>
      </w:r>
      <w:r w:rsidR="0009038B" w:rsidRPr="003D3598">
        <w:rPr>
          <w:rFonts w:ascii="Times New Roman" w:hAnsi="Times New Roman" w:cs="Times New Roman"/>
        </w:rPr>
        <w:t>; National Academy of Science</w:t>
      </w:r>
      <w:r w:rsidR="00EC7063">
        <w:rPr>
          <w:rFonts w:ascii="Times New Roman" w:hAnsi="Times New Roman" w:cs="Times New Roman"/>
        </w:rPr>
        <w:t>s</w:t>
      </w:r>
      <w:r w:rsidR="0009038B" w:rsidRPr="003D3598">
        <w:rPr>
          <w:rFonts w:ascii="Times New Roman" w:hAnsi="Times New Roman" w:cs="Times New Roman"/>
        </w:rPr>
        <w:t>, National Academy of En</w:t>
      </w:r>
      <w:r w:rsidR="00DC01D8" w:rsidRPr="003D3598">
        <w:rPr>
          <w:rFonts w:ascii="Times New Roman" w:hAnsi="Times New Roman" w:cs="Times New Roman"/>
        </w:rPr>
        <w:t>g</w:t>
      </w:r>
      <w:r w:rsidR="0009038B" w:rsidRPr="003D3598">
        <w:rPr>
          <w:rFonts w:ascii="Times New Roman" w:hAnsi="Times New Roman" w:cs="Times New Roman"/>
        </w:rPr>
        <w:t>ineering</w:t>
      </w:r>
      <w:r w:rsidR="00EC7063">
        <w:rPr>
          <w:rFonts w:ascii="Times New Roman" w:hAnsi="Times New Roman" w:cs="Times New Roman"/>
        </w:rPr>
        <w:t>,</w:t>
      </w:r>
      <w:r w:rsidR="0009038B" w:rsidRPr="003D3598">
        <w:rPr>
          <w:rFonts w:ascii="Times New Roman" w:hAnsi="Times New Roman" w:cs="Times New Roman"/>
        </w:rPr>
        <w:t xml:space="preserve"> &amp; Institute of Medicine, 2005</w:t>
      </w:r>
      <w:r w:rsidR="004C76BF" w:rsidRPr="003D3598">
        <w:rPr>
          <w:rFonts w:ascii="Times New Roman" w:hAnsi="Times New Roman" w:cs="Times New Roman"/>
        </w:rPr>
        <w:t xml:space="preserve">), the engagement construct </w:t>
      </w:r>
      <w:r w:rsidR="00802CE4" w:rsidRPr="003D3598">
        <w:rPr>
          <w:rFonts w:ascii="Times New Roman" w:hAnsi="Times New Roman" w:cs="Times New Roman"/>
        </w:rPr>
        <w:t>may be especially attractive, as it may play an important role in promoting skill development and persistence in STEM majors and careers (Sinatra</w:t>
      </w:r>
      <w:r w:rsidR="00A2191F">
        <w:rPr>
          <w:rFonts w:ascii="Times New Roman" w:hAnsi="Times New Roman" w:cs="Times New Roman"/>
        </w:rPr>
        <w:t xml:space="preserve">, </w:t>
      </w:r>
      <w:proofErr w:type="spellStart"/>
      <w:r w:rsidR="00A2191F">
        <w:rPr>
          <w:rFonts w:ascii="Times New Roman" w:hAnsi="Times New Roman" w:cs="Times New Roman"/>
        </w:rPr>
        <w:t>Heddy</w:t>
      </w:r>
      <w:proofErr w:type="spellEnd"/>
      <w:r w:rsidR="00A2191F">
        <w:rPr>
          <w:rFonts w:ascii="Times New Roman" w:hAnsi="Times New Roman" w:cs="Times New Roman"/>
        </w:rPr>
        <w:t xml:space="preserve"> &amp; Lombardi</w:t>
      </w:r>
      <w:r w:rsidR="00802CE4" w:rsidRPr="003D3598">
        <w:rPr>
          <w:rFonts w:ascii="Times New Roman" w:hAnsi="Times New Roman" w:cs="Times New Roman"/>
        </w:rPr>
        <w:t xml:space="preserve">, 2015). </w:t>
      </w:r>
    </w:p>
    <w:p w14:paraId="036CCE6D" w14:textId="11033D3A" w:rsidR="00802CE4" w:rsidRPr="003D3598" w:rsidRDefault="007F6224" w:rsidP="00A73422">
      <w:pPr>
        <w:widowControl w:val="0"/>
        <w:autoSpaceDE w:val="0"/>
        <w:autoSpaceDN w:val="0"/>
        <w:adjustRightInd w:val="0"/>
        <w:spacing w:after="240"/>
        <w:ind w:firstLine="720"/>
        <w:contextualSpacing/>
        <w:rPr>
          <w:rFonts w:ascii="Times New Roman" w:hAnsi="Times New Roman" w:cs="Times New Roman"/>
        </w:rPr>
      </w:pPr>
      <w:r>
        <w:rPr>
          <w:rFonts w:ascii="Times New Roman" w:hAnsi="Times New Roman" w:cs="Times New Roman"/>
        </w:rPr>
        <w:t>Much of the</w:t>
      </w:r>
      <w:r w:rsidR="00802CE4" w:rsidRPr="003D3598">
        <w:rPr>
          <w:rFonts w:ascii="Times New Roman" w:hAnsi="Times New Roman" w:cs="Times New Roman"/>
        </w:rPr>
        <w:t xml:space="preserve"> research and conceptual development related to engagement has centered aroun</w:t>
      </w:r>
      <w:r w:rsidR="006379E9" w:rsidRPr="003D3598">
        <w:rPr>
          <w:rFonts w:ascii="Times New Roman" w:hAnsi="Times New Roman" w:cs="Times New Roman"/>
        </w:rPr>
        <w:t>d formal learning environme</w:t>
      </w:r>
      <w:r w:rsidR="0009038B" w:rsidRPr="003D3598">
        <w:rPr>
          <w:rFonts w:ascii="Times New Roman" w:hAnsi="Times New Roman" w:cs="Times New Roman"/>
        </w:rPr>
        <w:t>nts (see Christenson et al, 2012</w:t>
      </w:r>
      <w:r w:rsidR="00D770C7" w:rsidRPr="003D3598">
        <w:rPr>
          <w:rFonts w:ascii="Times New Roman" w:hAnsi="Times New Roman" w:cs="Times New Roman"/>
        </w:rPr>
        <w:t>,</w:t>
      </w:r>
      <w:r w:rsidR="006379E9" w:rsidRPr="003D3598">
        <w:rPr>
          <w:rFonts w:ascii="Times New Roman" w:hAnsi="Times New Roman" w:cs="Times New Roman"/>
        </w:rPr>
        <w:t xml:space="preserve"> for a review)</w:t>
      </w:r>
      <w:r>
        <w:rPr>
          <w:rFonts w:ascii="Times New Roman" w:hAnsi="Times New Roman" w:cs="Times New Roman"/>
        </w:rPr>
        <w:t xml:space="preserve">. Early applications of the engagement construct </w:t>
      </w:r>
      <w:r w:rsidR="00BF6CDF">
        <w:rPr>
          <w:rFonts w:ascii="Times New Roman" w:hAnsi="Times New Roman" w:cs="Times New Roman"/>
        </w:rPr>
        <w:t>within the</w:t>
      </w:r>
      <w:r>
        <w:rPr>
          <w:rFonts w:ascii="Times New Roman" w:hAnsi="Times New Roman" w:cs="Times New Roman"/>
        </w:rPr>
        <w:t xml:space="preserve"> OST STEM </w:t>
      </w:r>
      <w:r w:rsidR="00BF6CDF">
        <w:rPr>
          <w:rFonts w:ascii="Times New Roman" w:hAnsi="Times New Roman" w:cs="Times New Roman"/>
        </w:rPr>
        <w:t>learning community</w:t>
      </w:r>
      <w:r>
        <w:rPr>
          <w:rFonts w:ascii="Times New Roman" w:hAnsi="Times New Roman" w:cs="Times New Roman"/>
        </w:rPr>
        <w:t xml:space="preserve"> were </w:t>
      </w:r>
      <w:r w:rsidR="00BF6CDF">
        <w:rPr>
          <w:rFonts w:ascii="Times New Roman" w:hAnsi="Times New Roman" w:cs="Times New Roman"/>
        </w:rPr>
        <w:t>focused narrowly on</w:t>
      </w:r>
      <w:r>
        <w:rPr>
          <w:rFonts w:ascii="Times New Roman" w:hAnsi="Times New Roman" w:cs="Times New Roman"/>
        </w:rPr>
        <w:t xml:space="preserve"> </w:t>
      </w:r>
      <w:r w:rsidR="00BF6CDF">
        <w:rPr>
          <w:rFonts w:ascii="Times New Roman" w:hAnsi="Times New Roman" w:cs="Times New Roman"/>
        </w:rPr>
        <w:t>thinking about</w:t>
      </w:r>
      <w:r>
        <w:rPr>
          <w:rFonts w:ascii="Times New Roman" w:hAnsi="Times New Roman" w:cs="Times New Roman"/>
        </w:rPr>
        <w:t xml:space="preserve"> creative ways to attract the initial attention</w:t>
      </w:r>
      <w:r w:rsidR="00BF6CDF">
        <w:rPr>
          <w:rFonts w:ascii="Times New Roman" w:hAnsi="Times New Roman" w:cs="Times New Roman"/>
        </w:rPr>
        <w:t xml:space="preserve"> of potential program participants, museum visitors and media consumers, but over time thinking about engagement has expanded to include deeper and more sustained involvement in the learning experiences themselves (Bell</w:t>
      </w:r>
      <w:r w:rsidR="00A43361">
        <w:rPr>
          <w:rFonts w:ascii="Times New Roman" w:hAnsi="Times New Roman" w:cs="Times New Roman"/>
        </w:rPr>
        <w:t xml:space="preserve"> et al.</w:t>
      </w:r>
      <w:r w:rsidR="00BF6CDF">
        <w:rPr>
          <w:rFonts w:ascii="Times New Roman" w:hAnsi="Times New Roman" w:cs="Times New Roman"/>
        </w:rPr>
        <w:t>, 2019)</w:t>
      </w:r>
      <w:r w:rsidR="0081044D">
        <w:rPr>
          <w:rStyle w:val="FootnoteReference"/>
          <w:rFonts w:ascii="Times New Roman" w:hAnsi="Times New Roman" w:cs="Times New Roman"/>
        </w:rPr>
        <w:footnoteReference w:id="1"/>
      </w:r>
      <w:r w:rsidR="00BF6CDF">
        <w:rPr>
          <w:rFonts w:ascii="Times New Roman" w:hAnsi="Times New Roman" w:cs="Times New Roman"/>
        </w:rPr>
        <w:t>. A</w:t>
      </w:r>
      <w:r w:rsidR="006379E9" w:rsidRPr="003D3598">
        <w:rPr>
          <w:rFonts w:ascii="Times New Roman" w:hAnsi="Times New Roman" w:cs="Times New Roman"/>
        </w:rPr>
        <w:t xml:space="preserve">n increasing number of researchers have fruitfully applied </w:t>
      </w:r>
      <w:r w:rsidR="009D0FAC">
        <w:rPr>
          <w:rFonts w:ascii="Times New Roman" w:hAnsi="Times New Roman" w:cs="Times New Roman"/>
        </w:rPr>
        <w:t>these more complex</w:t>
      </w:r>
      <w:r w:rsidR="006379E9" w:rsidRPr="003D3598">
        <w:rPr>
          <w:rFonts w:ascii="Times New Roman" w:hAnsi="Times New Roman" w:cs="Times New Roman"/>
        </w:rPr>
        <w:t xml:space="preserve"> engagement frameworks to </w:t>
      </w:r>
      <w:r w:rsidR="00EC7063">
        <w:rPr>
          <w:rFonts w:ascii="Times New Roman" w:hAnsi="Times New Roman" w:cs="Times New Roman"/>
        </w:rPr>
        <w:t>OST</w:t>
      </w:r>
      <w:r w:rsidR="006379E9" w:rsidRPr="003D3598">
        <w:rPr>
          <w:rFonts w:ascii="Times New Roman" w:hAnsi="Times New Roman" w:cs="Times New Roman"/>
        </w:rPr>
        <w:t xml:space="preserve"> learning environments (Greene et al., 2013; Mo</w:t>
      </w:r>
      <w:r w:rsidR="00EC7063">
        <w:rPr>
          <w:rFonts w:ascii="Times New Roman" w:hAnsi="Times New Roman" w:cs="Times New Roman"/>
        </w:rPr>
        <w:t>h</w:t>
      </w:r>
      <w:r w:rsidR="006379E9" w:rsidRPr="003D3598">
        <w:rPr>
          <w:rFonts w:ascii="Times New Roman" w:hAnsi="Times New Roman" w:cs="Times New Roman"/>
        </w:rPr>
        <w:t xml:space="preserve">r-Schroeder et al., 2014; </w:t>
      </w:r>
      <w:proofErr w:type="spellStart"/>
      <w:r w:rsidR="006379E9" w:rsidRPr="003D3598">
        <w:rPr>
          <w:rFonts w:ascii="Times New Roman" w:hAnsi="Times New Roman" w:cs="Times New Roman"/>
        </w:rPr>
        <w:t>Shernoff</w:t>
      </w:r>
      <w:proofErr w:type="spellEnd"/>
      <w:r w:rsidR="006379E9" w:rsidRPr="003D3598">
        <w:rPr>
          <w:rFonts w:ascii="Times New Roman" w:hAnsi="Times New Roman" w:cs="Times New Roman"/>
        </w:rPr>
        <w:t xml:space="preserve"> &amp; </w:t>
      </w:r>
      <w:proofErr w:type="spellStart"/>
      <w:r w:rsidR="006379E9" w:rsidRPr="003D3598">
        <w:rPr>
          <w:rFonts w:ascii="Times New Roman" w:hAnsi="Times New Roman" w:cs="Times New Roman"/>
        </w:rPr>
        <w:t>Vandell</w:t>
      </w:r>
      <w:proofErr w:type="spellEnd"/>
      <w:r w:rsidR="006379E9" w:rsidRPr="003D3598">
        <w:rPr>
          <w:rFonts w:ascii="Times New Roman" w:hAnsi="Times New Roman" w:cs="Times New Roman"/>
        </w:rPr>
        <w:t>, 2007; Yilmaz, Ren, Custer, &amp; Coleman</w:t>
      </w:r>
      <w:r w:rsidR="00A43361">
        <w:rPr>
          <w:rFonts w:ascii="Times New Roman" w:hAnsi="Times New Roman" w:cs="Times New Roman"/>
        </w:rPr>
        <w:t>, 2010</w:t>
      </w:r>
      <w:r>
        <w:rPr>
          <w:rFonts w:ascii="Times New Roman" w:hAnsi="Times New Roman" w:cs="Times New Roman"/>
        </w:rPr>
        <w:t xml:space="preserve">). </w:t>
      </w:r>
    </w:p>
    <w:p w14:paraId="4E1FA44B" w14:textId="04F00F73" w:rsidR="00802CE4" w:rsidRPr="003D3598" w:rsidRDefault="00802CE4" w:rsidP="00A73422">
      <w:pPr>
        <w:widowControl w:val="0"/>
        <w:autoSpaceDE w:val="0"/>
        <w:autoSpaceDN w:val="0"/>
        <w:adjustRightInd w:val="0"/>
        <w:spacing w:after="240"/>
        <w:contextualSpacing/>
        <w:rPr>
          <w:rFonts w:ascii="Times New Roman" w:hAnsi="Times New Roman" w:cs="Times New Roman"/>
        </w:rPr>
      </w:pPr>
      <w:r w:rsidRPr="003D3598">
        <w:rPr>
          <w:rFonts w:ascii="Times New Roman" w:hAnsi="Times New Roman" w:cs="Times New Roman"/>
        </w:rPr>
        <w:tab/>
      </w:r>
      <w:r w:rsidR="006379E9" w:rsidRPr="003D3598">
        <w:rPr>
          <w:rFonts w:ascii="Times New Roman" w:hAnsi="Times New Roman" w:cs="Times New Roman"/>
        </w:rPr>
        <w:t>While specific definitions of engagement vary, scholars across a variety of disciplines generally agree that engagement ref</w:t>
      </w:r>
      <w:r w:rsidR="00D7195F" w:rsidRPr="003D3598">
        <w:rPr>
          <w:rFonts w:ascii="Times New Roman" w:hAnsi="Times New Roman" w:cs="Times New Roman"/>
        </w:rPr>
        <w:t xml:space="preserve">ers to active participation, </w:t>
      </w:r>
      <w:r w:rsidR="006379E9" w:rsidRPr="003D3598">
        <w:rPr>
          <w:rFonts w:ascii="Times New Roman" w:hAnsi="Times New Roman" w:cs="Times New Roman"/>
        </w:rPr>
        <w:t>investment</w:t>
      </w:r>
      <w:r w:rsidR="00D7195F" w:rsidRPr="003D3598">
        <w:rPr>
          <w:rFonts w:ascii="Times New Roman" w:hAnsi="Times New Roman" w:cs="Times New Roman"/>
        </w:rPr>
        <w:t xml:space="preserve"> and value in learning. </w:t>
      </w:r>
      <w:r w:rsidR="00AA77E5">
        <w:rPr>
          <w:rFonts w:ascii="Times New Roman" w:hAnsi="Times New Roman" w:cs="Times New Roman"/>
        </w:rPr>
        <w:t>In both formal and informal contexts, engagement is viewed</w:t>
      </w:r>
      <w:r w:rsidR="00D7195F" w:rsidRPr="003D3598">
        <w:rPr>
          <w:rFonts w:ascii="Times New Roman" w:hAnsi="Times New Roman" w:cs="Times New Roman"/>
        </w:rPr>
        <w:t xml:space="preserve"> as a multidimensional construct that is context-dependent and</w:t>
      </w:r>
      <w:r w:rsidR="009D0FAC">
        <w:rPr>
          <w:rFonts w:ascii="Times New Roman" w:hAnsi="Times New Roman" w:cs="Times New Roman"/>
        </w:rPr>
        <w:t xml:space="preserve"> </w:t>
      </w:r>
      <w:r w:rsidR="00D7195F" w:rsidRPr="003D3598">
        <w:rPr>
          <w:rFonts w:ascii="Times New Roman" w:hAnsi="Times New Roman" w:cs="Times New Roman"/>
        </w:rPr>
        <w:t>includes behavioral, cognitive, and affective subtypes (</w:t>
      </w:r>
      <w:r w:rsidR="009D0FAC">
        <w:rPr>
          <w:rFonts w:ascii="Times New Roman" w:hAnsi="Times New Roman" w:cs="Times New Roman"/>
        </w:rPr>
        <w:t xml:space="preserve">see </w:t>
      </w:r>
      <w:r w:rsidR="00D7195F" w:rsidRPr="003D3598">
        <w:rPr>
          <w:rFonts w:ascii="Times New Roman" w:hAnsi="Times New Roman" w:cs="Times New Roman"/>
        </w:rPr>
        <w:t>Christenson et al., 2012</w:t>
      </w:r>
      <w:r w:rsidR="009D0FAC">
        <w:rPr>
          <w:rFonts w:ascii="Times New Roman" w:hAnsi="Times New Roman" w:cs="Times New Roman"/>
        </w:rPr>
        <w:t>; Bell et. al., 2019</w:t>
      </w:r>
      <w:r w:rsidR="00D7195F" w:rsidRPr="003D3598">
        <w:rPr>
          <w:rFonts w:ascii="Times New Roman" w:hAnsi="Times New Roman" w:cs="Times New Roman"/>
        </w:rPr>
        <w:t>). Behavioral engagement refers to one’s involvement in learning activities in terms of their degree of participation</w:t>
      </w:r>
      <w:r w:rsidR="00DF38B1" w:rsidRPr="003D3598">
        <w:rPr>
          <w:rFonts w:ascii="Times New Roman" w:hAnsi="Times New Roman" w:cs="Times New Roman"/>
        </w:rPr>
        <w:t xml:space="preserve"> and</w:t>
      </w:r>
      <w:r w:rsidR="00D7195F" w:rsidRPr="003D3598">
        <w:rPr>
          <w:rFonts w:ascii="Times New Roman" w:hAnsi="Times New Roman" w:cs="Times New Roman"/>
        </w:rPr>
        <w:t xml:space="preserve"> e</w:t>
      </w:r>
      <w:r w:rsidR="00DF38B1" w:rsidRPr="003D3598">
        <w:rPr>
          <w:rFonts w:ascii="Times New Roman" w:hAnsi="Times New Roman" w:cs="Times New Roman"/>
        </w:rPr>
        <w:t>ffort</w:t>
      </w:r>
      <w:r w:rsidR="00D7195F" w:rsidRPr="003D3598">
        <w:rPr>
          <w:rFonts w:ascii="Times New Roman" w:hAnsi="Times New Roman" w:cs="Times New Roman"/>
        </w:rPr>
        <w:t xml:space="preserve">. </w:t>
      </w:r>
      <w:r w:rsidR="00DF38B1" w:rsidRPr="003D3598">
        <w:rPr>
          <w:rFonts w:ascii="Times New Roman" w:hAnsi="Times New Roman" w:cs="Times New Roman"/>
        </w:rPr>
        <w:t>This dimension of eng</w:t>
      </w:r>
      <w:r w:rsidR="007F1A2C" w:rsidRPr="003D3598">
        <w:rPr>
          <w:rFonts w:ascii="Times New Roman" w:hAnsi="Times New Roman" w:cs="Times New Roman"/>
        </w:rPr>
        <w:t xml:space="preserve">agement is considered critical </w:t>
      </w:r>
      <w:r w:rsidR="00DF38B1" w:rsidRPr="003D3598">
        <w:rPr>
          <w:rFonts w:ascii="Times New Roman" w:hAnsi="Times New Roman" w:cs="Times New Roman"/>
        </w:rPr>
        <w:t xml:space="preserve">for academic achievement (Fredricks </w:t>
      </w:r>
      <w:r w:rsidR="00EC7063">
        <w:rPr>
          <w:rFonts w:ascii="Times New Roman" w:hAnsi="Times New Roman" w:cs="Times New Roman"/>
        </w:rPr>
        <w:t>Blumenfeld, &amp; Paris,</w:t>
      </w:r>
      <w:r w:rsidR="00DF38B1" w:rsidRPr="003D3598">
        <w:rPr>
          <w:rFonts w:ascii="Times New Roman" w:hAnsi="Times New Roman" w:cs="Times New Roman"/>
        </w:rPr>
        <w:t xml:space="preserve"> 2004, </w:t>
      </w:r>
      <w:r w:rsidR="00EC7063">
        <w:rPr>
          <w:rFonts w:ascii="Times New Roman" w:hAnsi="Times New Roman" w:cs="Times New Roman"/>
        </w:rPr>
        <w:t xml:space="preserve">Fredricks et al., </w:t>
      </w:r>
      <w:r w:rsidR="00DF38B1" w:rsidRPr="003D3598">
        <w:rPr>
          <w:rFonts w:ascii="Times New Roman" w:hAnsi="Times New Roman" w:cs="Times New Roman"/>
        </w:rPr>
        <w:t>2011)</w:t>
      </w:r>
      <w:r w:rsidR="00EC7063">
        <w:rPr>
          <w:rFonts w:ascii="Times New Roman" w:hAnsi="Times New Roman" w:cs="Times New Roman"/>
        </w:rPr>
        <w:t>;</w:t>
      </w:r>
      <w:r w:rsidR="00DF38B1" w:rsidRPr="003D3598">
        <w:rPr>
          <w:rFonts w:ascii="Times New Roman" w:hAnsi="Times New Roman" w:cs="Times New Roman"/>
        </w:rPr>
        <w:t xml:space="preserve"> however, in a review of literature on science engagement</w:t>
      </w:r>
      <w:r w:rsidR="00EC7063">
        <w:rPr>
          <w:rFonts w:ascii="Times New Roman" w:hAnsi="Times New Roman" w:cs="Times New Roman"/>
        </w:rPr>
        <w:t>,</w:t>
      </w:r>
      <w:r w:rsidR="00DF38B1" w:rsidRPr="003D3598">
        <w:rPr>
          <w:rFonts w:ascii="Times New Roman" w:hAnsi="Times New Roman" w:cs="Times New Roman"/>
        </w:rPr>
        <w:t xml:space="preserve"> Sinatra</w:t>
      </w:r>
      <w:r w:rsidR="002B05FC" w:rsidRPr="003D3598">
        <w:rPr>
          <w:rFonts w:ascii="Times New Roman" w:hAnsi="Times New Roman" w:cs="Times New Roman"/>
        </w:rPr>
        <w:t xml:space="preserve">, </w:t>
      </w:r>
      <w:proofErr w:type="spellStart"/>
      <w:r w:rsidR="002B05FC" w:rsidRPr="003D3598">
        <w:rPr>
          <w:rFonts w:ascii="Times New Roman" w:hAnsi="Times New Roman" w:cs="Times New Roman"/>
        </w:rPr>
        <w:t>Heddy</w:t>
      </w:r>
      <w:proofErr w:type="spellEnd"/>
      <w:r w:rsidR="002B05FC" w:rsidRPr="003D3598">
        <w:rPr>
          <w:rFonts w:ascii="Times New Roman" w:hAnsi="Times New Roman" w:cs="Times New Roman"/>
        </w:rPr>
        <w:t xml:space="preserve">, and </w:t>
      </w:r>
      <w:r w:rsidR="00325C79" w:rsidRPr="003D3598">
        <w:rPr>
          <w:rFonts w:ascii="Times New Roman" w:hAnsi="Times New Roman" w:cs="Times New Roman"/>
        </w:rPr>
        <w:t>Lombardi and</w:t>
      </w:r>
      <w:r w:rsidR="009A579A" w:rsidRPr="003D3598">
        <w:rPr>
          <w:rFonts w:ascii="Times New Roman" w:hAnsi="Times New Roman" w:cs="Times New Roman"/>
        </w:rPr>
        <w:t xml:space="preserve"> colleagues</w:t>
      </w:r>
      <w:r w:rsidR="00DF38B1" w:rsidRPr="003D3598">
        <w:rPr>
          <w:rFonts w:ascii="Times New Roman" w:hAnsi="Times New Roman" w:cs="Times New Roman"/>
        </w:rPr>
        <w:t xml:space="preserve"> (2015) caution that the</w:t>
      </w:r>
      <w:r w:rsidR="00DC01D8" w:rsidRPr="003D3598">
        <w:rPr>
          <w:rFonts w:ascii="Times New Roman" w:hAnsi="Times New Roman" w:cs="Times New Roman"/>
        </w:rPr>
        <w:t xml:space="preserve"> assessments used to establish</w:t>
      </w:r>
      <w:r w:rsidR="00DF38B1" w:rsidRPr="003D3598">
        <w:rPr>
          <w:rFonts w:ascii="Times New Roman" w:hAnsi="Times New Roman" w:cs="Times New Roman"/>
        </w:rPr>
        <w:t xml:space="preserve"> links between behavioral engagement and achievement largely involve low level processing tasks involving simple recall. They</w:t>
      </w:r>
      <w:r w:rsidR="007F1A2C" w:rsidRPr="003D3598">
        <w:rPr>
          <w:rFonts w:ascii="Times New Roman" w:hAnsi="Times New Roman" w:cs="Times New Roman"/>
        </w:rPr>
        <w:t xml:space="preserve"> argue that science tasks are particularly complex, requiring understanding beyond recall, thus behavioral engagement alone may be limited in its ability to predict success in STEM areas, and that engagement on cognitive and affective levels might also be required. </w:t>
      </w:r>
      <w:r w:rsidR="00D7195F" w:rsidRPr="003D3598">
        <w:rPr>
          <w:rFonts w:ascii="Times New Roman" w:hAnsi="Times New Roman" w:cs="Times New Roman"/>
        </w:rPr>
        <w:t xml:space="preserve">Cognitive engagement refers generally to the </w:t>
      </w:r>
      <w:r w:rsidR="00DF38B1" w:rsidRPr="003D3598">
        <w:rPr>
          <w:rFonts w:ascii="Times New Roman" w:hAnsi="Times New Roman" w:cs="Times New Roman"/>
        </w:rPr>
        <w:t>mental investment</w:t>
      </w:r>
      <w:r w:rsidR="00D7195F" w:rsidRPr="003D3598">
        <w:rPr>
          <w:rFonts w:ascii="Times New Roman" w:hAnsi="Times New Roman" w:cs="Times New Roman"/>
        </w:rPr>
        <w:t xml:space="preserve"> one makes in learning activities</w:t>
      </w:r>
      <w:r w:rsidR="007F1A2C" w:rsidRPr="003D3598">
        <w:rPr>
          <w:rFonts w:ascii="Times New Roman" w:hAnsi="Times New Roman" w:cs="Times New Roman"/>
        </w:rPr>
        <w:t>. Youth who are cognitively engaged are more thoughtful and focused on mastering challenging tasks (Finn &amp; Zimmer</w:t>
      </w:r>
      <w:r w:rsidR="0009038B" w:rsidRPr="003D3598">
        <w:rPr>
          <w:rFonts w:ascii="Times New Roman" w:hAnsi="Times New Roman" w:cs="Times New Roman"/>
        </w:rPr>
        <w:t>, 2012</w:t>
      </w:r>
      <w:r w:rsidR="007F1A2C" w:rsidRPr="003D3598">
        <w:rPr>
          <w:rFonts w:ascii="Times New Roman" w:hAnsi="Times New Roman" w:cs="Times New Roman"/>
        </w:rPr>
        <w:t>; Fredricks et al., 2004).</w:t>
      </w:r>
      <w:r w:rsidR="00E0595C" w:rsidRPr="003D3598">
        <w:rPr>
          <w:rFonts w:ascii="Times New Roman" w:hAnsi="Times New Roman" w:cs="Times New Roman"/>
        </w:rPr>
        <w:t xml:space="preserve"> </w:t>
      </w:r>
      <w:r w:rsidR="007F1A2C" w:rsidRPr="003D3598">
        <w:rPr>
          <w:rFonts w:ascii="Times New Roman" w:hAnsi="Times New Roman" w:cs="Times New Roman"/>
        </w:rPr>
        <w:t>Finally</w:t>
      </w:r>
      <w:r w:rsidR="009A579A" w:rsidRPr="003D3598">
        <w:rPr>
          <w:rFonts w:ascii="Times New Roman" w:hAnsi="Times New Roman" w:cs="Times New Roman"/>
        </w:rPr>
        <w:t>,</w:t>
      </w:r>
      <w:r w:rsidR="007F1A2C" w:rsidRPr="003D3598">
        <w:rPr>
          <w:rFonts w:ascii="Times New Roman" w:hAnsi="Times New Roman" w:cs="Times New Roman"/>
        </w:rPr>
        <w:t xml:space="preserve"> a</w:t>
      </w:r>
      <w:r w:rsidR="00DF38B1" w:rsidRPr="003D3598">
        <w:rPr>
          <w:rFonts w:ascii="Times New Roman" w:hAnsi="Times New Roman" w:cs="Times New Roman"/>
        </w:rPr>
        <w:t>ffective engagement refers to the positive and negative feelings students have toward their learning activities (</w:t>
      </w:r>
      <w:proofErr w:type="spellStart"/>
      <w:r w:rsidR="00DF38B1" w:rsidRPr="003D3598">
        <w:rPr>
          <w:rFonts w:ascii="Times New Roman" w:hAnsi="Times New Roman" w:cs="Times New Roman"/>
        </w:rPr>
        <w:t>Pekrun</w:t>
      </w:r>
      <w:proofErr w:type="spellEnd"/>
      <w:r w:rsidR="00DF38B1" w:rsidRPr="003D3598">
        <w:rPr>
          <w:rFonts w:ascii="Times New Roman" w:hAnsi="Times New Roman" w:cs="Times New Roman"/>
        </w:rPr>
        <w:t xml:space="preserve"> &amp; </w:t>
      </w:r>
      <w:proofErr w:type="spellStart"/>
      <w:r w:rsidR="00DF38B1" w:rsidRPr="003D3598">
        <w:rPr>
          <w:rFonts w:ascii="Times New Roman" w:hAnsi="Times New Roman" w:cs="Times New Roman"/>
        </w:rPr>
        <w:t>Linnenbrink</w:t>
      </w:r>
      <w:proofErr w:type="spellEnd"/>
      <w:r w:rsidR="00DF38B1" w:rsidRPr="003D3598">
        <w:rPr>
          <w:rFonts w:ascii="Times New Roman" w:hAnsi="Times New Roman" w:cs="Times New Roman"/>
        </w:rPr>
        <w:t xml:space="preserve">-Garcia, 2012). The affective dimension of engagement is believed to create a sense of belonging and influence the students’ willingness to complete learning tasks (Connell &amp; </w:t>
      </w:r>
      <w:r w:rsidR="00DF38B1" w:rsidRPr="003D3598">
        <w:rPr>
          <w:rFonts w:ascii="Times New Roman" w:hAnsi="Times New Roman" w:cs="Times New Roman"/>
        </w:rPr>
        <w:lastRenderedPageBreak/>
        <w:t>Wellborn, 1991; Fredricks et al., 2004; Sinatra et al</w:t>
      </w:r>
      <w:r w:rsidR="00EC7063">
        <w:rPr>
          <w:rFonts w:ascii="Times New Roman" w:hAnsi="Times New Roman" w:cs="Times New Roman"/>
        </w:rPr>
        <w:t>.</w:t>
      </w:r>
      <w:r w:rsidR="00DF38B1" w:rsidRPr="003D3598">
        <w:rPr>
          <w:rFonts w:ascii="Times New Roman" w:hAnsi="Times New Roman" w:cs="Times New Roman"/>
        </w:rPr>
        <w:t>, 2015)</w:t>
      </w:r>
      <w:r w:rsidR="007F1A2C" w:rsidRPr="003D3598">
        <w:rPr>
          <w:rFonts w:ascii="Times New Roman" w:hAnsi="Times New Roman" w:cs="Times New Roman"/>
        </w:rPr>
        <w:t>.</w:t>
      </w:r>
      <w:r w:rsidR="00E0595C" w:rsidRPr="003D3598">
        <w:rPr>
          <w:rFonts w:ascii="Times New Roman" w:hAnsi="Times New Roman" w:cs="Times New Roman"/>
        </w:rPr>
        <w:t xml:space="preserve"> </w:t>
      </w:r>
      <w:r w:rsidR="0069001F">
        <w:rPr>
          <w:rFonts w:ascii="Times New Roman" w:hAnsi="Times New Roman" w:cs="Times New Roman"/>
        </w:rPr>
        <w:t xml:space="preserve"> Eric </w:t>
      </w:r>
      <w:proofErr w:type="spellStart"/>
      <w:r w:rsidR="0069001F">
        <w:rPr>
          <w:rFonts w:ascii="Times New Roman" w:hAnsi="Times New Roman" w:cs="Times New Roman"/>
        </w:rPr>
        <w:t>Klopfer</w:t>
      </w:r>
      <w:proofErr w:type="spellEnd"/>
      <w:r w:rsidR="0069001F">
        <w:rPr>
          <w:rFonts w:ascii="Times New Roman" w:hAnsi="Times New Roman" w:cs="Times New Roman"/>
        </w:rPr>
        <w:t xml:space="preserve"> </w:t>
      </w:r>
      <w:r w:rsidR="005D1AF7">
        <w:rPr>
          <w:rFonts w:ascii="Times New Roman" w:hAnsi="Times New Roman" w:cs="Times New Roman"/>
        </w:rPr>
        <w:t xml:space="preserve">captured the multidimensionality of </w:t>
      </w:r>
      <w:r w:rsidR="0069001F">
        <w:rPr>
          <w:rFonts w:ascii="Times New Roman" w:hAnsi="Times New Roman" w:cs="Times New Roman"/>
        </w:rPr>
        <w:t>engagement</w:t>
      </w:r>
      <w:r w:rsidR="005D1AF7">
        <w:rPr>
          <w:rFonts w:ascii="Times New Roman" w:hAnsi="Times New Roman" w:cs="Times New Roman"/>
        </w:rPr>
        <w:t xml:space="preserve"> in informal learning contexts</w:t>
      </w:r>
      <w:r w:rsidR="0069001F">
        <w:rPr>
          <w:rFonts w:ascii="Times New Roman" w:hAnsi="Times New Roman" w:cs="Times New Roman"/>
        </w:rPr>
        <w:t xml:space="preserve"> </w:t>
      </w:r>
      <w:r w:rsidR="005D1AF7">
        <w:rPr>
          <w:rFonts w:ascii="Times New Roman" w:hAnsi="Times New Roman" w:cs="Times New Roman"/>
        </w:rPr>
        <w:t xml:space="preserve">in his description of engagement </w:t>
      </w:r>
      <w:r w:rsidR="0069001F">
        <w:rPr>
          <w:rFonts w:ascii="Times New Roman" w:hAnsi="Times New Roman" w:cs="Times New Roman"/>
        </w:rPr>
        <w:t xml:space="preserve">as “hard fun,” invoking a term used by </w:t>
      </w:r>
      <w:proofErr w:type="spellStart"/>
      <w:r w:rsidR="0069001F">
        <w:rPr>
          <w:rFonts w:ascii="Times New Roman" w:hAnsi="Times New Roman" w:cs="Times New Roman"/>
        </w:rPr>
        <w:t>Papert</w:t>
      </w:r>
      <w:proofErr w:type="spellEnd"/>
      <w:r w:rsidR="0069001F">
        <w:rPr>
          <w:rFonts w:ascii="Times New Roman" w:hAnsi="Times New Roman" w:cs="Times New Roman"/>
        </w:rPr>
        <w:t xml:space="preserve"> (Bell et al., 2019</w:t>
      </w:r>
      <w:r w:rsidR="0036308D">
        <w:rPr>
          <w:rFonts w:ascii="Times New Roman" w:hAnsi="Times New Roman" w:cs="Times New Roman"/>
        </w:rPr>
        <w:t xml:space="preserve">, see also </w:t>
      </w:r>
      <w:proofErr w:type="spellStart"/>
      <w:r w:rsidR="005D1AF7">
        <w:rPr>
          <w:rFonts w:ascii="Times New Roman" w:hAnsi="Times New Roman" w:cs="Times New Roman"/>
        </w:rPr>
        <w:t>Ruiperez-Valiente</w:t>
      </w:r>
      <w:proofErr w:type="spellEnd"/>
      <w:r w:rsidR="005D1AF7">
        <w:rPr>
          <w:rFonts w:ascii="Times New Roman" w:hAnsi="Times New Roman" w:cs="Times New Roman"/>
        </w:rPr>
        <w:t xml:space="preserve">, Gaydos, </w:t>
      </w:r>
      <w:proofErr w:type="spellStart"/>
      <w:r w:rsidR="005D1AF7">
        <w:rPr>
          <w:rFonts w:ascii="Times New Roman" w:hAnsi="Times New Roman" w:cs="Times New Roman"/>
        </w:rPr>
        <w:t>Rosenheck</w:t>
      </w:r>
      <w:proofErr w:type="spellEnd"/>
      <w:r w:rsidR="005D1AF7">
        <w:rPr>
          <w:rFonts w:ascii="Times New Roman" w:hAnsi="Times New Roman" w:cs="Times New Roman"/>
        </w:rPr>
        <w:t xml:space="preserve">, Kim, &amp; </w:t>
      </w:r>
      <w:proofErr w:type="spellStart"/>
      <w:r w:rsidR="005D1AF7">
        <w:rPr>
          <w:rFonts w:ascii="Times New Roman" w:hAnsi="Times New Roman" w:cs="Times New Roman"/>
        </w:rPr>
        <w:t>Klopfer</w:t>
      </w:r>
      <w:proofErr w:type="spellEnd"/>
      <w:r w:rsidR="005D1AF7">
        <w:rPr>
          <w:rFonts w:ascii="Times New Roman" w:hAnsi="Times New Roman" w:cs="Times New Roman"/>
        </w:rPr>
        <w:t>, 2020</w:t>
      </w:r>
      <w:r w:rsidR="0069001F">
        <w:rPr>
          <w:rFonts w:ascii="Times New Roman" w:hAnsi="Times New Roman" w:cs="Times New Roman"/>
        </w:rPr>
        <w:t>)</w:t>
      </w:r>
      <w:r w:rsidR="00A43361">
        <w:rPr>
          <w:rFonts w:ascii="Times New Roman" w:hAnsi="Times New Roman" w:cs="Times New Roman"/>
        </w:rPr>
        <w:t>.</w:t>
      </w:r>
      <w:r w:rsidR="0069001F">
        <w:rPr>
          <w:rFonts w:ascii="Times New Roman" w:hAnsi="Times New Roman" w:cs="Times New Roman"/>
        </w:rPr>
        <w:t xml:space="preserve"> </w:t>
      </w:r>
    </w:p>
    <w:p w14:paraId="34EB65D4" w14:textId="6BD94704" w:rsidR="007F1A2C" w:rsidRPr="00B62186" w:rsidRDefault="007F1A2C" w:rsidP="00A73422">
      <w:pPr>
        <w:widowControl w:val="0"/>
        <w:autoSpaceDE w:val="0"/>
        <w:autoSpaceDN w:val="0"/>
        <w:adjustRightInd w:val="0"/>
        <w:spacing w:after="240"/>
        <w:contextualSpacing/>
        <w:rPr>
          <w:rFonts w:ascii="Times New Roman" w:hAnsi="Times New Roman" w:cs="Times New Roman"/>
        </w:rPr>
      </w:pPr>
      <w:r w:rsidRPr="003D3598">
        <w:rPr>
          <w:rFonts w:ascii="Times New Roman" w:hAnsi="Times New Roman" w:cs="Times New Roman"/>
        </w:rPr>
        <w:tab/>
        <w:t xml:space="preserve">To reflect the conceptualization of engagement as highly dependent on context, in the present study we </w:t>
      </w:r>
      <w:r w:rsidR="00B91D0C">
        <w:rPr>
          <w:rFonts w:ascii="Times New Roman" w:hAnsi="Times New Roman" w:cs="Times New Roman"/>
        </w:rPr>
        <w:t xml:space="preserve">sought to </w:t>
      </w:r>
      <w:r w:rsidRPr="003D3598">
        <w:rPr>
          <w:rFonts w:ascii="Times New Roman" w:hAnsi="Times New Roman" w:cs="Times New Roman"/>
        </w:rPr>
        <w:t>examine youths</w:t>
      </w:r>
      <w:r w:rsidR="003C1ED9">
        <w:rPr>
          <w:rFonts w:ascii="Times New Roman" w:hAnsi="Times New Roman" w:cs="Times New Roman"/>
        </w:rPr>
        <w:t>’</w:t>
      </w:r>
      <w:r w:rsidRPr="003D3598">
        <w:rPr>
          <w:rFonts w:ascii="Times New Roman" w:hAnsi="Times New Roman" w:cs="Times New Roman"/>
        </w:rPr>
        <w:t xml:space="preserve"> </w:t>
      </w:r>
      <w:r w:rsidR="006126B0">
        <w:rPr>
          <w:rFonts w:ascii="Times New Roman" w:hAnsi="Times New Roman" w:cs="Times New Roman"/>
        </w:rPr>
        <w:t xml:space="preserve">behavioral, cognitive, and affective </w:t>
      </w:r>
      <w:r w:rsidRPr="003D3598">
        <w:rPr>
          <w:rFonts w:ascii="Times New Roman" w:hAnsi="Times New Roman" w:cs="Times New Roman"/>
        </w:rPr>
        <w:t>engagement</w:t>
      </w:r>
      <w:r w:rsidR="006126B0">
        <w:rPr>
          <w:rFonts w:ascii="Times New Roman" w:hAnsi="Times New Roman" w:cs="Times New Roman"/>
        </w:rPr>
        <w:t xml:space="preserve"> </w:t>
      </w:r>
      <w:r w:rsidR="006126B0" w:rsidRPr="006126B0">
        <w:rPr>
          <w:rFonts w:ascii="Times New Roman" w:hAnsi="Times New Roman" w:cs="Times New Roman"/>
          <w:i/>
        </w:rPr>
        <w:t>in situ</w:t>
      </w:r>
      <w:r w:rsidR="006126B0">
        <w:rPr>
          <w:rFonts w:ascii="Times New Roman" w:hAnsi="Times New Roman" w:cs="Times New Roman"/>
        </w:rPr>
        <w:t>, as they are participating</w:t>
      </w:r>
      <w:r w:rsidRPr="003D3598">
        <w:rPr>
          <w:rFonts w:ascii="Times New Roman" w:hAnsi="Times New Roman" w:cs="Times New Roman"/>
        </w:rPr>
        <w:t xml:space="preserve"> in </w:t>
      </w:r>
      <w:r w:rsidR="006126B0">
        <w:rPr>
          <w:rFonts w:ascii="Times New Roman" w:hAnsi="Times New Roman" w:cs="Times New Roman"/>
        </w:rPr>
        <w:t xml:space="preserve">a variety of </w:t>
      </w:r>
      <w:r w:rsidRPr="003D3598">
        <w:rPr>
          <w:rFonts w:ascii="Times New Roman" w:hAnsi="Times New Roman" w:cs="Times New Roman"/>
        </w:rPr>
        <w:t>summer STEM programming activities</w:t>
      </w:r>
      <w:r w:rsidR="006126B0">
        <w:rPr>
          <w:rFonts w:ascii="Times New Roman" w:hAnsi="Times New Roman" w:cs="Times New Roman"/>
        </w:rPr>
        <w:t>.</w:t>
      </w:r>
      <w:r w:rsidRPr="003D3598">
        <w:rPr>
          <w:rFonts w:ascii="Times New Roman" w:hAnsi="Times New Roman" w:cs="Times New Roman"/>
        </w:rPr>
        <w:t xml:space="preserve"> </w:t>
      </w:r>
      <w:r w:rsidR="00B91D0C">
        <w:rPr>
          <w:rFonts w:ascii="Times New Roman" w:hAnsi="Times New Roman" w:cs="Times New Roman"/>
        </w:rPr>
        <w:t>Gathering systematic data on youths’ educational outcomes – whether it be engagement</w:t>
      </w:r>
      <w:r w:rsidR="00E54BE7">
        <w:rPr>
          <w:rFonts w:ascii="Times New Roman" w:hAnsi="Times New Roman" w:cs="Times New Roman"/>
        </w:rPr>
        <w:t>, learning,</w:t>
      </w:r>
      <w:r w:rsidR="00B91D0C">
        <w:rPr>
          <w:rFonts w:ascii="Times New Roman" w:hAnsi="Times New Roman" w:cs="Times New Roman"/>
        </w:rPr>
        <w:t xml:space="preserve"> or something else, poses particular challenges in OST settings</w:t>
      </w:r>
      <w:r w:rsidR="00E54BE7">
        <w:rPr>
          <w:rFonts w:ascii="Times New Roman" w:hAnsi="Times New Roman" w:cs="Times New Roman"/>
        </w:rPr>
        <w:t xml:space="preserve"> because it is not always easy to identify appropriate outcome</w:t>
      </w:r>
      <w:r w:rsidR="00510E80">
        <w:rPr>
          <w:rFonts w:ascii="Times New Roman" w:hAnsi="Times New Roman" w:cs="Times New Roman"/>
        </w:rPr>
        <w:t xml:space="preserve"> measures</w:t>
      </w:r>
      <w:r w:rsidR="00E54BE7">
        <w:rPr>
          <w:rFonts w:ascii="Times New Roman" w:hAnsi="Times New Roman" w:cs="Times New Roman"/>
        </w:rPr>
        <w:t xml:space="preserve"> in OST settings, </w:t>
      </w:r>
      <w:r w:rsidR="00B91D0C">
        <w:rPr>
          <w:rFonts w:ascii="Times New Roman" w:hAnsi="Times New Roman" w:cs="Times New Roman"/>
        </w:rPr>
        <w:t>learning is often not assessed directly</w:t>
      </w:r>
      <w:r w:rsidR="00E54BE7">
        <w:rPr>
          <w:rFonts w:ascii="Times New Roman" w:hAnsi="Times New Roman" w:cs="Times New Roman"/>
        </w:rPr>
        <w:t>, observation of individuals over an extended period can be difficult,</w:t>
      </w:r>
      <w:r w:rsidR="00B91D0C">
        <w:rPr>
          <w:rFonts w:ascii="Times New Roman" w:hAnsi="Times New Roman" w:cs="Times New Roman"/>
        </w:rPr>
        <w:t xml:space="preserve"> and long surveys about one’s experience are often not tolerated to the same extent they might be in formal educational environments</w:t>
      </w:r>
      <w:r w:rsidR="00E54BE7">
        <w:rPr>
          <w:rFonts w:ascii="Times New Roman" w:hAnsi="Times New Roman" w:cs="Times New Roman"/>
        </w:rPr>
        <w:t xml:space="preserve"> (for a review of challenges related to evaluating outcomes in OST settings see Allen &amp; Peterman, 2019)</w:t>
      </w:r>
      <w:r w:rsidR="00B91D0C">
        <w:rPr>
          <w:rFonts w:ascii="Times New Roman" w:hAnsi="Times New Roman" w:cs="Times New Roman"/>
        </w:rPr>
        <w:t xml:space="preserve">. </w:t>
      </w:r>
      <w:r w:rsidR="006126B0">
        <w:rPr>
          <w:rFonts w:ascii="Times New Roman" w:hAnsi="Times New Roman" w:cs="Times New Roman"/>
        </w:rPr>
        <w:t>To gather situational measures of youths</w:t>
      </w:r>
      <w:r w:rsidR="003C1ED9">
        <w:rPr>
          <w:rFonts w:ascii="Times New Roman" w:hAnsi="Times New Roman" w:cs="Times New Roman"/>
        </w:rPr>
        <w:t>’</w:t>
      </w:r>
      <w:r w:rsidR="006126B0">
        <w:rPr>
          <w:rFonts w:ascii="Times New Roman" w:hAnsi="Times New Roman" w:cs="Times New Roman"/>
        </w:rPr>
        <w:t xml:space="preserve"> </w:t>
      </w:r>
      <w:r w:rsidR="00510E80">
        <w:rPr>
          <w:rFonts w:ascii="Times New Roman" w:hAnsi="Times New Roman" w:cs="Times New Roman"/>
        </w:rPr>
        <w:t xml:space="preserve">multidimensional </w:t>
      </w:r>
      <w:r w:rsidR="006126B0">
        <w:rPr>
          <w:rFonts w:ascii="Times New Roman" w:hAnsi="Times New Roman" w:cs="Times New Roman"/>
        </w:rPr>
        <w:t xml:space="preserve">engagement, we employ the </w:t>
      </w:r>
      <w:r w:rsidRPr="003D3598">
        <w:rPr>
          <w:rFonts w:ascii="Times New Roman" w:hAnsi="Times New Roman" w:cs="Times New Roman"/>
        </w:rPr>
        <w:t xml:space="preserve">Experience Sampling Method, a signal-contingent method used to gather </w:t>
      </w:r>
      <w:r w:rsidR="00E54BE7">
        <w:rPr>
          <w:rFonts w:ascii="Times New Roman" w:hAnsi="Times New Roman" w:cs="Times New Roman"/>
        </w:rPr>
        <w:t xml:space="preserve">brief </w:t>
      </w:r>
      <w:r w:rsidRPr="003D3598">
        <w:rPr>
          <w:rFonts w:ascii="Times New Roman" w:hAnsi="Times New Roman" w:cs="Times New Roman"/>
        </w:rPr>
        <w:t>repeated reports of participants’ immediate experience as it is happening (</w:t>
      </w:r>
      <w:r w:rsidR="00821EE0">
        <w:rPr>
          <w:rFonts w:ascii="Times New Roman" w:hAnsi="Times New Roman" w:cs="Times New Roman"/>
        </w:rPr>
        <w:t>Authors, 2007</w:t>
      </w:r>
      <w:r w:rsidR="00AE361F">
        <w:rPr>
          <w:rFonts w:ascii="Times New Roman" w:hAnsi="Times New Roman" w:cs="Times New Roman"/>
        </w:rPr>
        <w:t>, see method section for fuller description</w:t>
      </w:r>
      <w:r w:rsidRPr="003D3598">
        <w:rPr>
          <w:rFonts w:ascii="Times New Roman" w:hAnsi="Times New Roman" w:cs="Times New Roman"/>
        </w:rPr>
        <w:t xml:space="preserve">). This approach affords us the opportunity to </w:t>
      </w:r>
      <w:r w:rsidR="00D65987" w:rsidRPr="003D3598">
        <w:rPr>
          <w:rFonts w:ascii="Times New Roman" w:hAnsi="Times New Roman" w:cs="Times New Roman"/>
        </w:rPr>
        <w:t xml:space="preserve">examine how specific momentary conditions of an activity relate to </w:t>
      </w:r>
      <w:r w:rsidR="006F7351">
        <w:rPr>
          <w:rFonts w:ascii="Times New Roman" w:hAnsi="Times New Roman" w:cs="Times New Roman"/>
        </w:rPr>
        <w:t>one’s</w:t>
      </w:r>
      <w:r w:rsidR="00D65987" w:rsidRPr="003D3598">
        <w:rPr>
          <w:rFonts w:ascii="Times New Roman" w:hAnsi="Times New Roman" w:cs="Times New Roman"/>
        </w:rPr>
        <w:t xml:space="preserve"> engagement in </w:t>
      </w:r>
      <w:r w:rsidR="00BC14FF" w:rsidRPr="003D3598">
        <w:rPr>
          <w:rFonts w:ascii="Times New Roman" w:hAnsi="Times New Roman" w:cs="Times New Roman"/>
        </w:rPr>
        <w:t xml:space="preserve">that </w:t>
      </w:r>
      <w:r w:rsidR="00D65987" w:rsidRPr="003D3598">
        <w:rPr>
          <w:rFonts w:ascii="Times New Roman" w:hAnsi="Times New Roman" w:cs="Times New Roman"/>
        </w:rPr>
        <w:t>activity. Our explorat</w:t>
      </w:r>
      <w:r w:rsidR="00FB0170" w:rsidRPr="003D3598">
        <w:rPr>
          <w:rFonts w:ascii="Times New Roman" w:hAnsi="Times New Roman" w:cs="Times New Roman"/>
        </w:rPr>
        <w:t>ion of these conditions focuses</w:t>
      </w:r>
      <w:r w:rsidR="00D65987" w:rsidRPr="003D3598">
        <w:rPr>
          <w:rFonts w:ascii="Times New Roman" w:hAnsi="Times New Roman" w:cs="Times New Roman"/>
        </w:rPr>
        <w:t xml:space="preserve"> on the challenge the activity poses to the youth, the relevance of the activity to the youth, and the degree to which youth feel the activity affords them the opportunity to learn or develop their skills. We turn to a discussion of these conditions </w:t>
      </w:r>
      <w:r w:rsidR="00D65987" w:rsidRPr="00B62186">
        <w:rPr>
          <w:rFonts w:ascii="Times New Roman" w:hAnsi="Times New Roman" w:cs="Times New Roman"/>
        </w:rPr>
        <w:t xml:space="preserve">next. </w:t>
      </w:r>
    </w:p>
    <w:p w14:paraId="66C7D40F" w14:textId="1B1F23CF" w:rsidR="00D65987" w:rsidRPr="00111E51" w:rsidRDefault="00D65987" w:rsidP="00A73422">
      <w:pPr>
        <w:widowControl w:val="0"/>
        <w:autoSpaceDE w:val="0"/>
        <w:autoSpaceDN w:val="0"/>
        <w:adjustRightInd w:val="0"/>
        <w:spacing w:after="240"/>
        <w:contextualSpacing/>
        <w:rPr>
          <w:rFonts w:ascii="Times New Roman" w:hAnsi="Times New Roman" w:cs="Times New Roman"/>
          <w:b/>
        </w:rPr>
      </w:pPr>
      <w:r w:rsidRPr="00011528">
        <w:rPr>
          <w:rFonts w:ascii="Times New Roman" w:hAnsi="Times New Roman" w:cs="Times New Roman"/>
          <w:b/>
        </w:rPr>
        <w:t>Challenge, Relevance, and Affordances for Learning as Conditions for Engagem</w:t>
      </w:r>
      <w:r w:rsidRPr="0041527C">
        <w:rPr>
          <w:rFonts w:ascii="Times New Roman" w:hAnsi="Times New Roman" w:cs="Times New Roman"/>
          <w:b/>
        </w:rPr>
        <w:t>ent</w:t>
      </w:r>
    </w:p>
    <w:p w14:paraId="695D5E02" w14:textId="5E9E3BE9" w:rsidR="00D65987" w:rsidRPr="003D3598" w:rsidRDefault="00FB0170" w:rsidP="00A73422">
      <w:pPr>
        <w:widowControl w:val="0"/>
        <w:autoSpaceDE w:val="0"/>
        <w:autoSpaceDN w:val="0"/>
        <w:adjustRightInd w:val="0"/>
        <w:spacing w:after="240"/>
        <w:ind w:firstLine="720"/>
        <w:contextualSpacing/>
        <w:rPr>
          <w:rFonts w:ascii="Times New Roman" w:hAnsi="Times New Roman" w:cs="Times New Roman"/>
        </w:rPr>
      </w:pPr>
      <w:r w:rsidRPr="003D3598">
        <w:rPr>
          <w:rFonts w:ascii="Times New Roman" w:hAnsi="Times New Roman" w:cs="Times New Roman"/>
        </w:rPr>
        <w:t>One</w:t>
      </w:r>
      <w:r w:rsidR="00112686" w:rsidRPr="003D3598">
        <w:rPr>
          <w:rFonts w:ascii="Times New Roman" w:hAnsi="Times New Roman" w:cs="Times New Roman"/>
        </w:rPr>
        <w:t xml:space="preserve"> </w:t>
      </w:r>
      <w:r w:rsidRPr="003D3598">
        <w:rPr>
          <w:rFonts w:ascii="Times New Roman" w:hAnsi="Times New Roman" w:cs="Times New Roman"/>
        </w:rPr>
        <w:t>goal</w:t>
      </w:r>
      <w:r w:rsidR="00112686" w:rsidRPr="003D3598">
        <w:rPr>
          <w:rFonts w:ascii="Times New Roman" w:hAnsi="Times New Roman" w:cs="Times New Roman"/>
        </w:rPr>
        <w:t xml:space="preserve"> of this </w:t>
      </w:r>
      <w:r w:rsidRPr="003D3598">
        <w:rPr>
          <w:rFonts w:ascii="Times New Roman" w:hAnsi="Times New Roman" w:cs="Times New Roman"/>
        </w:rPr>
        <w:t>study</w:t>
      </w:r>
      <w:r w:rsidR="00112686" w:rsidRPr="003D3598">
        <w:rPr>
          <w:rFonts w:ascii="Times New Roman" w:hAnsi="Times New Roman" w:cs="Times New Roman"/>
        </w:rPr>
        <w:t xml:space="preserve"> is to </w:t>
      </w:r>
      <w:r w:rsidR="00D65987" w:rsidRPr="003D3598">
        <w:rPr>
          <w:rFonts w:ascii="Times New Roman" w:hAnsi="Times New Roman" w:cs="Times New Roman"/>
        </w:rPr>
        <w:t>explore how various subjective conditions in STEM-focused summer programs relate to youths</w:t>
      </w:r>
      <w:r w:rsidR="003C1ED9">
        <w:rPr>
          <w:rFonts w:ascii="Times New Roman" w:hAnsi="Times New Roman" w:cs="Times New Roman"/>
        </w:rPr>
        <w:t>’</w:t>
      </w:r>
      <w:r w:rsidR="00D65987" w:rsidRPr="003D3598">
        <w:rPr>
          <w:rFonts w:ascii="Times New Roman" w:hAnsi="Times New Roman" w:cs="Times New Roman"/>
        </w:rPr>
        <w:t xml:space="preserve"> engagement in these programs. Theory and research suggest that certain conditions tend to foster engagement in academic settings, but few have examined whether these conditions are similarly linked to engagement in informal learning environments</w:t>
      </w:r>
      <w:r w:rsidR="000E08DE">
        <w:rPr>
          <w:rFonts w:ascii="Times New Roman" w:hAnsi="Times New Roman" w:cs="Times New Roman"/>
        </w:rPr>
        <w:t xml:space="preserve"> focused on STEM content</w:t>
      </w:r>
      <w:r w:rsidR="00D65987" w:rsidRPr="003D3598">
        <w:rPr>
          <w:rFonts w:ascii="Times New Roman" w:hAnsi="Times New Roman" w:cs="Times New Roman"/>
        </w:rPr>
        <w:t xml:space="preserve"> where expectations and activities might be different. </w:t>
      </w:r>
    </w:p>
    <w:p w14:paraId="657D6933" w14:textId="2FF64370" w:rsidR="003D04EF" w:rsidRPr="003D3598" w:rsidRDefault="00D65987"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b/>
          <w:bCs/>
          <w:iCs/>
        </w:rPr>
        <w:t>Challenge</w:t>
      </w:r>
      <w:r w:rsidRPr="003D3598">
        <w:rPr>
          <w:rFonts w:ascii="Times New Roman" w:hAnsi="Times New Roman" w:cs="Times New Roman"/>
          <w:b/>
          <w:bCs/>
        </w:rPr>
        <w:t xml:space="preserve">. </w:t>
      </w:r>
      <w:r w:rsidR="007A093F" w:rsidRPr="003D3598">
        <w:rPr>
          <w:rFonts w:ascii="Times New Roman" w:hAnsi="Times New Roman" w:cs="Times New Roman"/>
          <w:bCs/>
        </w:rPr>
        <w:t xml:space="preserve">Theory and research suggest that challenge is an important condition for engagement. </w:t>
      </w:r>
      <w:r w:rsidRPr="003D3598">
        <w:rPr>
          <w:rFonts w:ascii="Times New Roman" w:hAnsi="Times New Roman" w:cs="Times New Roman"/>
        </w:rPr>
        <w:t>Emergent Motivation Theory (EMT</w:t>
      </w:r>
      <w:r w:rsidR="00854BEE" w:rsidRPr="003D3598">
        <w:rPr>
          <w:rFonts w:ascii="Times New Roman" w:hAnsi="Times New Roman" w:cs="Times New Roman"/>
        </w:rPr>
        <w:t xml:space="preserve">; </w:t>
      </w:r>
      <w:r w:rsidRPr="003D3598">
        <w:rPr>
          <w:rFonts w:ascii="Times New Roman" w:hAnsi="Times New Roman" w:cs="Times New Roman"/>
        </w:rPr>
        <w:t>Csikszentmihalyi, 1990; Csik</w:t>
      </w:r>
      <w:r w:rsidR="007A093F" w:rsidRPr="003D3598">
        <w:rPr>
          <w:rFonts w:ascii="Times New Roman" w:hAnsi="Times New Roman" w:cs="Times New Roman"/>
        </w:rPr>
        <w:t>szentmihalyi &amp; Schneider, 2000) posits that individuals</w:t>
      </w:r>
      <w:r w:rsidRPr="003D3598">
        <w:rPr>
          <w:rFonts w:ascii="Times New Roman" w:hAnsi="Times New Roman" w:cs="Times New Roman"/>
        </w:rPr>
        <w:t xml:space="preserve"> are most apt to experience a state of engagement when there is a relative balance between the difficulty of a task and their ability in an area where they feel generally competent, putting them in a position where there is a need to focus and concentrate in order to undertake the task in question. </w:t>
      </w:r>
      <w:r w:rsidR="000B0FD3" w:rsidRPr="003D3598">
        <w:rPr>
          <w:rFonts w:ascii="Times New Roman" w:hAnsi="Times New Roman" w:cs="Times New Roman"/>
        </w:rPr>
        <w:t>Empirical research supports the link between perceived challenge and engagement (Fredricks,</w:t>
      </w:r>
      <w:r w:rsidR="00EC7063">
        <w:rPr>
          <w:rFonts w:ascii="Times New Roman" w:hAnsi="Times New Roman" w:cs="Times New Roman"/>
        </w:rPr>
        <w:t xml:space="preserve"> Blumenfeld, </w:t>
      </w:r>
      <w:proofErr w:type="spellStart"/>
      <w:r w:rsidR="00EC7063">
        <w:rPr>
          <w:rFonts w:ascii="Times New Roman" w:hAnsi="Times New Roman" w:cs="Times New Roman"/>
        </w:rPr>
        <w:t>Friedal</w:t>
      </w:r>
      <w:proofErr w:type="spellEnd"/>
      <w:r w:rsidR="00EC7063">
        <w:rPr>
          <w:rFonts w:ascii="Times New Roman" w:hAnsi="Times New Roman" w:cs="Times New Roman"/>
        </w:rPr>
        <w:t>, &amp; Paris,</w:t>
      </w:r>
      <w:r w:rsidR="000B0FD3" w:rsidRPr="003D3598">
        <w:rPr>
          <w:rFonts w:ascii="Times New Roman" w:hAnsi="Times New Roman" w:cs="Times New Roman"/>
        </w:rPr>
        <w:t xml:space="preserve"> 2002; Lutz, Guthrie &amp; Davis, 2006; </w:t>
      </w:r>
      <w:proofErr w:type="spellStart"/>
      <w:r w:rsidR="000B0FD3" w:rsidRPr="003D3598">
        <w:rPr>
          <w:rFonts w:ascii="Times New Roman" w:hAnsi="Times New Roman" w:cs="Times New Roman"/>
        </w:rPr>
        <w:t>Shernoff</w:t>
      </w:r>
      <w:proofErr w:type="spellEnd"/>
      <w:r w:rsidR="00EC7063">
        <w:rPr>
          <w:rFonts w:ascii="Times New Roman" w:hAnsi="Times New Roman" w:cs="Times New Roman"/>
        </w:rPr>
        <w:t xml:space="preserve">, Csikszentmihalyi, Schneider, &amp; </w:t>
      </w:r>
      <w:proofErr w:type="spellStart"/>
      <w:r w:rsidR="00EC7063">
        <w:rPr>
          <w:rFonts w:ascii="Times New Roman" w:hAnsi="Times New Roman" w:cs="Times New Roman"/>
        </w:rPr>
        <w:t>Shernoff</w:t>
      </w:r>
      <w:proofErr w:type="spellEnd"/>
      <w:r w:rsidR="00EC7063">
        <w:rPr>
          <w:rFonts w:ascii="Times New Roman" w:hAnsi="Times New Roman" w:cs="Times New Roman"/>
        </w:rPr>
        <w:t xml:space="preserve">, </w:t>
      </w:r>
      <w:r w:rsidR="000B0FD3" w:rsidRPr="003D3598">
        <w:rPr>
          <w:rFonts w:ascii="Times New Roman" w:hAnsi="Times New Roman" w:cs="Times New Roman"/>
        </w:rPr>
        <w:t>2003)</w:t>
      </w:r>
      <w:r w:rsidR="000E08DE">
        <w:rPr>
          <w:rFonts w:ascii="Times New Roman" w:hAnsi="Times New Roman" w:cs="Times New Roman"/>
        </w:rPr>
        <w:t xml:space="preserve"> in settings that are explicitly academic, but there is less evidence as to whether challenge similarly promotes engagement in out-of-school learning contexts</w:t>
      </w:r>
      <w:r w:rsidR="00BA4528">
        <w:rPr>
          <w:rFonts w:ascii="Times New Roman" w:hAnsi="Times New Roman" w:cs="Times New Roman"/>
        </w:rPr>
        <w:t>, where youth may have greater expectations that they will have experiences that are “fun,” which may or may not involve challenge</w:t>
      </w:r>
      <w:r w:rsidR="000B0FD3" w:rsidRPr="003D3598">
        <w:rPr>
          <w:rFonts w:ascii="Times New Roman" w:hAnsi="Times New Roman" w:cs="Times New Roman"/>
        </w:rPr>
        <w:t xml:space="preserve">. </w:t>
      </w:r>
      <w:r w:rsidR="00737980" w:rsidRPr="003D3598">
        <w:rPr>
          <w:rFonts w:ascii="Times New Roman" w:hAnsi="Times New Roman" w:cs="Times New Roman"/>
        </w:rPr>
        <w:t xml:space="preserve">Acknowledging that challenge is generally conceived of as subjective, our examination of challenge focuses on youths’ perception of the degree of challenge during specific program activities. </w:t>
      </w:r>
    </w:p>
    <w:p w14:paraId="19A1BA4C" w14:textId="530CAD8B" w:rsidR="003D04EF" w:rsidRPr="003D3598" w:rsidRDefault="00D65987"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b/>
          <w:bCs/>
          <w:iCs/>
        </w:rPr>
        <w:t>Relevance.</w:t>
      </w:r>
      <w:r w:rsidRPr="003D3598">
        <w:rPr>
          <w:rFonts w:ascii="Times New Roman" w:hAnsi="Times New Roman" w:cs="Times New Roman"/>
          <w:b/>
          <w:bCs/>
          <w:i/>
          <w:iCs/>
        </w:rPr>
        <w:t xml:space="preserve"> </w:t>
      </w:r>
      <w:r w:rsidR="001643FA" w:rsidRPr="003D3598">
        <w:rPr>
          <w:rFonts w:ascii="Times New Roman" w:hAnsi="Times New Roman" w:cs="Times New Roman"/>
          <w:bCs/>
          <w:iCs/>
        </w:rPr>
        <w:t xml:space="preserve">Relevance refers to the degree to which one perceives an activity as having meaning, importance or utility beyond the immediate learning context. </w:t>
      </w:r>
      <w:r w:rsidR="00C97FDE" w:rsidRPr="003D3598">
        <w:rPr>
          <w:rFonts w:ascii="Times New Roman" w:hAnsi="Times New Roman" w:cs="Times New Roman"/>
          <w:bCs/>
          <w:iCs/>
        </w:rPr>
        <w:t>In traditional school environments, when students perceive their teachers as emphasizing relevance in their instruction, students report having more positive attitudes toward school and are more engaged</w:t>
      </w:r>
      <w:r w:rsidR="00057029" w:rsidRPr="003D3598">
        <w:rPr>
          <w:rFonts w:ascii="Times New Roman" w:hAnsi="Times New Roman" w:cs="Times New Roman"/>
          <w:bCs/>
          <w:iCs/>
        </w:rPr>
        <w:t xml:space="preserve"> </w:t>
      </w:r>
      <w:r w:rsidR="00057029" w:rsidRPr="003D3598">
        <w:rPr>
          <w:rFonts w:ascii="Times New Roman" w:hAnsi="Times New Roman" w:cs="Times New Roman"/>
          <w:bCs/>
          <w:iCs/>
        </w:rPr>
        <w:lastRenderedPageBreak/>
        <w:t>(</w:t>
      </w:r>
      <w:proofErr w:type="spellStart"/>
      <w:r w:rsidR="00057029" w:rsidRPr="003D3598">
        <w:rPr>
          <w:rFonts w:ascii="Times New Roman" w:hAnsi="Times New Roman" w:cs="Times New Roman"/>
          <w:bCs/>
          <w:iCs/>
        </w:rPr>
        <w:t>Assor</w:t>
      </w:r>
      <w:proofErr w:type="spellEnd"/>
      <w:r w:rsidR="00057029" w:rsidRPr="003D3598">
        <w:rPr>
          <w:rFonts w:ascii="Times New Roman" w:hAnsi="Times New Roman" w:cs="Times New Roman"/>
          <w:bCs/>
          <w:iCs/>
        </w:rPr>
        <w:t>, Kaplan &amp; Roth, 2002;</w:t>
      </w:r>
      <w:r w:rsidR="00821EE0">
        <w:rPr>
          <w:rFonts w:ascii="Times New Roman" w:hAnsi="Times New Roman" w:cs="Times New Roman"/>
          <w:bCs/>
          <w:iCs/>
        </w:rPr>
        <w:t xml:space="preserve"> Authors, 2019</w:t>
      </w:r>
      <w:r w:rsidR="00057029" w:rsidRPr="003D3598">
        <w:rPr>
          <w:rFonts w:ascii="Times New Roman" w:hAnsi="Times New Roman" w:cs="Times New Roman"/>
          <w:bCs/>
          <w:iCs/>
        </w:rPr>
        <w:t>)</w:t>
      </w:r>
      <w:r w:rsidR="00C97FDE" w:rsidRPr="003D3598">
        <w:rPr>
          <w:rFonts w:ascii="Times New Roman" w:hAnsi="Times New Roman" w:cs="Times New Roman"/>
          <w:bCs/>
          <w:iCs/>
        </w:rPr>
        <w:t xml:space="preserve">. </w:t>
      </w:r>
      <w:proofErr w:type="spellStart"/>
      <w:r w:rsidR="00C97FDE" w:rsidRPr="003D3598">
        <w:rPr>
          <w:rFonts w:ascii="Times New Roman" w:hAnsi="Times New Roman" w:cs="Times New Roman"/>
        </w:rPr>
        <w:t>Koballa</w:t>
      </w:r>
      <w:proofErr w:type="spellEnd"/>
      <w:r w:rsidR="00C97FDE" w:rsidRPr="003D3598">
        <w:rPr>
          <w:rFonts w:ascii="Times New Roman" w:hAnsi="Times New Roman" w:cs="Times New Roman"/>
        </w:rPr>
        <w:t xml:space="preserve"> and Glynn (2007) provide evidence that s</w:t>
      </w:r>
      <w:r w:rsidRPr="003D3598">
        <w:rPr>
          <w:rFonts w:ascii="Times New Roman" w:hAnsi="Times New Roman" w:cs="Times New Roman"/>
        </w:rPr>
        <w:t>eeing science and related STEM content as relevant is a strong indicator of whether youth will become engaged and persi</w:t>
      </w:r>
      <w:r w:rsidR="00C97FDE" w:rsidRPr="003D3598">
        <w:rPr>
          <w:rFonts w:ascii="Times New Roman" w:hAnsi="Times New Roman" w:cs="Times New Roman"/>
        </w:rPr>
        <w:t xml:space="preserve">st in </w:t>
      </w:r>
      <w:r w:rsidR="00057029" w:rsidRPr="003D3598">
        <w:rPr>
          <w:rFonts w:ascii="Times New Roman" w:hAnsi="Times New Roman" w:cs="Times New Roman"/>
        </w:rPr>
        <w:t>science</w:t>
      </w:r>
      <w:r w:rsidRPr="003D3598">
        <w:rPr>
          <w:rFonts w:ascii="Times New Roman" w:hAnsi="Times New Roman" w:cs="Times New Roman"/>
        </w:rPr>
        <w:t xml:space="preserve">. </w:t>
      </w:r>
      <w:r w:rsidR="000C65AE" w:rsidRPr="003D3598">
        <w:rPr>
          <w:rFonts w:ascii="Times New Roman" w:hAnsi="Times New Roman" w:cs="Times New Roman"/>
        </w:rPr>
        <w:t>Making content relevant is often framed as an important feature of instructional design aimed at enhancing student motivation and engagement (</w:t>
      </w:r>
      <w:r w:rsidR="00C97FDE" w:rsidRPr="003D3598">
        <w:rPr>
          <w:rFonts w:ascii="Times New Roman" w:hAnsi="Times New Roman" w:cs="Times New Roman"/>
        </w:rPr>
        <w:t>Clegg &amp; Kolodner, 2013; Keller, 1987)</w:t>
      </w:r>
      <w:r w:rsidR="00BC14FF" w:rsidRPr="003D3598">
        <w:rPr>
          <w:rFonts w:ascii="Times New Roman" w:hAnsi="Times New Roman" w:cs="Times New Roman"/>
        </w:rPr>
        <w:t xml:space="preserve"> and some have argued that it is the most effective of all strategies for triggering and sustaining student engagement (</w:t>
      </w:r>
      <w:proofErr w:type="spellStart"/>
      <w:r w:rsidR="00BC14FF" w:rsidRPr="003D3598">
        <w:rPr>
          <w:rFonts w:ascii="Times New Roman" w:hAnsi="Times New Roman" w:cs="Times New Roman"/>
        </w:rPr>
        <w:t>Assor</w:t>
      </w:r>
      <w:proofErr w:type="spellEnd"/>
      <w:r w:rsidR="00EC7063">
        <w:rPr>
          <w:rFonts w:ascii="Times New Roman" w:hAnsi="Times New Roman" w:cs="Times New Roman"/>
        </w:rPr>
        <w:t xml:space="preserve"> et al.</w:t>
      </w:r>
      <w:r w:rsidR="00BC14FF" w:rsidRPr="003D3598">
        <w:rPr>
          <w:rFonts w:ascii="Times New Roman" w:hAnsi="Times New Roman" w:cs="Times New Roman"/>
        </w:rPr>
        <w:t>, 2002).</w:t>
      </w:r>
      <w:r w:rsidR="00BA4528">
        <w:rPr>
          <w:rFonts w:ascii="Times New Roman" w:hAnsi="Times New Roman" w:cs="Times New Roman"/>
        </w:rPr>
        <w:t xml:space="preserve"> OST programs often have greater freedom than formal classrooms to provide youth with authentic and meaningful STEM</w:t>
      </w:r>
      <w:r w:rsidR="002C05EC">
        <w:rPr>
          <w:rFonts w:ascii="Times New Roman" w:hAnsi="Times New Roman" w:cs="Times New Roman"/>
        </w:rPr>
        <w:t xml:space="preserve"> </w:t>
      </w:r>
      <w:r w:rsidR="00E0595C" w:rsidRPr="003D3598">
        <w:rPr>
          <w:rFonts w:ascii="Times New Roman" w:hAnsi="Times New Roman" w:cs="Times New Roman"/>
        </w:rPr>
        <w:t xml:space="preserve"> </w:t>
      </w:r>
      <w:r w:rsidR="00BA4528">
        <w:rPr>
          <w:rFonts w:ascii="Times New Roman" w:hAnsi="Times New Roman" w:cs="Times New Roman"/>
        </w:rPr>
        <w:t xml:space="preserve">learning experiences (Rennie, 2014), and it is important to assess the extent to which perceived relevance fosters engagement in these settings. </w:t>
      </w:r>
    </w:p>
    <w:p w14:paraId="1A7DB2FD" w14:textId="00BC5714" w:rsidR="00D65987" w:rsidRPr="003D3598" w:rsidRDefault="00D65987"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b/>
          <w:bCs/>
          <w:iCs/>
        </w:rPr>
        <w:t>Affordances for learning</w:t>
      </w:r>
      <w:r w:rsidR="00A7469B" w:rsidRPr="003D3598">
        <w:rPr>
          <w:rFonts w:ascii="Times New Roman" w:hAnsi="Times New Roman" w:cs="Times New Roman"/>
          <w:b/>
          <w:bCs/>
          <w:iCs/>
        </w:rPr>
        <w:t xml:space="preserve"> and skill development</w:t>
      </w:r>
      <w:r w:rsidRPr="003D3598">
        <w:rPr>
          <w:rFonts w:ascii="Times New Roman" w:hAnsi="Times New Roman" w:cs="Times New Roman"/>
          <w:b/>
          <w:bCs/>
        </w:rPr>
        <w:t>.</w:t>
      </w:r>
      <w:r w:rsidR="00E0595C" w:rsidRPr="003D3598">
        <w:rPr>
          <w:rFonts w:ascii="Times New Roman" w:hAnsi="Times New Roman" w:cs="Times New Roman"/>
          <w:b/>
          <w:bCs/>
        </w:rPr>
        <w:t xml:space="preserve"> </w:t>
      </w:r>
      <w:r w:rsidR="00766B9D" w:rsidRPr="003D3598">
        <w:rPr>
          <w:rFonts w:ascii="Times New Roman" w:hAnsi="Times New Roman" w:cs="Times New Roman"/>
          <w:bCs/>
        </w:rPr>
        <w:t xml:space="preserve">One of the primary ways that the </w:t>
      </w:r>
      <w:r w:rsidR="00824DAF" w:rsidRPr="003D3598">
        <w:rPr>
          <w:rFonts w:ascii="Times New Roman" w:hAnsi="Times New Roman" w:cs="Times New Roman"/>
          <w:bCs/>
        </w:rPr>
        <w:t xml:space="preserve">OST </w:t>
      </w:r>
      <w:r w:rsidR="00766B9D" w:rsidRPr="003D3598">
        <w:rPr>
          <w:rFonts w:ascii="Times New Roman" w:hAnsi="Times New Roman" w:cs="Times New Roman"/>
          <w:bCs/>
        </w:rPr>
        <w:t xml:space="preserve">programs of interest to this study differ from traditional classrooms is that the OST programs tend to be </w:t>
      </w:r>
      <w:r w:rsidR="00963F46" w:rsidRPr="003D3598">
        <w:rPr>
          <w:rFonts w:ascii="Times New Roman" w:hAnsi="Times New Roman" w:cs="Times New Roman"/>
          <w:bCs/>
        </w:rPr>
        <w:t xml:space="preserve">more focused on </w:t>
      </w:r>
      <w:r w:rsidR="000E08DE">
        <w:rPr>
          <w:rFonts w:ascii="Times New Roman" w:hAnsi="Times New Roman" w:cs="Times New Roman"/>
          <w:bCs/>
        </w:rPr>
        <w:t xml:space="preserve">building positive relationships through activities that are interactive and fun, while </w:t>
      </w:r>
      <w:r w:rsidR="00963F46" w:rsidRPr="003D3598">
        <w:rPr>
          <w:rFonts w:ascii="Times New Roman" w:hAnsi="Times New Roman" w:cs="Times New Roman"/>
          <w:bCs/>
        </w:rPr>
        <w:t>exposing youth to new settings and content</w:t>
      </w:r>
      <w:r w:rsidR="003C3B91" w:rsidRPr="003D3598">
        <w:rPr>
          <w:rFonts w:ascii="Times New Roman" w:hAnsi="Times New Roman" w:cs="Times New Roman"/>
          <w:bCs/>
        </w:rPr>
        <w:t xml:space="preserve"> </w:t>
      </w:r>
      <w:r w:rsidR="000E08DE">
        <w:rPr>
          <w:rFonts w:ascii="Times New Roman" w:hAnsi="Times New Roman" w:cs="Times New Roman"/>
          <w:bCs/>
        </w:rPr>
        <w:t xml:space="preserve">in an environment that is largely free of formal assessment. </w:t>
      </w:r>
      <w:r w:rsidR="00030A8D" w:rsidRPr="003D3598">
        <w:rPr>
          <w:rFonts w:ascii="Times New Roman" w:hAnsi="Times New Roman" w:cs="Times New Roman"/>
          <w:bCs/>
        </w:rPr>
        <w:t>These distinguishing characteristics of OST programs present</w:t>
      </w:r>
      <w:r w:rsidR="00FA026E" w:rsidRPr="003D3598">
        <w:rPr>
          <w:rFonts w:ascii="Times New Roman" w:hAnsi="Times New Roman" w:cs="Times New Roman"/>
          <w:bCs/>
        </w:rPr>
        <w:t xml:space="preserve"> </w:t>
      </w:r>
      <w:r w:rsidR="000E08DE">
        <w:rPr>
          <w:rFonts w:ascii="Times New Roman" w:hAnsi="Times New Roman" w:cs="Times New Roman"/>
          <w:bCs/>
        </w:rPr>
        <w:t>both</w:t>
      </w:r>
      <w:r w:rsidR="00FA026E" w:rsidRPr="003D3598">
        <w:rPr>
          <w:rFonts w:ascii="Times New Roman" w:hAnsi="Times New Roman" w:cs="Times New Roman"/>
          <w:bCs/>
        </w:rPr>
        <w:t xml:space="preserve"> challenges and opportunities for learning. </w:t>
      </w:r>
      <w:r w:rsidR="001876FA" w:rsidRPr="003D3598">
        <w:rPr>
          <w:rFonts w:ascii="Times New Roman" w:hAnsi="Times New Roman" w:cs="Times New Roman"/>
          <w:bCs/>
        </w:rPr>
        <w:t xml:space="preserve">The </w:t>
      </w:r>
      <w:r w:rsidR="00FA026E" w:rsidRPr="003D3598">
        <w:rPr>
          <w:rFonts w:ascii="Times New Roman" w:hAnsi="Times New Roman" w:cs="Times New Roman"/>
          <w:bCs/>
        </w:rPr>
        <w:t xml:space="preserve">potential </w:t>
      </w:r>
      <w:r w:rsidR="001876FA" w:rsidRPr="003D3598">
        <w:rPr>
          <w:rFonts w:ascii="Times New Roman" w:hAnsi="Times New Roman" w:cs="Times New Roman"/>
          <w:bCs/>
        </w:rPr>
        <w:t xml:space="preserve">challenge to integrating these features in programming is that one runs the risk of having significant portions of program time where students are entertained but not necessarily learning anything new or developing skills. </w:t>
      </w:r>
      <w:r w:rsidR="00D10CB4" w:rsidRPr="003D3598">
        <w:rPr>
          <w:rFonts w:ascii="Times New Roman" w:hAnsi="Times New Roman" w:cs="Times New Roman"/>
          <w:bCs/>
        </w:rPr>
        <w:t>On the other hand</w:t>
      </w:r>
      <w:r w:rsidR="00FA026E" w:rsidRPr="003D3598">
        <w:rPr>
          <w:rFonts w:ascii="Times New Roman" w:hAnsi="Times New Roman" w:cs="Times New Roman"/>
          <w:bCs/>
        </w:rPr>
        <w:t xml:space="preserve">, the opportunity afforded by this focus is that programs </w:t>
      </w:r>
      <w:r w:rsidR="00D10CB4" w:rsidRPr="003D3598">
        <w:rPr>
          <w:rFonts w:ascii="Times New Roman" w:hAnsi="Times New Roman" w:cs="Times New Roman"/>
          <w:bCs/>
        </w:rPr>
        <w:t>are</w:t>
      </w:r>
      <w:r w:rsidR="00FA026E" w:rsidRPr="003D3598">
        <w:rPr>
          <w:rFonts w:ascii="Times New Roman" w:hAnsi="Times New Roman" w:cs="Times New Roman"/>
          <w:bCs/>
        </w:rPr>
        <w:t xml:space="preserve"> able to introduce youth to new concepts and settings through field experiences</w:t>
      </w:r>
      <w:r w:rsidR="00D10CB4" w:rsidRPr="003D3598">
        <w:rPr>
          <w:rFonts w:ascii="Times New Roman" w:hAnsi="Times New Roman" w:cs="Times New Roman"/>
          <w:bCs/>
        </w:rPr>
        <w:t xml:space="preserve"> at locations</w:t>
      </w:r>
      <w:r w:rsidR="009216F3" w:rsidRPr="003D3598">
        <w:rPr>
          <w:rFonts w:ascii="Times New Roman" w:hAnsi="Times New Roman" w:cs="Times New Roman"/>
          <w:bCs/>
        </w:rPr>
        <w:t xml:space="preserve"> such as</w:t>
      </w:r>
      <w:r w:rsidR="00D10CB4" w:rsidRPr="003D3598">
        <w:rPr>
          <w:rFonts w:ascii="Times New Roman" w:hAnsi="Times New Roman" w:cs="Times New Roman"/>
          <w:bCs/>
        </w:rPr>
        <w:t xml:space="preserve"> wetlands or zoos</w:t>
      </w:r>
      <w:r w:rsidR="00830AB2" w:rsidRPr="003D3598">
        <w:rPr>
          <w:rFonts w:ascii="Times New Roman" w:hAnsi="Times New Roman" w:cs="Times New Roman"/>
          <w:bCs/>
        </w:rPr>
        <w:t>. These settings</w:t>
      </w:r>
      <w:r w:rsidR="00D10CB4" w:rsidRPr="003D3598">
        <w:rPr>
          <w:rFonts w:ascii="Times New Roman" w:hAnsi="Times New Roman" w:cs="Times New Roman"/>
          <w:bCs/>
        </w:rPr>
        <w:t xml:space="preserve"> may feel less like traditional learning environments</w:t>
      </w:r>
      <w:r w:rsidR="00830AB2" w:rsidRPr="003D3598">
        <w:rPr>
          <w:rFonts w:ascii="Times New Roman" w:hAnsi="Times New Roman" w:cs="Times New Roman"/>
          <w:bCs/>
        </w:rPr>
        <w:t>, even though they</w:t>
      </w:r>
      <w:r w:rsidR="00E55E5B" w:rsidRPr="003D3598">
        <w:rPr>
          <w:rFonts w:ascii="Times New Roman" w:hAnsi="Times New Roman" w:cs="Times New Roman"/>
          <w:bCs/>
        </w:rPr>
        <w:t xml:space="preserve"> </w:t>
      </w:r>
      <w:r w:rsidR="00830AB2" w:rsidRPr="003D3598">
        <w:rPr>
          <w:rFonts w:ascii="Times New Roman" w:hAnsi="Times New Roman" w:cs="Times New Roman"/>
          <w:bCs/>
        </w:rPr>
        <w:t>provide considerable educational opportunities</w:t>
      </w:r>
      <w:r w:rsidR="00D10CB4" w:rsidRPr="003D3598">
        <w:rPr>
          <w:rFonts w:ascii="Times New Roman" w:hAnsi="Times New Roman" w:cs="Times New Roman"/>
          <w:bCs/>
        </w:rPr>
        <w:t>.</w:t>
      </w:r>
      <w:r w:rsidR="00FA026E" w:rsidRPr="003D3598">
        <w:rPr>
          <w:rFonts w:ascii="Times New Roman" w:hAnsi="Times New Roman" w:cs="Times New Roman"/>
          <w:bCs/>
        </w:rPr>
        <w:t xml:space="preserve"> </w:t>
      </w:r>
      <w:r w:rsidR="00D10CB4" w:rsidRPr="003D3598">
        <w:rPr>
          <w:rFonts w:ascii="Times New Roman" w:hAnsi="Times New Roman" w:cs="Times New Roman"/>
          <w:bCs/>
        </w:rPr>
        <w:t xml:space="preserve">The extent to which youth perceive the activities in the programs as opportunities to learn is not clear. </w:t>
      </w:r>
      <w:r w:rsidR="001876FA" w:rsidRPr="003D3598">
        <w:rPr>
          <w:rFonts w:ascii="Times New Roman" w:hAnsi="Times New Roman" w:cs="Times New Roman"/>
          <w:bCs/>
        </w:rPr>
        <w:t xml:space="preserve">It is </w:t>
      </w:r>
      <w:r w:rsidR="00D10CB4" w:rsidRPr="003D3598">
        <w:rPr>
          <w:rFonts w:ascii="Times New Roman" w:hAnsi="Times New Roman" w:cs="Times New Roman"/>
          <w:bCs/>
        </w:rPr>
        <w:t xml:space="preserve">also </w:t>
      </w:r>
      <w:r w:rsidR="000E08DE">
        <w:rPr>
          <w:rFonts w:ascii="Times New Roman" w:hAnsi="Times New Roman" w:cs="Times New Roman"/>
          <w:bCs/>
        </w:rPr>
        <w:t>an open question</w:t>
      </w:r>
      <w:r w:rsidR="001876FA" w:rsidRPr="003D3598">
        <w:rPr>
          <w:rFonts w:ascii="Times New Roman" w:hAnsi="Times New Roman" w:cs="Times New Roman"/>
          <w:bCs/>
        </w:rPr>
        <w:t xml:space="preserve"> whether the perception that a given activity affords the opportunity to learn something new or develop a skill would foster greater engagement </w:t>
      </w:r>
      <w:r w:rsidR="007037D6" w:rsidRPr="003D3598">
        <w:rPr>
          <w:rFonts w:ascii="Times New Roman" w:hAnsi="Times New Roman" w:cs="Times New Roman"/>
          <w:bCs/>
        </w:rPr>
        <w:t xml:space="preserve">in </w:t>
      </w:r>
      <w:r w:rsidR="00D10CB4" w:rsidRPr="003D3598">
        <w:rPr>
          <w:rFonts w:ascii="Times New Roman" w:hAnsi="Times New Roman" w:cs="Times New Roman"/>
          <w:bCs/>
        </w:rPr>
        <w:t>this less formal environment</w:t>
      </w:r>
      <w:r w:rsidR="001876FA" w:rsidRPr="003D3598">
        <w:rPr>
          <w:rFonts w:ascii="Times New Roman" w:hAnsi="Times New Roman" w:cs="Times New Roman"/>
          <w:bCs/>
        </w:rPr>
        <w:t>. Research suggests that novelty (i.e., learning something new</w:t>
      </w:r>
      <w:r w:rsidR="00830AB2" w:rsidRPr="003D3598">
        <w:rPr>
          <w:rFonts w:ascii="Times New Roman" w:hAnsi="Times New Roman" w:cs="Times New Roman"/>
          <w:bCs/>
        </w:rPr>
        <w:t>, experiencing or seeing something for the first time, perceiving something unexpected</w:t>
      </w:r>
      <w:r w:rsidR="001876FA" w:rsidRPr="003D3598">
        <w:rPr>
          <w:rFonts w:ascii="Times New Roman" w:hAnsi="Times New Roman" w:cs="Times New Roman"/>
          <w:bCs/>
        </w:rPr>
        <w:t>) is also an important feature of activities that generate interest and engagement (Silv</w:t>
      </w:r>
      <w:r w:rsidR="00670FF0" w:rsidRPr="003D3598">
        <w:rPr>
          <w:rFonts w:ascii="Times New Roman" w:hAnsi="Times New Roman" w:cs="Times New Roman"/>
          <w:bCs/>
        </w:rPr>
        <w:t>i</w:t>
      </w:r>
      <w:r w:rsidR="001876FA" w:rsidRPr="003D3598">
        <w:rPr>
          <w:rFonts w:ascii="Times New Roman" w:hAnsi="Times New Roman" w:cs="Times New Roman"/>
          <w:bCs/>
        </w:rPr>
        <w:t>a, 2006</w:t>
      </w:r>
      <w:r w:rsidR="00EC7063">
        <w:rPr>
          <w:rFonts w:ascii="Times New Roman" w:hAnsi="Times New Roman" w:cs="Times New Roman"/>
          <w:bCs/>
        </w:rPr>
        <w:t>;</w:t>
      </w:r>
      <w:r w:rsidR="001876FA" w:rsidRPr="003D3598">
        <w:rPr>
          <w:rFonts w:ascii="Times New Roman" w:hAnsi="Times New Roman" w:cs="Times New Roman"/>
          <w:bCs/>
        </w:rPr>
        <w:t xml:space="preserve"> 2010).</w:t>
      </w:r>
      <w:r w:rsidR="00830AB2" w:rsidRPr="003D3598">
        <w:rPr>
          <w:rFonts w:ascii="Times New Roman" w:hAnsi="Times New Roman" w:cs="Times New Roman"/>
          <w:bCs/>
        </w:rPr>
        <w:t xml:space="preserve"> </w:t>
      </w:r>
    </w:p>
    <w:p w14:paraId="5A2CC705" w14:textId="217AE12D" w:rsidR="00D65987" w:rsidRPr="003D3598" w:rsidRDefault="000B0FD3" w:rsidP="00A73422">
      <w:pPr>
        <w:widowControl w:val="0"/>
        <w:autoSpaceDE w:val="0"/>
        <w:autoSpaceDN w:val="0"/>
        <w:adjustRightInd w:val="0"/>
        <w:spacing w:after="240"/>
        <w:contextualSpacing/>
        <w:rPr>
          <w:rFonts w:ascii="Times New Roman" w:hAnsi="Times New Roman" w:cs="Times New Roman"/>
          <w:b/>
        </w:rPr>
      </w:pPr>
      <w:r w:rsidRPr="003D3598">
        <w:rPr>
          <w:rFonts w:ascii="Times New Roman" w:hAnsi="Times New Roman" w:cs="Times New Roman"/>
          <w:b/>
        </w:rPr>
        <w:t xml:space="preserve">The Role of </w:t>
      </w:r>
      <w:r w:rsidR="00112686" w:rsidRPr="003D3598">
        <w:rPr>
          <w:rFonts w:ascii="Times New Roman" w:hAnsi="Times New Roman" w:cs="Times New Roman"/>
          <w:b/>
        </w:rPr>
        <w:t>Youth Characteristics</w:t>
      </w:r>
      <w:r w:rsidR="00F240CD">
        <w:rPr>
          <w:rFonts w:ascii="Times New Roman" w:hAnsi="Times New Roman" w:cs="Times New Roman"/>
          <w:b/>
        </w:rPr>
        <w:t>: Perceived Competence and Gender</w:t>
      </w:r>
      <w:r w:rsidR="001876FA" w:rsidRPr="003D3598">
        <w:rPr>
          <w:rFonts w:ascii="Times New Roman" w:hAnsi="Times New Roman" w:cs="Times New Roman"/>
          <w:b/>
        </w:rPr>
        <w:t xml:space="preserve"> </w:t>
      </w:r>
    </w:p>
    <w:p w14:paraId="104F758D" w14:textId="0DC18145" w:rsidR="003B10CC" w:rsidRPr="003D3598" w:rsidRDefault="00882000" w:rsidP="00A73422">
      <w:pPr>
        <w:widowControl w:val="0"/>
        <w:autoSpaceDE w:val="0"/>
        <w:autoSpaceDN w:val="0"/>
        <w:adjustRightInd w:val="0"/>
        <w:spacing w:after="240"/>
        <w:ind w:firstLine="720"/>
        <w:contextualSpacing/>
        <w:rPr>
          <w:rFonts w:ascii="Times New Roman" w:hAnsi="Times New Roman" w:cs="Times New Roman"/>
        </w:rPr>
      </w:pPr>
      <w:r w:rsidRPr="003D3598">
        <w:rPr>
          <w:rFonts w:ascii="Times New Roman" w:hAnsi="Times New Roman" w:cs="Times New Roman"/>
        </w:rPr>
        <w:t>Youth experiences in STEM</w:t>
      </w:r>
      <w:r w:rsidR="00D10CB4" w:rsidRPr="003D3598">
        <w:rPr>
          <w:rFonts w:ascii="Times New Roman" w:hAnsi="Times New Roman" w:cs="Times New Roman"/>
        </w:rPr>
        <w:t>-focused</w:t>
      </w:r>
      <w:r w:rsidRPr="003D3598">
        <w:rPr>
          <w:rFonts w:ascii="Times New Roman" w:hAnsi="Times New Roman" w:cs="Times New Roman"/>
        </w:rPr>
        <w:t xml:space="preserve"> </w:t>
      </w:r>
      <w:r w:rsidR="00D10CB4" w:rsidRPr="003D3598">
        <w:rPr>
          <w:rFonts w:ascii="Times New Roman" w:hAnsi="Times New Roman" w:cs="Times New Roman"/>
        </w:rPr>
        <w:t>summer programs</w:t>
      </w:r>
      <w:r w:rsidRPr="003D3598">
        <w:rPr>
          <w:rFonts w:ascii="Times New Roman" w:hAnsi="Times New Roman" w:cs="Times New Roman"/>
        </w:rPr>
        <w:t xml:space="preserve"> likely depend to some extent on </w:t>
      </w:r>
      <w:r w:rsidR="001664AF" w:rsidRPr="003D3598">
        <w:rPr>
          <w:rFonts w:ascii="Times New Roman" w:hAnsi="Times New Roman" w:cs="Times New Roman"/>
        </w:rPr>
        <w:t>youths’ characteristics</w:t>
      </w:r>
      <w:r w:rsidR="00787866" w:rsidRPr="003D3598">
        <w:rPr>
          <w:rFonts w:ascii="Times New Roman" w:hAnsi="Times New Roman" w:cs="Times New Roman"/>
        </w:rPr>
        <w:t xml:space="preserve"> when they enter the program,</w:t>
      </w:r>
      <w:r w:rsidR="001664AF" w:rsidRPr="003D3598">
        <w:rPr>
          <w:rFonts w:ascii="Times New Roman" w:hAnsi="Times New Roman" w:cs="Times New Roman"/>
        </w:rPr>
        <w:t xml:space="preserve"> such as </w:t>
      </w:r>
      <w:r w:rsidR="00787866" w:rsidRPr="003D3598">
        <w:rPr>
          <w:rFonts w:ascii="Times New Roman" w:hAnsi="Times New Roman" w:cs="Times New Roman"/>
        </w:rPr>
        <w:t xml:space="preserve">their </w:t>
      </w:r>
      <w:r w:rsidRPr="003D3598">
        <w:rPr>
          <w:rFonts w:ascii="Times New Roman" w:hAnsi="Times New Roman" w:cs="Times New Roman"/>
        </w:rPr>
        <w:t xml:space="preserve">beliefs about their own competence in the domain. Youth </w:t>
      </w:r>
      <w:r w:rsidR="008A2679" w:rsidRPr="003D3598">
        <w:rPr>
          <w:rFonts w:ascii="Times New Roman" w:hAnsi="Times New Roman" w:cs="Times New Roman"/>
        </w:rPr>
        <w:t>who enter a program believing that they are highly competent</w:t>
      </w:r>
      <w:r w:rsidR="00787866" w:rsidRPr="003D3598">
        <w:rPr>
          <w:rFonts w:ascii="Times New Roman" w:hAnsi="Times New Roman" w:cs="Times New Roman"/>
        </w:rPr>
        <w:t xml:space="preserve"> in STEM areas</w:t>
      </w:r>
      <w:r w:rsidR="008A2679" w:rsidRPr="003D3598">
        <w:rPr>
          <w:rFonts w:ascii="Times New Roman" w:hAnsi="Times New Roman" w:cs="Times New Roman"/>
        </w:rPr>
        <w:t xml:space="preserve"> </w:t>
      </w:r>
      <w:r w:rsidR="00913E51" w:rsidRPr="003D3598">
        <w:rPr>
          <w:rFonts w:ascii="Times New Roman" w:hAnsi="Times New Roman" w:cs="Times New Roman"/>
        </w:rPr>
        <w:t xml:space="preserve">may </w:t>
      </w:r>
      <w:r w:rsidR="000B0FD3" w:rsidRPr="003D3598">
        <w:rPr>
          <w:rFonts w:ascii="Times New Roman" w:hAnsi="Times New Roman" w:cs="Times New Roman"/>
        </w:rPr>
        <w:t xml:space="preserve">have the confidence to engage more fully in STEM activities. They may </w:t>
      </w:r>
      <w:r w:rsidR="00913E51" w:rsidRPr="003D3598">
        <w:rPr>
          <w:rFonts w:ascii="Times New Roman" w:hAnsi="Times New Roman" w:cs="Times New Roman"/>
        </w:rPr>
        <w:t>be</w:t>
      </w:r>
      <w:r w:rsidR="00CD1473" w:rsidRPr="003D3598">
        <w:rPr>
          <w:rFonts w:ascii="Times New Roman" w:hAnsi="Times New Roman" w:cs="Times New Roman"/>
        </w:rPr>
        <w:t xml:space="preserve"> more </w:t>
      </w:r>
      <w:r w:rsidR="00A00B3F" w:rsidRPr="003D3598">
        <w:rPr>
          <w:rFonts w:ascii="Times New Roman" w:hAnsi="Times New Roman" w:cs="Times New Roman"/>
        </w:rPr>
        <w:t xml:space="preserve">likely </w:t>
      </w:r>
      <w:r w:rsidR="00913E51" w:rsidRPr="003D3598">
        <w:rPr>
          <w:rFonts w:ascii="Times New Roman" w:hAnsi="Times New Roman" w:cs="Times New Roman"/>
        </w:rPr>
        <w:t xml:space="preserve">to </w:t>
      </w:r>
      <w:r w:rsidRPr="003D3598">
        <w:rPr>
          <w:rFonts w:ascii="Times New Roman" w:hAnsi="Times New Roman" w:cs="Times New Roman"/>
        </w:rPr>
        <w:t xml:space="preserve">embrace the challenges inherent </w:t>
      </w:r>
      <w:r w:rsidR="00787866" w:rsidRPr="003D3598">
        <w:rPr>
          <w:rFonts w:ascii="Times New Roman" w:hAnsi="Times New Roman" w:cs="Times New Roman"/>
        </w:rPr>
        <w:t>in</w:t>
      </w:r>
      <w:r w:rsidRPr="003D3598">
        <w:rPr>
          <w:rFonts w:ascii="Times New Roman" w:hAnsi="Times New Roman" w:cs="Times New Roman"/>
        </w:rPr>
        <w:t xml:space="preserve"> </w:t>
      </w:r>
      <w:r w:rsidR="00913E51" w:rsidRPr="003D3598">
        <w:rPr>
          <w:rFonts w:ascii="Times New Roman" w:hAnsi="Times New Roman" w:cs="Times New Roman"/>
        </w:rPr>
        <w:t>STEM-focused OST activities</w:t>
      </w:r>
      <w:r w:rsidRPr="003D3598">
        <w:rPr>
          <w:rFonts w:ascii="Times New Roman" w:hAnsi="Times New Roman" w:cs="Times New Roman"/>
        </w:rPr>
        <w:t xml:space="preserve">, and </w:t>
      </w:r>
      <w:r w:rsidR="00913E51" w:rsidRPr="003D3598">
        <w:rPr>
          <w:rFonts w:ascii="Times New Roman" w:hAnsi="Times New Roman" w:cs="Times New Roman"/>
        </w:rPr>
        <w:t xml:space="preserve">may </w:t>
      </w:r>
      <w:r w:rsidR="00A00B3F" w:rsidRPr="003D3598">
        <w:rPr>
          <w:rFonts w:ascii="Times New Roman" w:hAnsi="Times New Roman" w:cs="Times New Roman"/>
        </w:rPr>
        <w:t xml:space="preserve">also </w:t>
      </w:r>
      <w:r w:rsidRPr="003D3598">
        <w:rPr>
          <w:rFonts w:ascii="Times New Roman" w:hAnsi="Times New Roman" w:cs="Times New Roman"/>
        </w:rPr>
        <w:t>employ a wider range of learning strategies in</w:t>
      </w:r>
      <w:r w:rsidR="008A2679" w:rsidRPr="003D3598">
        <w:rPr>
          <w:rFonts w:ascii="Times New Roman" w:hAnsi="Times New Roman" w:cs="Times New Roman"/>
        </w:rPr>
        <w:t xml:space="preserve"> </w:t>
      </w:r>
      <w:r w:rsidR="00354743">
        <w:rPr>
          <w:rFonts w:ascii="Times New Roman" w:hAnsi="Times New Roman" w:cs="Times New Roman"/>
        </w:rPr>
        <w:t xml:space="preserve">program </w:t>
      </w:r>
      <w:r w:rsidR="008A2679" w:rsidRPr="003D3598">
        <w:rPr>
          <w:rFonts w:ascii="Times New Roman" w:hAnsi="Times New Roman" w:cs="Times New Roman"/>
        </w:rPr>
        <w:t>activit</w:t>
      </w:r>
      <w:r w:rsidR="00354743">
        <w:rPr>
          <w:rFonts w:ascii="Times New Roman" w:hAnsi="Times New Roman" w:cs="Times New Roman"/>
        </w:rPr>
        <w:t>ies</w:t>
      </w:r>
      <w:r w:rsidR="001876FA" w:rsidRPr="003D3598">
        <w:rPr>
          <w:rFonts w:ascii="Times New Roman" w:hAnsi="Times New Roman" w:cs="Times New Roman"/>
        </w:rPr>
        <w:t>.</w:t>
      </w:r>
      <w:r w:rsidR="00E0595C" w:rsidRPr="003D3598">
        <w:rPr>
          <w:rFonts w:ascii="Times New Roman" w:hAnsi="Times New Roman" w:cs="Times New Roman"/>
        </w:rPr>
        <w:t xml:space="preserve"> </w:t>
      </w:r>
    </w:p>
    <w:p w14:paraId="6FF3042F" w14:textId="1ACF5736" w:rsidR="00102849" w:rsidRPr="003D3598" w:rsidRDefault="003B10CC" w:rsidP="00A73422">
      <w:pPr>
        <w:widowControl w:val="0"/>
        <w:autoSpaceDE w:val="0"/>
        <w:autoSpaceDN w:val="0"/>
        <w:adjustRightInd w:val="0"/>
        <w:spacing w:after="240"/>
        <w:ind w:firstLine="720"/>
        <w:contextualSpacing/>
        <w:rPr>
          <w:rFonts w:ascii="Times New Roman" w:hAnsi="Times New Roman" w:cs="Times New Roman"/>
        </w:rPr>
      </w:pPr>
      <w:r w:rsidRPr="003D3598">
        <w:rPr>
          <w:rFonts w:ascii="Times New Roman" w:hAnsi="Times New Roman" w:cs="Times New Roman"/>
        </w:rPr>
        <w:t xml:space="preserve">Due to socialization and persistent stereotypes about </w:t>
      </w:r>
      <w:r w:rsidR="00D713E4" w:rsidRPr="003D3598">
        <w:rPr>
          <w:rFonts w:ascii="Times New Roman" w:hAnsi="Times New Roman" w:cs="Times New Roman"/>
        </w:rPr>
        <w:t xml:space="preserve">who </w:t>
      </w:r>
      <w:r w:rsidR="00EC7063">
        <w:rPr>
          <w:rFonts w:ascii="Times New Roman" w:hAnsi="Times New Roman" w:cs="Times New Roman"/>
        </w:rPr>
        <w:t>participates in</w:t>
      </w:r>
      <w:r w:rsidR="00D713E4" w:rsidRPr="003D3598">
        <w:rPr>
          <w:rFonts w:ascii="Times New Roman" w:hAnsi="Times New Roman" w:cs="Times New Roman"/>
        </w:rPr>
        <w:t xml:space="preserve"> STEM, we may also see variation in engagement patterns by students’ demographic characteristics. </w:t>
      </w:r>
      <w:r w:rsidR="00354743">
        <w:rPr>
          <w:rFonts w:ascii="Times New Roman" w:hAnsi="Times New Roman" w:cs="Times New Roman"/>
        </w:rPr>
        <w:t>Women and girls</w:t>
      </w:r>
      <w:r w:rsidR="00D713E4" w:rsidRPr="003D3598">
        <w:rPr>
          <w:rFonts w:ascii="Times New Roman" w:hAnsi="Times New Roman" w:cs="Times New Roman"/>
        </w:rPr>
        <w:t xml:space="preserve"> continue to be underrepresented in many STEM fields, </w:t>
      </w:r>
      <w:r w:rsidR="0029743D" w:rsidRPr="003D3598">
        <w:rPr>
          <w:rFonts w:ascii="Times New Roman" w:hAnsi="Times New Roman" w:cs="Times New Roman"/>
        </w:rPr>
        <w:t>and gender-related stereotypes about ability and interest in STEM persist. W</w:t>
      </w:r>
      <w:r w:rsidR="00D713E4" w:rsidRPr="003D3598">
        <w:rPr>
          <w:rFonts w:ascii="Times New Roman" w:hAnsi="Times New Roman" w:cs="Times New Roman"/>
        </w:rPr>
        <w:t xml:space="preserve">omen and girls </w:t>
      </w:r>
      <w:r w:rsidR="0029743D" w:rsidRPr="003D3598">
        <w:rPr>
          <w:rFonts w:ascii="Times New Roman" w:hAnsi="Times New Roman" w:cs="Times New Roman"/>
        </w:rPr>
        <w:t>feel less competent in STEM subject areas</w:t>
      </w:r>
      <w:r w:rsidR="00EC7063">
        <w:rPr>
          <w:rFonts w:ascii="Times New Roman" w:hAnsi="Times New Roman" w:cs="Times New Roman"/>
        </w:rPr>
        <w:t xml:space="preserve"> – despite </w:t>
      </w:r>
      <w:r w:rsidR="00D10CB4" w:rsidRPr="003D3598">
        <w:rPr>
          <w:rFonts w:ascii="Times New Roman" w:hAnsi="Times New Roman" w:cs="Times New Roman"/>
        </w:rPr>
        <w:t>considerable</w:t>
      </w:r>
      <w:r w:rsidR="0029743D" w:rsidRPr="003D3598">
        <w:rPr>
          <w:rFonts w:ascii="Times New Roman" w:hAnsi="Times New Roman" w:cs="Times New Roman"/>
        </w:rPr>
        <w:t xml:space="preserve"> evidence to the contrary</w:t>
      </w:r>
      <w:r w:rsidR="00EC7063">
        <w:rPr>
          <w:rFonts w:ascii="Times New Roman" w:hAnsi="Times New Roman" w:cs="Times New Roman"/>
        </w:rPr>
        <w:t xml:space="preserve"> – and </w:t>
      </w:r>
      <w:r w:rsidR="00D713E4" w:rsidRPr="003D3598">
        <w:rPr>
          <w:rFonts w:ascii="Times New Roman" w:hAnsi="Times New Roman" w:cs="Times New Roman"/>
        </w:rPr>
        <w:t xml:space="preserve">are less likely to see themselves </w:t>
      </w:r>
      <w:r w:rsidR="0029743D" w:rsidRPr="003D3598">
        <w:rPr>
          <w:rFonts w:ascii="Times New Roman" w:hAnsi="Times New Roman" w:cs="Times New Roman"/>
        </w:rPr>
        <w:t>pursuing STEM in the future</w:t>
      </w:r>
      <w:r w:rsidR="004E1C59" w:rsidRPr="003D3598">
        <w:rPr>
          <w:rFonts w:ascii="Times New Roman" w:hAnsi="Times New Roman" w:cs="Times New Roman"/>
        </w:rPr>
        <w:t xml:space="preserve"> (see Hill, Corbett</w:t>
      </w:r>
      <w:r w:rsidR="00EC7063">
        <w:rPr>
          <w:rFonts w:ascii="Times New Roman" w:hAnsi="Times New Roman" w:cs="Times New Roman"/>
        </w:rPr>
        <w:t xml:space="preserve">, &amp; </w:t>
      </w:r>
      <w:r w:rsidR="004E1C59" w:rsidRPr="003D3598">
        <w:rPr>
          <w:rFonts w:ascii="Times New Roman" w:hAnsi="Times New Roman" w:cs="Times New Roman"/>
        </w:rPr>
        <w:t>St. Rose, 2010</w:t>
      </w:r>
      <w:r w:rsidR="00C711E7" w:rsidRPr="003D3598">
        <w:rPr>
          <w:rFonts w:ascii="Times New Roman" w:hAnsi="Times New Roman" w:cs="Times New Roman"/>
        </w:rPr>
        <w:t>,</w:t>
      </w:r>
      <w:r w:rsidR="004E1C59" w:rsidRPr="003D3598">
        <w:rPr>
          <w:rFonts w:ascii="Times New Roman" w:hAnsi="Times New Roman" w:cs="Times New Roman"/>
        </w:rPr>
        <w:t xml:space="preserve"> for a review)</w:t>
      </w:r>
      <w:r w:rsidR="0029743D" w:rsidRPr="003D3598">
        <w:rPr>
          <w:rFonts w:ascii="Times New Roman" w:hAnsi="Times New Roman" w:cs="Times New Roman"/>
        </w:rPr>
        <w:t>. These gaps tend to emerge during early adolescence. Examining the experience of male and female youth</w:t>
      </w:r>
      <w:r w:rsidR="00DE0A48" w:rsidRPr="003D3598">
        <w:rPr>
          <w:rFonts w:ascii="Times New Roman" w:hAnsi="Times New Roman" w:cs="Times New Roman"/>
        </w:rPr>
        <w:t xml:space="preserve"> while they are actually involved in STEM activities might inform our understanding of long-observed gender gaps in STEM interest and persistence. </w:t>
      </w:r>
    </w:p>
    <w:p w14:paraId="6FF7C21E" w14:textId="055947F3" w:rsidR="005722DE" w:rsidRPr="003D3598" w:rsidRDefault="009B0E97" w:rsidP="00A73422">
      <w:pPr>
        <w:widowControl w:val="0"/>
        <w:autoSpaceDE w:val="0"/>
        <w:autoSpaceDN w:val="0"/>
        <w:adjustRightInd w:val="0"/>
        <w:spacing w:after="240"/>
        <w:ind w:firstLine="720"/>
        <w:contextualSpacing/>
        <w:rPr>
          <w:rFonts w:ascii="Times New Roman" w:hAnsi="Times New Roman" w:cs="Times New Roman"/>
        </w:rPr>
      </w:pPr>
      <w:r w:rsidRPr="003D3598">
        <w:rPr>
          <w:rFonts w:ascii="Times New Roman" w:hAnsi="Times New Roman" w:cs="Times New Roman"/>
        </w:rPr>
        <w:t>We also acknowledge that i</w:t>
      </w:r>
      <w:r w:rsidR="00DE0A48" w:rsidRPr="003D3598">
        <w:rPr>
          <w:rFonts w:ascii="Times New Roman" w:hAnsi="Times New Roman" w:cs="Times New Roman"/>
        </w:rPr>
        <w:t>ndividuals who identify as Black or Hispanic have historically been underrepr</w:t>
      </w:r>
      <w:r w:rsidRPr="003D3598">
        <w:rPr>
          <w:rFonts w:ascii="Times New Roman" w:hAnsi="Times New Roman" w:cs="Times New Roman"/>
        </w:rPr>
        <w:t>esented in STEM fields</w:t>
      </w:r>
      <w:r w:rsidR="00E53AF7" w:rsidRPr="003D3598">
        <w:rPr>
          <w:rFonts w:ascii="Times New Roman" w:hAnsi="Times New Roman" w:cs="Times New Roman"/>
        </w:rPr>
        <w:t xml:space="preserve"> in the United States</w:t>
      </w:r>
      <w:r w:rsidR="00AE66E0" w:rsidRPr="003D3598">
        <w:rPr>
          <w:rFonts w:ascii="Times New Roman" w:hAnsi="Times New Roman" w:cs="Times New Roman"/>
        </w:rPr>
        <w:t>,</w:t>
      </w:r>
      <w:r w:rsidRPr="003D3598">
        <w:rPr>
          <w:rFonts w:ascii="Times New Roman" w:hAnsi="Times New Roman" w:cs="Times New Roman"/>
        </w:rPr>
        <w:t xml:space="preserve"> and these historic patterns may similarly influence the quality of experience in STEM engagement among students </w:t>
      </w:r>
      <w:r w:rsidR="00E53AF7" w:rsidRPr="003D3598">
        <w:rPr>
          <w:rFonts w:ascii="Times New Roman" w:hAnsi="Times New Roman" w:cs="Times New Roman"/>
        </w:rPr>
        <w:t xml:space="preserve">who identify </w:t>
      </w:r>
      <w:r w:rsidR="00E53AF7" w:rsidRPr="003D3598">
        <w:rPr>
          <w:rFonts w:ascii="Times New Roman" w:hAnsi="Times New Roman" w:cs="Times New Roman"/>
        </w:rPr>
        <w:lastRenderedPageBreak/>
        <w:t xml:space="preserve">with </w:t>
      </w:r>
      <w:r w:rsidRPr="003D3598">
        <w:rPr>
          <w:rFonts w:ascii="Times New Roman" w:hAnsi="Times New Roman" w:cs="Times New Roman"/>
        </w:rPr>
        <w:t xml:space="preserve">these groups. </w:t>
      </w:r>
      <w:r w:rsidR="00102849" w:rsidRPr="003D3598">
        <w:rPr>
          <w:rFonts w:ascii="Times New Roman" w:hAnsi="Times New Roman" w:cs="Times New Roman"/>
        </w:rPr>
        <w:t xml:space="preserve">Women and girls from these underrepresented groups </w:t>
      </w:r>
      <w:r w:rsidR="00E53AF7" w:rsidRPr="003D3598">
        <w:rPr>
          <w:rFonts w:ascii="Times New Roman" w:hAnsi="Times New Roman" w:cs="Times New Roman"/>
        </w:rPr>
        <w:t>may be</w:t>
      </w:r>
      <w:r w:rsidR="00102849" w:rsidRPr="003D3598">
        <w:rPr>
          <w:rFonts w:ascii="Times New Roman" w:hAnsi="Times New Roman" w:cs="Times New Roman"/>
        </w:rPr>
        <w:t xml:space="preserve"> “doubly disadvantaged” in that they may identify with two different demographic groups who are underrepresented in STEM. </w:t>
      </w:r>
      <w:r w:rsidRPr="003D3598">
        <w:rPr>
          <w:rFonts w:ascii="Times New Roman" w:hAnsi="Times New Roman" w:cs="Times New Roman"/>
        </w:rPr>
        <w:t>Nearly all the participants in the current study identified as black and/or Hispanic</w:t>
      </w:r>
      <w:r w:rsidR="00EC7063">
        <w:rPr>
          <w:rFonts w:ascii="Times New Roman" w:hAnsi="Times New Roman" w:cs="Times New Roman"/>
        </w:rPr>
        <w:t>;</w:t>
      </w:r>
      <w:r w:rsidR="00102849" w:rsidRPr="003D3598">
        <w:rPr>
          <w:rFonts w:ascii="Times New Roman" w:hAnsi="Times New Roman" w:cs="Times New Roman"/>
        </w:rPr>
        <w:t xml:space="preserve"> </w:t>
      </w:r>
      <w:r w:rsidR="00325C79" w:rsidRPr="003D3598">
        <w:rPr>
          <w:rFonts w:ascii="Times New Roman" w:hAnsi="Times New Roman" w:cs="Times New Roman"/>
        </w:rPr>
        <w:t>thus,</w:t>
      </w:r>
      <w:r w:rsidR="00102849" w:rsidRPr="003D3598">
        <w:rPr>
          <w:rFonts w:ascii="Times New Roman" w:hAnsi="Times New Roman" w:cs="Times New Roman"/>
        </w:rPr>
        <w:t xml:space="preserve"> </w:t>
      </w:r>
      <w:r w:rsidR="00CC6F54" w:rsidRPr="003D3598">
        <w:rPr>
          <w:rFonts w:ascii="Times New Roman" w:hAnsi="Times New Roman" w:cs="Times New Roman"/>
        </w:rPr>
        <w:t xml:space="preserve">preventing comparisons by race/ethnicity, but </w:t>
      </w:r>
      <w:r w:rsidR="00102849" w:rsidRPr="003D3598">
        <w:rPr>
          <w:rFonts w:ascii="Times New Roman" w:hAnsi="Times New Roman" w:cs="Times New Roman"/>
        </w:rPr>
        <w:t xml:space="preserve">affording an exploration of gender among students who belong to racial and ethnic groups that are historically underrepresented in STEM. </w:t>
      </w:r>
      <w:r w:rsidR="005722DE" w:rsidRPr="003D3598">
        <w:rPr>
          <w:rFonts w:ascii="Times New Roman" w:hAnsi="Times New Roman" w:cs="Times New Roman"/>
        </w:rPr>
        <w:t xml:space="preserve">A primary challenge for the OST field is to better understand what </w:t>
      </w:r>
      <w:r w:rsidR="00882000" w:rsidRPr="003D3598">
        <w:rPr>
          <w:rFonts w:ascii="Times New Roman" w:hAnsi="Times New Roman" w:cs="Times New Roman"/>
        </w:rPr>
        <w:t xml:space="preserve">general program conditions and specific </w:t>
      </w:r>
      <w:r w:rsidR="005722DE" w:rsidRPr="003D3598">
        <w:rPr>
          <w:rFonts w:ascii="Times New Roman" w:hAnsi="Times New Roman" w:cs="Times New Roman"/>
        </w:rPr>
        <w:t xml:space="preserve">instructional practices are likely to trigger engagement in STEM-related contexts, </w:t>
      </w:r>
      <w:r w:rsidR="00464748">
        <w:rPr>
          <w:rFonts w:ascii="Times New Roman" w:hAnsi="Times New Roman" w:cs="Times New Roman"/>
        </w:rPr>
        <w:t xml:space="preserve">while </w:t>
      </w:r>
      <w:r w:rsidR="005722DE" w:rsidRPr="003D3598">
        <w:rPr>
          <w:rFonts w:ascii="Times New Roman" w:hAnsi="Times New Roman" w:cs="Times New Roman"/>
        </w:rPr>
        <w:t xml:space="preserve">taking into consideration differences among youth such as </w:t>
      </w:r>
      <w:r w:rsidR="00F864C3" w:rsidRPr="003D3598">
        <w:rPr>
          <w:rFonts w:ascii="Times New Roman" w:hAnsi="Times New Roman" w:cs="Times New Roman"/>
        </w:rPr>
        <w:t>perceptions of competence</w:t>
      </w:r>
      <w:r w:rsidR="008A2679" w:rsidRPr="003D3598">
        <w:rPr>
          <w:rFonts w:ascii="Times New Roman" w:hAnsi="Times New Roman" w:cs="Times New Roman"/>
        </w:rPr>
        <w:t xml:space="preserve"> and gender</w:t>
      </w:r>
      <w:r w:rsidR="005722DE" w:rsidRPr="003D3598">
        <w:rPr>
          <w:rFonts w:ascii="Times New Roman" w:hAnsi="Times New Roman" w:cs="Times New Roman"/>
        </w:rPr>
        <w:t xml:space="preserve">. </w:t>
      </w:r>
    </w:p>
    <w:p w14:paraId="15B9A34E" w14:textId="63DE1B75" w:rsidR="000B0FD3" w:rsidRPr="003D3598" w:rsidRDefault="000B0FD3"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rPr>
        <w:t>Youth characteristics may have a moderating effect on</w:t>
      </w:r>
      <w:r w:rsidR="00EE7712" w:rsidRPr="003D3598">
        <w:rPr>
          <w:rFonts w:ascii="Times New Roman" w:hAnsi="Times New Roman" w:cs="Times New Roman"/>
        </w:rPr>
        <w:t xml:space="preserve"> the links between the conditions of challenge, relevance, and learning on the one hand, and engagement on the other. For example,</w:t>
      </w:r>
      <w:r w:rsidRPr="003D3598">
        <w:rPr>
          <w:rFonts w:ascii="Times New Roman" w:hAnsi="Times New Roman" w:cs="Times New Roman"/>
        </w:rPr>
        <w:t xml:space="preserve"> some have suggested that there may be individual differences in </w:t>
      </w:r>
      <w:r w:rsidR="00464748">
        <w:rPr>
          <w:rFonts w:ascii="Times New Roman" w:hAnsi="Times New Roman" w:cs="Times New Roman"/>
        </w:rPr>
        <w:t>how</w:t>
      </w:r>
      <w:r w:rsidRPr="003D3598">
        <w:rPr>
          <w:rFonts w:ascii="Times New Roman" w:hAnsi="Times New Roman" w:cs="Times New Roman"/>
        </w:rPr>
        <w:t xml:space="preserve"> challenging situation</w:t>
      </w:r>
      <w:r w:rsidR="00464748">
        <w:rPr>
          <w:rFonts w:ascii="Times New Roman" w:hAnsi="Times New Roman" w:cs="Times New Roman"/>
        </w:rPr>
        <w:t>s</w:t>
      </w:r>
      <w:r w:rsidRPr="003D3598">
        <w:rPr>
          <w:rFonts w:ascii="Times New Roman" w:hAnsi="Times New Roman" w:cs="Times New Roman"/>
        </w:rPr>
        <w:t xml:space="preserve"> </w:t>
      </w:r>
      <w:r w:rsidR="00464748">
        <w:rPr>
          <w:rFonts w:ascii="Times New Roman" w:hAnsi="Times New Roman" w:cs="Times New Roman"/>
        </w:rPr>
        <w:t>are</w:t>
      </w:r>
      <w:r w:rsidRPr="003D3598">
        <w:rPr>
          <w:rFonts w:ascii="Times New Roman" w:hAnsi="Times New Roman" w:cs="Times New Roman"/>
        </w:rPr>
        <w:t xml:space="preserve"> perceived and acted upon (</w:t>
      </w:r>
      <w:r w:rsidR="00821EE0">
        <w:rPr>
          <w:rFonts w:ascii="Times New Roman" w:hAnsi="Times New Roman" w:cs="Times New Roman"/>
        </w:rPr>
        <w:t xml:space="preserve">Authors, 2017; </w:t>
      </w:r>
      <w:r w:rsidRPr="003D3598">
        <w:rPr>
          <w:rFonts w:ascii="Times New Roman" w:hAnsi="Times New Roman" w:cs="Times New Roman"/>
        </w:rPr>
        <w:t xml:space="preserve">Csikszentmihalyi, 1990). Challenge may be energizing for some, resulting in increased engagement, but may be threatening for others and may not facilitate engagement. For example, it is well documented that </w:t>
      </w:r>
      <w:r w:rsidR="00166DE2" w:rsidRPr="003D3598">
        <w:rPr>
          <w:rFonts w:ascii="Times New Roman" w:hAnsi="Times New Roman" w:cs="Times New Roman"/>
        </w:rPr>
        <w:t xml:space="preserve">women and girls </w:t>
      </w:r>
      <w:r w:rsidRPr="003D3598">
        <w:rPr>
          <w:rFonts w:ascii="Times New Roman" w:hAnsi="Times New Roman" w:cs="Times New Roman"/>
        </w:rPr>
        <w:t>report greater anxiety than males with respect to STEM subject areas (</w:t>
      </w:r>
      <w:proofErr w:type="spellStart"/>
      <w:r w:rsidRPr="003D3598">
        <w:rPr>
          <w:rFonts w:ascii="Times New Roman" w:hAnsi="Times New Roman" w:cs="Times New Roman"/>
        </w:rPr>
        <w:t>Britner</w:t>
      </w:r>
      <w:proofErr w:type="spellEnd"/>
      <w:r w:rsidRPr="003D3598">
        <w:rPr>
          <w:rFonts w:ascii="Times New Roman" w:hAnsi="Times New Roman" w:cs="Times New Roman"/>
        </w:rPr>
        <w:t>, 2008; Mallow, 2010). This increased anxiety might dampen or altogether negate any motivational properties of challenge for girls and women when involved in STE</w:t>
      </w:r>
      <w:r w:rsidR="00CC6F54" w:rsidRPr="003D3598">
        <w:rPr>
          <w:rFonts w:ascii="Times New Roman" w:hAnsi="Times New Roman" w:cs="Times New Roman"/>
        </w:rPr>
        <w:t xml:space="preserve">M tasks. </w:t>
      </w:r>
      <w:r w:rsidR="00821EE0">
        <w:rPr>
          <w:rFonts w:ascii="Times New Roman" w:hAnsi="Times New Roman" w:cs="Times New Roman"/>
        </w:rPr>
        <w:t>Authors</w:t>
      </w:r>
      <w:r w:rsidR="00CC6F54" w:rsidRPr="003D3598">
        <w:rPr>
          <w:rFonts w:ascii="Times New Roman" w:hAnsi="Times New Roman" w:cs="Times New Roman"/>
        </w:rPr>
        <w:t xml:space="preserve"> </w:t>
      </w:r>
      <w:r w:rsidRPr="003D3598">
        <w:rPr>
          <w:rFonts w:ascii="Times New Roman" w:hAnsi="Times New Roman" w:cs="Times New Roman"/>
        </w:rPr>
        <w:t>(2017) found that in high school science classrooms, male students showed increased engagement when they perceived th</w:t>
      </w:r>
      <w:r w:rsidR="00CC6F54" w:rsidRPr="003D3598">
        <w:rPr>
          <w:rFonts w:ascii="Times New Roman" w:hAnsi="Times New Roman" w:cs="Times New Roman"/>
        </w:rPr>
        <w:t>e learning task to be challenging</w:t>
      </w:r>
      <w:r w:rsidRPr="003D3598">
        <w:rPr>
          <w:rFonts w:ascii="Times New Roman" w:hAnsi="Times New Roman" w:cs="Times New Roman"/>
        </w:rPr>
        <w:t xml:space="preserve">, while the effect among female students was significantly less pronounced. It is not clear whether similar individual differences in response to challenge are at play in less formal STEM learning environments where the stakes and pressure to perform may be lower. </w:t>
      </w:r>
    </w:p>
    <w:p w14:paraId="0FEB6F25" w14:textId="5EDF7B9D" w:rsidR="000B0FD3" w:rsidRPr="003D3598" w:rsidRDefault="00EE7712"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rPr>
        <w:t xml:space="preserve">There may also be individual differences in the degree to which perceived relevance </w:t>
      </w:r>
      <w:r w:rsidR="004B3AC0" w:rsidRPr="003D3598">
        <w:rPr>
          <w:rFonts w:ascii="Times New Roman" w:hAnsi="Times New Roman" w:cs="Times New Roman"/>
        </w:rPr>
        <w:t>facilitates</w:t>
      </w:r>
      <w:r w:rsidRPr="003D3598">
        <w:rPr>
          <w:rFonts w:ascii="Times New Roman" w:hAnsi="Times New Roman" w:cs="Times New Roman"/>
        </w:rPr>
        <w:t xml:space="preserve"> engagement. Numerous studies have shown that interventions targeting relevance may have different effects on students depending on their perceived competence (</w:t>
      </w:r>
      <w:proofErr w:type="spellStart"/>
      <w:r w:rsidRPr="003D3598">
        <w:rPr>
          <w:rFonts w:ascii="Times New Roman" w:hAnsi="Times New Roman" w:cs="Times New Roman"/>
        </w:rPr>
        <w:t>Hulleman</w:t>
      </w:r>
      <w:proofErr w:type="spellEnd"/>
      <w:r w:rsidRPr="003D3598">
        <w:rPr>
          <w:rFonts w:ascii="Times New Roman" w:hAnsi="Times New Roman" w:cs="Times New Roman"/>
        </w:rPr>
        <w:t xml:space="preserve"> </w:t>
      </w:r>
      <w:proofErr w:type="spellStart"/>
      <w:r w:rsidR="00464748">
        <w:rPr>
          <w:rFonts w:ascii="Times New Roman" w:hAnsi="Times New Roman" w:cs="Times New Roman"/>
        </w:rPr>
        <w:t>Godes</w:t>
      </w:r>
      <w:proofErr w:type="spellEnd"/>
      <w:r w:rsidR="00464748">
        <w:rPr>
          <w:rFonts w:ascii="Times New Roman" w:hAnsi="Times New Roman" w:cs="Times New Roman"/>
        </w:rPr>
        <w:t xml:space="preserve">, Hendricks, &amp; </w:t>
      </w:r>
      <w:proofErr w:type="spellStart"/>
      <w:r w:rsidR="00464748">
        <w:rPr>
          <w:rFonts w:ascii="Times New Roman" w:hAnsi="Times New Roman" w:cs="Times New Roman"/>
        </w:rPr>
        <w:t>Harackiewicz</w:t>
      </w:r>
      <w:proofErr w:type="spellEnd"/>
      <w:r w:rsidR="00464748">
        <w:rPr>
          <w:rFonts w:ascii="Times New Roman" w:hAnsi="Times New Roman" w:cs="Times New Roman"/>
        </w:rPr>
        <w:t>,</w:t>
      </w:r>
      <w:r w:rsidRPr="003D3598">
        <w:rPr>
          <w:rFonts w:ascii="Times New Roman" w:hAnsi="Times New Roman" w:cs="Times New Roman"/>
        </w:rPr>
        <w:t xml:space="preserve"> 2010; </w:t>
      </w:r>
      <w:proofErr w:type="spellStart"/>
      <w:r w:rsidRPr="003D3598">
        <w:rPr>
          <w:rFonts w:ascii="Times New Roman" w:hAnsi="Times New Roman" w:cs="Times New Roman"/>
        </w:rPr>
        <w:t>Hulleman</w:t>
      </w:r>
      <w:proofErr w:type="spellEnd"/>
      <w:r w:rsidRPr="003D3598">
        <w:rPr>
          <w:rFonts w:ascii="Times New Roman" w:hAnsi="Times New Roman" w:cs="Times New Roman"/>
        </w:rPr>
        <w:t xml:space="preserve"> &amp; </w:t>
      </w:r>
      <w:proofErr w:type="spellStart"/>
      <w:r w:rsidRPr="003D3598">
        <w:rPr>
          <w:rFonts w:ascii="Times New Roman" w:hAnsi="Times New Roman" w:cs="Times New Roman"/>
        </w:rPr>
        <w:t>Harackiewicz</w:t>
      </w:r>
      <w:proofErr w:type="spellEnd"/>
      <w:r w:rsidRPr="003D3598">
        <w:rPr>
          <w:rFonts w:ascii="Times New Roman" w:hAnsi="Times New Roman" w:cs="Times New Roman"/>
        </w:rPr>
        <w:t xml:space="preserve">, 2009). Likewise, one’s gender may influence the extent to which relevance promotes engagement. Women and girls are generally less likely to see themselves in STEM professions (Miller, </w:t>
      </w:r>
      <w:proofErr w:type="spellStart"/>
      <w:r w:rsidRPr="003D3598">
        <w:rPr>
          <w:rFonts w:ascii="Times New Roman" w:hAnsi="Times New Roman" w:cs="Times New Roman"/>
        </w:rPr>
        <w:t>Eagly</w:t>
      </w:r>
      <w:proofErr w:type="spellEnd"/>
      <w:r w:rsidRPr="003D3598">
        <w:rPr>
          <w:rFonts w:ascii="Times New Roman" w:hAnsi="Times New Roman" w:cs="Times New Roman"/>
        </w:rPr>
        <w:t xml:space="preserve">, &amp; Linn, 2015; Thomas, 2017; Wang &amp; </w:t>
      </w:r>
      <w:proofErr w:type="spellStart"/>
      <w:r w:rsidRPr="003D3598">
        <w:rPr>
          <w:rFonts w:ascii="Times New Roman" w:hAnsi="Times New Roman" w:cs="Times New Roman"/>
        </w:rPr>
        <w:t>Degol</w:t>
      </w:r>
      <w:proofErr w:type="spellEnd"/>
      <w:r w:rsidRPr="003D3598">
        <w:rPr>
          <w:rFonts w:ascii="Times New Roman" w:hAnsi="Times New Roman" w:cs="Times New Roman"/>
        </w:rPr>
        <w:t>, 2017), and thus may see STEM-related activities as less connected to who they are. Some have suggested that boys and girls hold different perceptions about how useful science can be to them (</w:t>
      </w:r>
      <w:proofErr w:type="spellStart"/>
      <w:r w:rsidRPr="003D3598">
        <w:rPr>
          <w:rFonts w:ascii="Times New Roman" w:hAnsi="Times New Roman" w:cs="Times New Roman"/>
        </w:rPr>
        <w:t>Catsambis</w:t>
      </w:r>
      <w:proofErr w:type="spellEnd"/>
      <w:r w:rsidRPr="003D3598">
        <w:rPr>
          <w:rFonts w:ascii="Times New Roman" w:hAnsi="Times New Roman" w:cs="Times New Roman"/>
        </w:rPr>
        <w:t xml:space="preserve">, 1995; Lee &amp; </w:t>
      </w:r>
      <w:proofErr w:type="spellStart"/>
      <w:r w:rsidRPr="003D3598">
        <w:rPr>
          <w:rFonts w:ascii="Times New Roman" w:hAnsi="Times New Roman" w:cs="Times New Roman"/>
        </w:rPr>
        <w:t>Berkham</w:t>
      </w:r>
      <w:proofErr w:type="spellEnd"/>
      <w:r w:rsidRPr="003D3598">
        <w:rPr>
          <w:rFonts w:ascii="Times New Roman" w:hAnsi="Times New Roman" w:cs="Times New Roman"/>
        </w:rPr>
        <w:t xml:space="preserve">, 1996; James, 2002). </w:t>
      </w:r>
      <w:r w:rsidR="00821EE0">
        <w:rPr>
          <w:rFonts w:ascii="Times New Roman" w:hAnsi="Times New Roman" w:cs="Times New Roman"/>
        </w:rPr>
        <w:t>Authors</w:t>
      </w:r>
      <w:r w:rsidR="00464748">
        <w:rPr>
          <w:rFonts w:ascii="Times New Roman" w:hAnsi="Times New Roman" w:cs="Times New Roman"/>
        </w:rPr>
        <w:t xml:space="preserve"> </w:t>
      </w:r>
      <w:r w:rsidRPr="00870EF0">
        <w:rPr>
          <w:rFonts w:ascii="Times New Roman" w:hAnsi="Times New Roman" w:cs="Times New Roman"/>
        </w:rPr>
        <w:t>(</w:t>
      </w:r>
      <w:r w:rsidR="00166DE2" w:rsidRPr="00870EF0">
        <w:rPr>
          <w:rFonts w:ascii="Times New Roman" w:hAnsi="Times New Roman" w:cs="Times New Roman"/>
        </w:rPr>
        <w:t>2019</w:t>
      </w:r>
      <w:r w:rsidRPr="00026666">
        <w:rPr>
          <w:rFonts w:ascii="Times New Roman" w:hAnsi="Times New Roman" w:cs="Times New Roman"/>
        </w:rPr>
        <w:t xml:space="preserve">) found that in traditional science classrooms, when teachers more strongly emphasize content relevance, girls </w:t>
      </w:r>
      <w:r w:rsidRPr="0041527C">
        <w:rPr>
          <w:rFonts w:ascii="Times New Roman" w:hAnsi="Times New Roman" w:cs="Times New Roman"/>
        </w:rPr>
        <w:t>rate the content as more useful, whereas boys do not. This suggests that male and female students may process relevance information different</w:t>
      </w:r>
      <w:r w:rsidRPr="00111E51">
        <w:rPr>
          <w:rFonts w:ascii="Times New Roman" w:hAnsi="Times New Roman" w:cs="Times New Roman"/>
        </w:rPr>
        <w:t>ly</w:t>
      </w:r>
      <w:r w:rsidR="00235411">
        <w:rPr>
          <w:rFonts w:ascii="Times New Roman" w:hAnsi="Times New Roman" w:cs="Times New Roman"/>
        </w:rPr>
        <w:t>.</w:t>
      </w:r>
      <w:r w:rsidRPr="00111E51">
        <w:rPr>
          <w:rFonts w:ascii="Times New Roman" w:hAnsi="Times New Roman" w:cs="Times New Roman"/>
        </w:rPr>
        <w:t xml:space="preserve"> Such differences could be reflected in the degree to which perceived relevance stimulates engagement. Again, </w:t>
      </w:r>
      <w:r w:rsidR="004B3AC0" w:rsidRPr="003D3598">
        <w:rPr>
          <w:rFonts w:ascii="Times New Roman" w:hAnsi="Times New Roman" w:cs="Times New Roman"/>
        </w:rPr>
        <w:t>much of the prior</w:t>
      </w:r>
      <w:r w:rsidRPr="003D3598">
        <w:rPr>
          <w:rFonts w:ascii="Times New Roman" w:hAnsi="Times New Roman" w:cs="Times New Roman"/>
        </w:rPr>
        <w:t xml:space="preserve"> research</w:t>
      </w:r>
      <w:r w:rsidR="004B3AC0" w:rsidRPr="003D3598">
        <w:rPr>
          <w:rFonts w:ascii="Times New Roman" w:hAnsi="Times New Roman" w:cs="Times New Roman"/>
        </w:rPr>
        <w:t xml:space="preserve"> on individual differences and relevance</w:t>
      </w:r>
      <w:r w:rsidRPr="003D3598">
        <w:rPr>
          <w:rFonts w:ascii="Times New Roman" w:hAnsi="Times New Roman" w:cs="Times New Roman"/>
        </w:rPr>
        <w:t xml:space="preserve"> has been conducted in traditional classroom settings. It is not clear the extent to which these findings may replicate in informal STEM learning environments.</w:t>
      </w:r>
    </w:p>
    <w:p w14:paraId="22B132B0" w14:textId="26EAC67A" w:rsidR="00112686" w:rsidRPr="003D3598" w:rsidRDefault="00112686" w:rsidP="00A73422">
      <w:pPr>
        <w:widowControl w:val="0"/>
        <w:autoSpaceDE w:val="0"/>
        <w:autoSpaceDN w:val="0"/>
        <w:adjustRightInd w:val="0"/>
        <w:spacing w:after="240"/>
        <w:contextualSpacing/>
        <w:rPr>
          <w:rFonts w:ascii="Times New Roman" w:hAnsi="Times New Roman" w:cs="Times New Roman"/>
          <w:b/>
        </w:rPr>
      </w:pPr>
      <w:r w:rsidRPr="003D3598">
        <w:rPr>
          <w:rFonts w:ascii="Times New Roman" w:hAnsi="Times New Roman" w:cs="Times New Roman"/>
          <w:b/>
        </w:rPr>
        <w:t>Unpacking the Conditions</w:t>
      </w:r>
      <w:r w:rsidR="00EE0489" w:rsidRPr="003D3598">
        <w:rPr>
          <w:rFonts w:ascii="Times New Roman" w:hAnsi="Times New Roman" w:cs="Times New Roman"/>
          <w:b/>
        </w:rPr>
        <w:tab/>
      </w:r>
    </w:p>
    <w:p w14:paraId="34B7911B" w14:textId="4F693DD3" w:rsidR="00632F24" w:rsidRPr="003D3598" w:rsidRDefault="00EE0489"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rPr>
        <w:t xml:space="preserve">Once we understand </w:t>
      </w:r>
      <w:r w:rsidR="008B3C3B" w:rsidRPr="003D3598">
        <w:rPr>
          <w:rFonts w:ascii="Times New Roman" w:hAnsi="Times New Roman" w:cs="Times New Roman"/>
        </w:rPr>
        <w:t xml:space="preserve">whether and </w:t>
      </w:r>
      <w:r w:rsidRPr="003D3598">
        <w:rPr>
          <w:rFonts w:ascii="Times New Roman" w:hAnsi="Times New Roman" w:cs="Times New Roman"/>
        </w:rPr>
        <w:t xml:space="preserve">how youth </w:t>
      </w:r>
      <w:r w:rsidR="00EE7712" w:rsidRPr="003D3598">
        <w:rPr>
          <w:rFonts w:ascii="Times New Roman" w:hAnsi="Times New Roman" w:cs="Times New Roman"/>
        </w:rPr>
        <w:t xml:space="preserve">perceptions of challenge, relevance and </w:t>
      </w:r>
      <w:r w:rsidRPr="003D3598">
        <w:rPr>
          <w:rFonts w:ascii="Times New Roman" w:hAnsi="Times New Roman" w:cs="Times New Roman"/>
        </w:rPr>
        <w:t xml:space="preserve">learning relate to their momentary engagement in STEM-focused OST settings, </w:t>
      </w:r>
      <w:r w:rsidR="00632F24" w:rsidRPr="003D3598">
        <w:rPr>
          <w:rFonts w:ascii="Times New Roman" w:hAnsi="Times New Roman" w:cs="Times New Roman"/>
        </w:rPr>
        <w:t xml:space="preserve">we can then begin </w:t>
      </w:r>
      <w:r w:rsidR="001E3C20" w:rsidRPr="003D3598">
        <w:rPr>
          <w:rFonts w:ascii="Times New Roman" w:hAnsi="Times New Roman" w:cs="Times New Roman"/>
        </w:rPr>
        <w:t xml:space="preserve">to identify specific </w:t>
      </w:r>
      <w:r w:rsidR="006C56FB" w:rsidRPr="003D3598">
        <w:rPr>
          <w:rFonts w:ascii="Times New Roman" w:hAnsi="Times New Roman" w:cs="Times New Roman"/>
        </w:rPr>
        <w:t>OST</w:t>
      </w:r>
      <w:r w:rsidR="001E3C20" w:rsidRPr="003D3598">
        <w:rPr>
          <w:rFonts w:ascii="Times New Roman" w:hAnsi="Times New Roman" w:cs="Times New Roman"/>
        </w:rPr>
        <w:t xml:space="preserve"> activities that are most likely to </w:t>
      </w:r>
      <w:r w:rsidRPr="003D3598">
        <w:rPr>
          <w:rFonts w:ascii="Times New Roman" w:hAnsi="Times New Roman" w:cs="Times New Roman"/>
        </w:rPr>
        <w:t xml:space="preserve">create these </w:t>
      </w:r>
      <w:r w:rsidR="00074CD3" w:rsidRPr="003D3598">
        <w:rPr>
          <w:rFonts w:ascii="Times New Roman" w:hAnsi="Times New Roman" w:cs="Times New Roman"/>
        </w:rPr>
        <w:t>conditions</w:t>
      </w:r>
      <w:r w:rsidRPr="003D3598">
        <w:rPr>
          <w:rFonts w:ascii="Times New Roman" w:hAnsi="Times New Roman" w:cs="Times New Roman"/>
        </w:rPr>
        <w:t xml:space="preserve"> among</w:t>
      </w:r>
      <w:r w:rsidR="001E3C20" w:rsidRPr="003D3598">
        <w:rPr>
          <w:rFonts w:ascii="Times New Roman" w:hAnsi="Times New Roman" w:cs="Times New Roman"/>
        </w:rPr>
        <w:t xml:space="preserve"> youth participants</w:t>
      </w:r>
      <w:r w:rsidR="00EE7712" w:rsidRPr="003D3598">
        <w:rPr>
          <w:rFonts w:ascii="Times New Roman" w:hAnsi="Times New Roman" w:cs="Times New Roman"/>
        </w:rPr>
        <w:t>. F</w:t>
      </w:r>
      <w:r w:rsidR="001E3C20" w:rsidRPr="003D3598">
        <w:rPr>
          <w:rFonts w:ascii="Times New Roman" w:hAnsi="Times New Roman" w:cs="Times New Roman"/>
        </w:rPr>
        <w:t xml:space="preserve">or example, if perceiving </w:t>
      </w:r>
      <w:r w:rsidR="00D47EA3" w:rsidRPr="003D3598">
        <w:rPr>
          <w:rFonts w:ascii="Times New Roman" w:hAnsi="Times New Roman" w:cs="Times New Roman"/>
        </w:rPr>
        <w:t>activities</w:t>
      </w:r>
      <w:r w:rsidR="001E3C20" w:rsidRPr="003D3598">
        <w:rPr>
          <w:rFonts w:ascii="Times New Roman" w:hAnsi="Times New Roman" w:cs="Times New Roman"/>
        </w:rPr>
        <w:t xml:space="preserve"> as relev</w:t>
      </w:r>
      <w:r w:rsidR="005B7239" w:rsidRPr="003D3598">
        <w:rPr>
          <w:rFonts w:ascii="Times New Roman" w:hAnsi="Times New Roman" w:cs="Times New Roman"/>
        </w:rPr>
        <w:t xml:space="preserve">ant is related to increased </w:t>
      </w:r>
      <w:r w:rsidR="001E3C20" w:rsidRPr="003D3598">
        <w:rPr>
          <w:rFonts w:ascii="Times New Roman" w:hAnsi="Times New Roman" w:cs="Times New Roman"/>
        </w:rPr>
        <w:t xml:space="preserve">engagement, </w:t>
      </w:r>
      <w:r w:rsidR="00EE7712" w:rsidRPr="003D3598">
        <w:rPr>
          <w:rFonts w:ascii="Times New Roman" w:hAnsi="Times New Roman" w:cs="Times New Roman"/>
        </w:rPr>
        <w:t>are there certain</w:t>
      </w:r>
      <w:r w:rsidR="001E3C20" w:rsidRPr="003D3598">
        <w:rPr>
          <w:rFonts w:ascii="Times New Roman" w:hAnsi="Times New Roman" w:cs="Times New Roman"/>
        </w:rPr>
        <w:t xml:space="preserve"> types of activities </w:t>
      </w:r>
      <w:r w:rsidR="00EE7712" w:rsidRPr="003D3598">
        <w:rPr>
          <w:rFonts w:ascii="Times New Roman" w:hAnsi="Times New Roman" w:cs="Times New Roman"/>
        </w:rPr>
        <w:t>that</w:t>
      </w:r>
      <w:r w:rsidR="006C56FB" w:rsidRPr="003D3598">
        <w:rPr>
          <w:rFonts w:ascii="Times New Roman" w:hAnsi="Times New Roman" w:cs="Times New Roman"/>
        </w:rPr>
        <w:t xml:space="preserve"> youth </w:t>
      </w:r>
      <w:r w:rsidR="00EE7712" w:rsidRPr="003D3598">
        <w:rPr>
          <w:rFonts w:ascii="Times New Roman" w:hAnsi="Times New Roman" w:cs="Times New Roman"/>
        </w:rPr>
        <w:t xml:space="preserve">tend to </w:t>
      </w:r>
      <w:r w:rsidR="006C56FB" w:rsidRPr="003D3598">
        <w:rPr>
          <w:rFonts w:ascii="Times New Roman" w:hAnsi="Times New Roman" w:cs="Times New Roman"/>
        </w:rPr>
        <w:t>perceive</w:t>
      </w:r>
      <w:r w:rsidR="00EE7712" w:rsidRPr="003D3598">
        <w:rPr>
          <w:rFonts w:ascii="Times New Roman" w:hAnsi="Times New Roman" w:cs="Times New Roman"/>
        </w:rPr>
        <w:t xml:space="preserve"> as highly relevant?</w:t>
      </w:r>
      <w:r w:rsidR="00632F24" w:rsidRPr="003D3598">
        <w:rPr>
          <w:rFonts w:ascii="Times New Roman" w:hAnsi="Times New Roman" w:cs="Times New Roman"/>
        </w:rPr>
        <w:t xml:space="preserve"> </w:t>
      </w:r>
      <w:r w:rsidR="00D47EA3" w:rsidRPr="003D3598">
        <w:rPr>
          <w:rFonts w:ascii="Times New Roman" w:hAnsi="Times New Roman" w:cs="Times New Roman"/>
        </w:rPr>
        <w:t xml:space="preserve">Additionally, </w:t>
      </w:r>
      <w:r w:rsidR="00823C18" w:rsidRPr="003D3598">
        <w:rPr>
          <w:rFonts w:ascii="Times New Roman" w:hAnsi="Times New Roman" w:cs="Times New Roman"/>
        </w:rPr>
        <w:t xml:space="preserve">to what extent are these activity perceptions consistent across youth (i.e., do male and female </w:t>
      </w:r>
      <w:r w:rsidR="00823C18" w:rsidRPr="003D3598">
        <w:rPr>
          <w:rFonts w:ascii="Times New Roman" w:hAnsi="Times New Roman" w:cs="Times New Roman"/>
        </w:rPr>
        <w:lastRenderedPageBreak/>
        <w:t>youth perceive activity X as equally relevant?).</w:t>
      </w:r>
      <w:r w:rsidR="00870EF0">
        <w:rPr>
          <w:rFonts w:ascii="Times New Roman" w:hAnsi="Times New Roman" w:cs="Times New Roman"/>
        </w:rPr>
        <w:t xml:space="preserve">  </w:t>
      </w:r>
      <w:r w:rsidR="00EE7712" w:rsidRPr="00870EF0">
        <w:rPr>
          <w:rFonts w:ascii="Times New Roman" w:hAnsi="Times New Roman" w:cs="Times New Roman"/>
        </w:rPr>
        <w:t xml:space="preserve">Such questions are of interest to educators who design </w:t>
      </w:r>
      <w:r w:rsidR="00235411">
        <w:rPr>
          <w:rFonts w:ascii="Times New Roman" w:hAnsi="Times New Roman" w:cs="Times New Roman"/>
        </w:rPr>
        <w:t xml:space="preserve">OST programs </w:t>
      </w:r>
      <w:r w:rsidR="00EE7712" w:rsidRPr="00870EF0">
        <w:rPr>
          <w:rFonts w:ascii="Times New Roman" w:hAnsi="Times New Roman" w:cs="Times New Roman"/>
        </w:rPr>
        <w:t xml:space="preserve">for youth. </w:t>
      </w:r>
      <w:r w:rsidR="00B94864" w:rsidRPr="00870EF0">
        <w:rPr>
          <w:rFonts w:ascii="Times New Roman" w:hAnsi="Times New Roman" w:cs="Times New Roman"/>
        </w:rPr>
        <w:t>The unique design of this study, which combined video data of program activities with students’ momentary reports of challenge, relevance and learning</w:t>
      </w:r>
      <w:r w:rsidR="00AB0D5E" w:rsidRPr="00011528">
        <w:rPr>
          <w:rFonts w:ascii="Times New Roman" w:hAnsi="Times New Roman" w:cs="Times New Roman"/>
        </w:rPr>
        <w:t>,</w:t>
      </w:r>
      <w:r w:rsidR="00B94864" w:rsidRPr="0041527C">
        <w:rPr>
          <w:rFonts w:ascii="Times New Roman" w:hAnsi="Times New Roman" w:cs="Times New Roman"/>
        </w:rPr>
        <w:t xml:space="preserve"> al</w:t>
      </w:r>
      <w:r w:rsidR="00B94864" w:rsidRPr="00111E51">
        <w:rPr>
          <w:rFonts w:ascii="Times New Roman" w:hAnsi="Times New Roman" w:cs="Times New Roman"/>
        </w:rPr>
        <w:t xml:space="preserve">lows us to explore whether youths’ perceptions of these conditions are systematically related to particular </w:t>
      </w:r>
      <w:r w:rsidR="008B3C3B" w:rsidRPr="003D3598">
        <w:rPr>
          <w:rFonts w:ascii="Times New Roman" w:hAnsi="Times New Roman" w:cs="Times New Roman"/>
        </w:rPr>
        <w:t xml:space="preserve">types of </w:t>
      </w:r>
      <w:r w:rsidR="00B94864" w:rsidRPr="003D3598">
        <w:rPr>
          <w:rFonts w:ascii="Times New Roman" w:hAnsi="Times New Roman" w:cs="Times New Roman"/>
        </w:rPr>
        <w:t xml:space="preserve">program activities. </w:t>
      </w:r>
    </w:p>
    <w:p w14:paraId="73DD187A" w14:textId="0401071F" w:rsidR="00D47EA3" w:rsidRPr="003D3598" w:rsidRDefault="00D47EA3" w:rsidP="00A73422">
      <w:pPr>
        <w:widowControl w:val="0"/>
        <w:autoSpaceDE w:val="0"/>
        <w:autoSpaceDN w:val="0"/>
        <w:adjustRightInd w:val="0"/>
        <w:spacing w:after="240"/>
        <w:contextualSpacing/>
        <w:rPr>
          <w:rFonts w:ascii="Times New Roman" w:hAnsi="Times New Roman" w:cs="Times New Roman"/>
          <w:b/>
        </w:rPr>
      </w:pPr>
      <w:r w:rsidRPr="003D3598">
        <w:rPr>
          <w:rFonts w:ascii="Times New Roman" w:hAnsi="Times New Roman" w:cs="Times New Roman"/>
          <w:b/>
        </w:rPr>
        <w:t>Research Questions</w:t>
      </w:r>
    </w:p>
    <w:p w14:paraId="59FA9D21" w14:textId="17082BDC" w:rsidR="00F14471" w:rsidRPr="003D3598" w:rsidRDefault="001E3C20" w:rsidP="00A73422">
      <w:pPr>
        <w:widowControl w:val="0"/>
        <w:autoSpaceDE w:val="0"/>
        <w:autoSpaceDN w:val="0"/>
        <w:adjustRightInd w:val="0"/>
        <w:spacing w:after="240"/>
        <w:ind w:firstLine="360"/>
        <w:contextualSpacing/>
        <w:rPr>
          <w:rFonts w:ascii="Times New Roman" w:hAnsi="Times New Roman" w:cs="Times New Roman"/>
        </w:rPr>
      </w:pPr>
      <w:r w:rsidRPr="003D3598">
        <w:rPr>
          <w:rFonts w:ascii="Times New Roman" w:hAnsi="Times New Roman" w:cs="Times New Roman"/>
        </w:rPr>
        <w:t>The</w:t>
      </w:r>
      <w:r w:rsidR="00F14471" w:rsidRPr="003D3598">
        <w:rPr>
          <w:rFonts w:ascii="Times New Roman" w:hAnsi="Times New Roman" w:cs="Times New Roman"/>
        </w:rPr>
        <w:t xml:space="preserve"> primary research questions guiding the study are as follows: </w:t>
      </w:r>
    </w:p>
    <w:p w14:paraId="73F06037" w14:textId="15B02BB9" w:rsidR="001E3C20" w:rsidRPr="003D3598" w:rsidRDefault="001E3C20" w:rsidP="00A73422">
      <w:pPr>
        <w:pStyle w:val="ListParagraph"/>
        <w:numPr>
          <w:ilvl w:val="0"/>
          <w:numId w:val="1"/>
        </w:numPr>
        <w:rPr>
          <w:rFonts w:ascii="Times New Roman" w:hAnsi="Times New Roman" w:cs="Times New Roman"/>
        </w:rPr>
      </w:pPr>
      <w:r w:rsidRPr="003D3598">
        <w:rPr>
          <w:rFonts w:ascii="Times New Roman" w:hAnsi="Times New Roman" w:cs="Times New Roman"/>
        </w:rPr>
        <w:t xml:space="preserve">In what ways are </w:t>
      </w:r>
      <w:r w:rsidR="00EE0489" w:rsidRPr="003D3598">
        <w:rPr>
          <w:rFonts w:ascii="Times New Roman" w:hAnsi="Times New Roman" w:cs="Times New Roman"/>
        </w:rPr>
        <w:t>youth</w:t>
      </w:r>
      <w:r w:rsidRPr="003D3598">
        <w:rPr>
          <w:rFonts w:ascii="Times New Roman" w:hAnsi="Times New Roman" w:cs="Times New Roman"/>
        </w:rPr>
        <w:t xml:space="preserve"> experiences of challenge, </w:t>
      </w:r>
      <w:r w:rsidR="00EE0489" w:rsidRPr="003D3598">
        <w:rPr>
          <w:rFonts w:ascii="Times New Roman" w:hAnsi="Times New Roman" w:cs="Times New Roman"/>
        </w:rPr>
        <w:t xml:space="preserve">relevance, </w:t>
      </w:r>
      <w:r w:rsidR="00B94864" w:rsidRPr="003D3598">
        <w:rPr>
          <w:rFonts w:ascii="Times New Roman" w:hAnsi="Times New Roman" w:cs="Times New Roman"/>
        </w:rPr>
        <w:t xml:space="preserve">and </w:t>
      </w:r>
      <w:r w:rsidR="00EE0489" w:rsidRPr="003D3598">
        <w:rPr>
          <w:rFonts w:ascii="Times New Roman" w:hAnsi="Times New Roman" w:cs="Times New Roman"/>
        </w:rPr>
        <w:t xml:space="preserve">learning in STEM-focused </w:t>
      </w:r>
      <w:r w:rsidR="00D47EA3" w:rsidRPr="003D3598">
        <w:rPr>
          <w:rFonts w:ascii="Times New Roman" w:hAnsi="Times New Roman" w:cs="Times New Roman"/>
        </w:rPr>
        <w:t>summer</w:t>
      </w:r>
      <w:r w:rsidR="00EE0489" w:rsidRPr="003D3598">
        <w:rPr>
          <w:rFonts w:ascii="Times New Roman" w:hAnsi="Times New Roman" w:cs="Times New Roman"/>
        </w:rPr>
        <w:t xml:space="preserve"> programs</w:t>
      </w:r>
      <w:r w:rsidRPr="003D3598">
        <w:rPr>
          <w:rFonts w:ascii="Times New Roman" w:hAnsi="Times New Roman" w:cs="Times New Roman"/>
        </w:rPr>
        <w:t xml:space="preserve"> related to </w:t>
      </w:r>
      <w:r w:rsidR="00EE0489" w:rsidRPr="003D3598">
        <w:rPr>
          <w:rFonts w:ascii="Times New Roman" w:hAnsi="Times New Roman" w:cs="Times New Roman"/>
        </w:rPr>
        <w:t xml:space="preserve">their </w:t>
      </w:r>
      <w:r w:rsidRPr="003D3598">
        <w:rPr>
          <w:rFonts w:ascii="Times New Roman" w:hAnsi="Times New Roman" w:cs="Times New Roman"/>
        </w:rPr>
        <w:t xml:space="preserve">engagement in </w:t>
      </w:r>
      <w:r w:rsidR="00EE0489" w:rsidRPr="003D3598">
        <w:rPr>
          <w:rFonts w:ascii="Times New Roman" w:hAnsi="Times New Roman" w:cs="Times New Roman"/>
        </w:rPr>
        <w:t>program</w:t>
      </w:r>
      <w:r w:rsidRPr="003D3598">
        <w:rPr>
          <w:rFonts w:ascii="Times New Roman" w:hAnsi="Times New Roman" w:cs="Times New Roman"/>
        </w:rPr>
        <w:t xml:space="preserve"> activities</w:t>
      </w:r>
      <w:r w:rsidR="00E65E8E">
        <w:rPr>
          <w:rFonts w:ascii="Times New Roman" w:hAnsi="Times New Roman" w:cs="Times New Roman"/>
        </w:rPr>
        <w:t xml:space="preserve">, and what is the role of </w:t>
      </w:r>
      <w:r w:rsidR="00F84719">
        <w:rPr>
          <w:rFonts w:ascii="Times New Roman" w:hAnsi="Times New Roman" w:cs="Times New Roman"/>
        </w:rPr>
        <w:t>gender and perceived competence</w:t>
      </w:r>
      <w:r w:rsidR="00E65E8E">
        <w:rPr>
          <w:rFonts w:ascii="Times New Roman" w:hAnsi="Times New Roman" w:cs="Times New Roman"/>
        </w:rPr>
        <w:t xml:space="preserve"> in these associations</w:t>
      </w:r>
      <w:r w:rsidRPr="003D3598">
        <w:rPr>
          <w:rFonts w:ascii="Times New Roman" w:hAnsi="Times New Roman" w:cs="Times New Roman"/>
        </w:rPr>
        <w:t xml:space="preserve">? </w:t>
      </w:r>
    </w:p>
    <w:p w14:paraId="5D027ACE" w14:textId="2B81DBB2" w:rsidR="00DF620D" w:rsidRPr="00E65E8E" w:rsidRDefault="00F14471" w:rsidP="00A73422">
      <w:pPr>
        <w:pStyle w:val="ListParagraph"/>
        <w:numPr>
          <w:ilvl w:val="0"/>
          <w:numId w:val="1"/>
        </w:numPr>
        <w:rPr>
          <w:rFonts w:ascii="Times New Roman" w:hAnsi="Times New Roman" w:cs="Times New Roman"/>
        </w:rPr>
      </w:pPr>
      <w:r w:rsidRPr="003D3598">
        <w:rPr>
          <w:rFonts w:ascii="Times New Roman" w:hAnsi="Times New Roman" w:cs="Times New Roman"/>
        </w:rPr>
        <w:t xml:space="preserve">How are </w:t>
      </w:r>
      <w:r w:rsidR="00BD2110" w:rsidRPr="003D3598">
        <w:rPr>
          <w:rFonts w:ascii="Times New Roman" w:hAnsi="Times New Roman" w:cs="Times New Roman"/>
        </w:rPr>
        <w:t xml:space="preserve">distinct </w:t>
      </w:r>
      <w:r w:rsidR="00EE0489" w:rsidRPr="0002772F">
        <w:rPr>
          <w:rFonts w:ascii="Times New Roman" w:hAnsi="Times New Roman" w:cs="Times New Roman"/>
        </w:rPr>
        <w:t>activities</w:t>
      </w:r>
      <w:r w:rsidRPr="0002772F">
        <w:rPr>
          <w:rFonts w:ascii="Times New Roman" w:hAnsi="Times New Roman" w:cs="Times New Roman"/>
        </w:rPr>
        <w:t xml:space="preserve"> in </w:t>
      </w:r>
      <w:r w:rsidR="00071CD5" w:rsidRPr="00087D87">
        <w:rPr>
          <w:rFonts w:ascii="Times New Roman" w:hAnsi="Times New Roman" w:cs="Times New Roman"/>
        </w:rPr>
        <w:t>such programs</w:t>
      </w:r>
      <w:r w:rsidRPr="00087D87">
        <w:rPr>
          <w:rFonts w:ascii="Times New Roman" w:hAnsi="Times New Roman" w:cs="Times New Roman"/>
        </w:rPr>
        <w:t xml:space="preserve"> related to </w:t>
      </w:r>
      <w:r w:rsidR="00EE0489" w:rsidRPr="00087D87">
        <w:rPr>
          <w:rFonts w:ascii="Times New Roman" w:hAnsi="Times New Roman" w:cs="Times New Roman"/>
        </w:rPr>
        <w:t>youths</w:t>
      </w:r>
      <w:r w:rsidR="003C1ED9">
        <w:rPr>
          <w:rFonts w:ascii="Times New Roman" w:hAnsi="Times New Roman" w:cs="Times New Roman"/>
        </w:rPr>
        <w:t>’</w:t>
      </w:r>
      <w:r w:rsidR="00EE0489" w:rsidRPr="00087D87">
        <w:rPr>
          <w:rFonts w:ascii="Times New Roman" w:hAnsi="Times New Roman" w:cs="Times New Roman"/>
        </w:rPr>
        <w:t xml:space="preserve"> </w:t>
      </w:r>
      <w:r w:rsidRPr="00087D87">
        <w:rPr>
          <w:rFonts w:ascii="Times New Roman" w:hAnsi="Times New Roman" w:cs="Times New Roman"/>
        </w:rPr>
        <w:t>perceptions of challenge, re</w:t>
      </w:r>
      <w:r w:rsidRPr="00870EF0">
        <w:rPr>
          <w:rFonts w:ascii="Times New Roman" w:hAnsi="Times New Roman" w:cs="Times New Roman"/>
        </w:rPr>
        <w:t xml:space="preserve">levance, </w:t>
      </w:r>
      <w:r w:rsidR="00E65E8E">
        <w:rPr>
          <w:rFonts w:ascii="Times New Roman" w:hAnsi="Times New Roman" w:cs="Times New Roman"/>
        </w:rPr>
        <w:t xml:space="preserve">and </w:t>
      </w:r>
      <w:r w:rsidRPr="00870EF0">
        <w:rPr>
          <w:rFonts w:ascii="Times New Roman" w:hAnsi="Times New Roman" w:cs="Times New Roman"/>
        </w:rPr>
        <w:t>learning,</w:t>
      </w:r>
      <w:r w:rsidR="00E65E8E">
        <w:rPr>
          <w:rFonts w:ascii="Times New Roman" w:hAnsi="Times New Roman" w:cs="Times New Roman"/>
        </w:rPr>
        <w:t xml:space="preserve"> and what is the role of </w:t>
      </w:r>
      <w:r w:rsidR="00F84719">
        <w:rPr>
          <w:rFonts w:ascii="Times New Roman" w:hAnsi="Times New Roman" w:cs="Times New Roman"/>
        </w:rPr>
        <w:t>gender and perceived competence</w:t>
      </w:r>
      <w:r w:rsidR="00E65E8E">
        <w:rPr>
          <w:rFonts w:ascii="Times New Roman" w:hAnsi="Times New Roman" w:cs="Times New Roman"/>
        </w:rPr>
        <w:t xml:space="preserve"> in these associations</w:t>
      </w:r>
      <w:r w:rsidRPr="00870EF0">
        <w:rPr>
          <w:rFonts w:ascii="Times New Roman" w:hAnsi="Times New Roman" w:cs="Times New Roman"/>
        </w:rPr>
        <w:t>?</w:t>
      </w:r>
    </w:p>
    <w:p w14:paraId="14BB35C3" w14:textId="0758BCFE" w:rsidR="00E134BA" w:rsidRPr="00870EF0" w:rsidRDefault="00B6535D" w:rsidP="00A73422">
      <w:pPr>
        <w:contextualSpacing/>
        <w:jc w:val="center"/>
        <w:rPr>
          <w:rFonts w:ascii="Times New Roman" w:hAnsi="Times New Roman" w:cs="Times New Roman"/>
          <w:b/>
        </w:rPr>
      </w:pPr>
      <w:r w:rsidRPr="00870EF0">
        <w:rPr>
          <w:rFonts w:ascii="Times New Roman" w:hAnsi="Times New Roman" w:cs="Times New Roman"/>
          <w:b/>
        </w:rPr>
        <w:t>Method</w:t>
      </w:r>
    </w:p>
    <w:p w14:paraId="1082BF98" w14:textId="77777777" w:rsidR="00B6535D" w:rsidRPr="00111E51" w:rsidRDefault="00B6535D" w:rsidP="00A73422">
      <w:pPr>
        <w:contextualSpacing/>
        <w:rPr>
          <w:rFonts w:ascii="Times New Roman" w:hAnsi="Times New Roman" w:cs="Times New Roman"/>
        </w:rPr>
      </w:pPr>
      <w:r w:rsidRPr="00011528">
        <w:rPr>
          <w:rFonts w:ascii="Times New Roman" w:hAnsi="Times New Roman" w:cs="Times New Roman"/>
          <w:b/>
        </w:rPr>
        <w:t>Context</w:t>
      </w:r>
      <w:r w:rsidR="006C56FB" w:rsidRPr="0041527C">
        <w:rPr>
          <w:rFonts w:ascii="Times New Roman" w:hAnsi="Times New Roman" w:cs="Times New Roman"/>
        </w:rPr>
        <w:t xml:space="preserve"> </w:t>
      </w:r>
    </w:p>
    <w:p w14:paraId="6759E411" w14:textId="77777777" w:rsidR="000608CD" w:rsidRDefault="00B6535D" w:rsidP="00A73422">
      <w:pPr>
        <w:ind w:firstLine="720"/>
        <w:contextualSpacing/>
        <w:rPr>
          <w:rFonts w:ascii="Times New Roman" w:hAnsi="Times New Roman" w:cs="Times New Roman"/>
        </w:rPr>
      </w:pPr>
      <w:r w:rsidRPr="00111E51">
        <w:rPr>
          <w:rFonts w:ascii="Times New Roman" w:hAnsi="Times New Roman" w:cs="Times New Roman"/>
        </w:rPr>
        <w:t>The</w:t>
      </w:r>
      <w:r w:rsidR="005958B8" w:rsidRPr="003D3598">
        <w:rPr>
          <w:rFonts w:ascii="Times New Roman" w:hAnsi="Times New Roman" w:cs="Times New Roman"/>
        </w:rPr>
        <w:t xml:space="preserve"> </w:t>
      </w:r>
      <w:r w:rsidR="00453C57" w:rsidRPr="003D3598">
        <w:rPr>
          <w:rFonts w:ascii="Times New Roman" w:hAnsi="Times New Roman" w:cs="Times New Roman"/>
        </w:rPr>
        <w:t xml:space="preserve">present </w:t>
      </w:r>
      <w:r w:rsidR="005958B8" w:rsidRPr="003D3598">
        <w:rPr>
          <w:rFonts w:ascii="Times New Roman" w:hAnsi="Times New Roman" w:cs="Times New Roman"/>
        </w:rPr>
        <w:t>study w</w:t>
      </w:r>
      <w:r w:rsidR="00622894" w:rsidRPr="003D3598">
        <w:rPr>
          <w:rFonts w:ascii="Times New Roman" w:hAnsi="Times New Roman" w:cs="Times New Roman"/>
        </w:rPr>
        <w:t>as conducted in the context of nine</w:t>
      </w:r>
      <w:r w:rsidR="005958B8" w:rsidRPr="003D3598">
        <w:rPr>
          <w:rFonts w:ascii="Times New Roman" w:hAnsi="Times New Roman" w:cs="Times New Roman"/>
        </w:rPr>
        <w:t xml:space="preserve"> summer programs located in two cities </w:t>
      </w:r>
      <w:r w:rsidR="00500AB5" w:rsidRPr="003D3598">
        <w:rPr>
          <w:rFonts w:ascii="Times New Roman" w:hAnsi="Times New Roman" w:cs="Times New Roman"/>
        </w:rPr>
        <w:t>i</w:t>
      </w:r>
      <w:r w:rsidR="005958B8" w:rsidRPr="003D3598">
        <w:rPr>
          <w:rFonts w:ascii="Times New Roman" w:hAnsi="Times New Roman" w:cs="Times New Roman"/>
        </w:rPr>
        <w:t xml:space="preserve">n the northeastern </w:t>
      </w:r>
      <w:r w:rsidR="000F08D5">
        <w:rPr>
          <w:rFonts w:ascii="Times New Roman" w:hAnsi="Times New Roman" w:cs="Times New Roman"/>
        </w:rPr>
        <w:t>United States</w:t>
      </w:r>
      <w:r w:rsidR="005958B8" w:rsidRPr="000F08D5">
        <w:rPr>
          <w:rFonts w:ascii="Times New Roman" w:hAnsi="Times New Roman" w:cs="Times New Roman"/>
        </w:rPr>
        <w:t xml:space="preserve">. </w:t>
      </w:r>
      <w:r w:rsidR="008E3A4E">
        <w:rPr>
          <w:rFonts w:ascii="Times New Roman" w:hAnsi="Times New Roman" w:cs="Times New Roman"/>
        </w:rPr>
        <w:t xml:space="preserve">Programs were recruited through two </w:t>
      </w:r>
      <w:r w:rsidR="00B44C8A">
        <w:rPr>
          <w:rFonts w:ascii="Times New Roman" w:hAnsi="Times New Roman" w:cs="Times New Roman"/>
        </w:rPr>
        <w:t xml:space="preserve">large public-private partnerships whose purpose is to coordinate summer, after-school, and other informal </w:t>
      </w:r>
      <w:r w:rsidR="00947538">
        <w:rPr>
          <w:rFonts w:ascii="Times New Roman" w:hAnsi="Times New Roman" w:cs="Times New Roman"/>
        </w:rPr>
        <w:t>educational programs in the urban centers in which they are located. Programs were selected for inclusion in the study if they a) had an explicit focus on STEM; b) occurred in summer; c) were 4-6 weeks in duration; and d) principally served youth from low income households who were rising 5</w:t>
      </w:r>
      <w:r w:rsidR="00947538" w:rsidRPr="00947538">
        <w:rPr>
          <w:rFonts w:ascii="Times New Roman" w:hAnsi="Times New Roman" w:cs="Times New Roman"/>
          <w:vertAlign w:val="superscript"/>
        </w:rPr>
        <w:t>th</w:t>
      </w:r>
      <w:r w:rsidR="00947538">
        <w:rPr>
          <w:rFonts w:ascii="Times New Roman" w:hAnsi="Times New Roman" w:cs="Times New Roman"/>
        </w:rPr>
        <w:t xml:space="preserve"> to 9</w:t>
      </w:r>
      <w:r w:rsidR="00947538" w:rsidRPr="00947538">
        <w:rPr>
          <w:rFonts w:ascii="Times New Roman" w:hAnsi="Times New Roman" w:cs="Times New Roman"/>
          <w:vertAlign w:val="superscript"/>
        </w:rPr>
        <w:t>th</w:t>
      </w:r>
      <w:r w:rsidR="00947538">
        <w:rPr>
          <w:rFonts w:ascii="Times New Roman" w:hAnsi="Times New Roman" w:cs="Times New Roman"/>
        </w:rPr>
        <w:t xml:space="preserve"> graders. </w:t>
      </w:r>
      <w:r w:rsidR="00540BEC">
        <w:rPr>
          <w:rFonts w:ascii="Times New Roman" w:hAnsi="Times New Roman" w:cs="Times New Roman"/>
        </w:rPr>
        <w:t>E</w:t>
      </w:r>
      <w:r w:rsidR="00390822">
        <w:rPr>
          <w:rFonts w:ascii="Times New Roman" w:hAnsi="Times New Roman" w:cs="Times New Roman"/>
        </w:rPr>
        <w:t xml:space="preserve">nrollment in programming was </w:t>
      </w:r>
      <w:r w:rsidR="00540BEC">
        <w:rPr>
          <w:rFonts w:ascii="Times New Roman" w:hAnsi="Times New Roman" w:cs="Times New Roman"/>
        </w:rPr>
        <w:t>generally</w:t>
      </w:r>
      <w:r w:rsidR="00390822">
        <w:rPr>
          <w:rFonts w:ascii="Times New Roman" w:hAnsi="Times New Roman" w:cs="Times New Roman"/>
        </w:rPr>
        <w:t xml:space="preserve"> voluntary</w:t>
      </w:r>
      <w:r w:rsidR="00540BEC">
        <w:rPr>
          <w:rFonts w:ascii="Times New Roman" w:hAnsi="Times New Roman" w:cs="Times New Roman"/>
        </w:rPr>
        <w:t xml:space="preserve"> (i.e., not compulsory), and 67% of the youth participants</w:t>
      </w:r>
      <w:r w:rsidR="00041272">
        <w:rPr>
          <w:rFonts w:ascii="Times New Roman" w:hAnsi="Times New Roman" w:cs="Times New Roman"/>
        </w:rPr>
        <w:t xml:space="preserve"> indicated on a survey that it was their idea to sign up for the program, whereas 33% indicated that they were attending primarily because their parents, friends, school-day teachers, or afterschool activity leaders wanted them to sign up (see </w:t>
      </w:r>
      <w:proofErr w:type="spellStart"/>
      <w:r w:rsidR="00041272">
        <w:rPr>
          <w:rFonts w:ascii="Times New Roman" w:hAnsi="Times New Roman" w:cs="Times New Roman"/>
        </w:rPr>
        <w:t>Beymer</w:t>
      </w:r>
      <w:proofErr w:type="spellEnd"/>
      <w:r w:rsidR="00041272">
        <w:rPr>
          <w:rFonts w:ascii="Times New Roman" w:hAnsi="Times New Roman" w:cs="Times New Roman"/>
        </w:rPr>
        <w:t xml:space="preserve">, Rosenberg, Schmidt &amp; </w:t>
      </w:r>
      <w:proofErr w:type="spellStart"/>
      <w:r w:rsidR="00041272">
        <w:rPr>
          <w:rFonts w:ascii="Times New Roman" w:hAnsi="Times New Roman" w:cs="Times New Roman"/>
        </w:rPr>
        <w:t>Naftzger</w:t>
      </w:r>
      <w:proofErr w:type="spellEnd"/>
      <w:r w:rsidR="00041272">
        <w:rPr>
          <w:rFonts w:ascii="Times New Roman" w:hAnsi="Times New Roman" w:cs="Times New Roman"/>
        </w:rPr>
        <w:t>, 2018).</w:t>
      </w:r>
      <w:r w:rsidR="00390822">
        <w:rPr>
          <w:rFonts w:ascii="Times New Roman" w:hAnsi="Times New Roman" w:cs="Times New Roman"/>
        </w:rPr>
        <w:t xml:space="preserve"> </w:t>
      </w:r>
      <w:r w:rsidR="00947538">
        <w:rPr>
          <w:rFonts w:ascii="Times New Roman" w:hAnsi="Times New Roman" w:cs="Times New Roman"/>
        </w:rPr>
        <w:t>A</w:t>
      </w:r>
      <w:r w:rsidR="008E3A4E">
        <w:rPr>
          <w:rFonts w:ascii="Times New Roman" w:hAnsi="Times New Roman" w:cs="Times New Roman"/>
        </w:rPr>
        <w:t xml:space="preserve">ll youth who </w:t>
      </w:r>
      <w:r w:rsidR="00947538">
        <w:rPr>
          <w:rFonts w:ascii="Times New Roman" w:hAnsi="Times New Roman" w:cs="Times New Roman"/>
        </w:rPr>
        <w:t>enrolled</w:t>
      </w:r>
      <w:r w:rsidR="008E3A4E">
        <w:rPr>
          <w:rFonts w:ascii="Times New Roman" w:hAnsi="Times New Roman" w:cs="Times New Roman"/>
        </w:rPr>
        <w:t xml:space="preserve"> in </w:t>
      </w:r>
      <w:r w:rsidR="00540BEC">
        <w:rPr>
          <w:rFonts w:ascii="Times New Roman" w:hAnsi="Times New Roman" w:cs="Times New Roman"/>
        </w:rPr>
        <w:t>participant</w:t>
      </w:r>
      <w:r w:rsidR="008E3A4E">
        <w:rPr>
          <w:rFonts w:ascii="Times New Roman" w:hAnsi="Times New Roman" w:cs="Times New Roman"/>
        </w:rPr>
        <w:t xml:space="preserve"> programs were invited to participate in the study. </w:t>
      </w:r>
      <w:r w:rsidR="00947538">
        <w:rPr>
          <w:rFonts w:ascii="Times New Roman" w:hAnsi="Times New Roman" w:cs="Times New Roman"/>
        </w:rPr>
        <w:t>P</w:t>
      </w:r>
      <w:r w:rsidR="00622894" w:rsidRPr="000F08D5">
        <w:rPr>
          <w:rFonts w:ascii="Times New Roman" w:hAnsi="Times New Roman" w:cs="Times New Roman"/>
        </w:rPr>
        <w:t xml:space="preserve">rogramming </w:t>
      </w:r>
      <w:r w:rsidR="00947538">
        <w:rPr>
          <w:rFonts w:ascii="Times New Roman" w:hAnsi="Times New Roman" w:cs="Times New Roman"/>
        </w:rPr>
        <w:t xml:space="preserve">was provided </w:t>
      </w:r>
      <w:r w:rsidR="00622894" w:rsidRPr="000F08D5">
        <w:rPr>
          <w:rFonts w:ascii="Times New Roman" w:hAnsi="Times New Roman" w:cs="Times New Roman"/>
        </w:rPr>
        <w:t xml:space="preserve">through support from their associated </w:t>
      </w:r>
      <w:r w:rsidR="00325C79" w:rsidRPr="000F08D5">
        <w:rPr>
          <w:rFonts w:ascii="Times New Roman" w:hAnsi="Times New Roman" w:cs="Times New Roman"/>
        </w:rPr>
        <w:t>public-school</w:t>
      </w:r>
      <w:r w:rsidR="00622894" w:rsidRPr="000F08D5">
        <w:rPr>
          <w:rFonts w:ascii="Times New Roman" w:hAnsi="Times New Roman" w:cs="Times New Roman"/>
        </w:rPr>
        <w:t xml:space="preserve"> districts and external granting agencies.</w:t>
      </w:r>
      <w:r w:rsidR="00E0595C" w:rsidRPr="000F08D5">
        <w:rPr>
          <w:rFonts w:ascii="Times New Roman" w:hAnsi="Times New Roman" w:cs="Times New Roman"/>
        </w:rPr>
        <w:t xml:space="preserve"> </w:t>
      </w:r>
      <w:r w:rsidR="00414BD3">
        <w:rPr>
          <w:rFonts w:ascii="Times New Roman" w:hAnsi="Times New Roman" w:cs="Times New Roman"/>
        </w:rPr>
        <w:t>Seven</w:t>
      </w:r>
      <w:r w:rsidR="00716A26" w:rsidRPr="004E35E2">
        <w:rPr>
          <w:rFonts w:ascii="Times New Roman" w:hAnsi="Times New Roman" w:cs="Times New Roman"/>
        </w:rPr>
        <w:t xml:space="preserve"> programs had a singular content focus (</w:t>
      </w:r>
      <w:r w:rsidR="00414BD3">
        <w:rPr>
          <w:rFonts w:ascii="Times New Roman" w:hAnsi="Times New Roman" w:cs="Times New Roman"/>
        </w:rPr>
        <w:t>four</w:t>
      </w:r>
      <w:r w:rsidR="004E35E2">
        <w:rPr>
          <w:rFonts w:ascii="Times New Roman" w:hAnsi="Times New Roman" w:cs="Times New Roman"/>
        </w:rPr>
        <w:t xml:space="preserve"> </w:t>
      </w:r>
      <w:r w:rsidR="00716A26" w:rsidRPr="004E35E2">
        <w:rPr>
          <w:rFonts w:ascii="Times New Roman" w:hAnsi="Times New Roman" w:cs="Times New Roman"/>
        </w:rPr>
        <w:t>science</w:t>
      </w:r>
      <w:r w:rsidR="00A72475">
        <w:rPr>
          <w:rFonts w:ascii="Times New Roman" w:hAnsi="Times New Roman" w:cs="Times New Roman"/>
        </w:rPr>
        <w:t>-focused</w:t>
      </w:r>
      <w:r w:rsidR="004E35E2">
        <w:rPr>
          <w:rFonts w:ascii="Times New Roman" w:hAnsi="Times New Roman" w:cs="Times New Roman"/>
        </w:rPr>
        <w:t>, one</w:t>
      </w:r>
      <w:r w:rsidR="00716A26" w:rsidRPr="004E35E2">
        <w:rPr>
          <w:rFonts w:ascii="Times New Roman" w:hAnsi="Times New Roman" w:cs="Times New Roman"/>
        </w:rPr>
        <w:t xml:space="preserve"> math</w:t>
      </w:r>
      <w:r w:rsidR="00166DE2" w:rsidRPr="004E35E2">
        <w:rPr>
          <w:rFonts w:ascii="Times New Roman" w:hAnsi="Times New Roman" w:cs="Times New Roman"/>
        </w:rPr>
        <w:t>ematics</w:t>
      </w:r>
      <w:r w:rsidR="00A72475">
        <w:rPr>
          <w:rFonts w:ascii="Times New Roman" w:hAnsi="Times New Roman" w:cs="Times New Roman"/>
        </w:rPr>
        <w:t>-focused</w:t>
      </w:r>
      <w:r w:rsidR="00414BD3">
        <w:rPr>
          <w:rFonts w:ascii="Times New Roman" w:hAnsi="Times New Roman" w:cs="Times New Roman"/>
        </w:rPr>
        <w:t xml:space="preserve">, two </w:t>
      </w:r>
      <w:proofErr w:type="spellStart"/>
      <w:r w:rsidR="00414BD3">
        <w:rPr>
          <w:rFonts w:ascii="Times New Roman" w:hAnsi="Times New Roman" w:cs="Times New Roman"/>
        </w:rPr>
        <w:t>enginerring</w:t>
      </w:r>
      <w:proofErr w:type="spellEnd"/>
      <w:r w:rsidR="00414BD3">
        <w:rPr>
          <w:rFonts w:ascii="Times New Roman" w:hAnsi="Times New Roman" w:cs="Times New Roman"/>
        </w:rPr>
        <w:t>-focused</w:t>
      </w:r>
      <w:r w:rsidR="00716A26" w:rsidRPr="004E35E2">
        <w:rPr>
          <w:rFonts w:ascii="Times New Roman" w:hAnsi="Times New Roman" w:cs="Times New Roman"/>
        </w:rPr>
        <w:t xml:space="preserve">), </w:t>
      </w:r>
      <w:r w:rsidR="00DF258D">
        <w:rPr>
          <w:rFonts w:ascii="Times New Roman" w:hAnsi="Times New Roman" w:cs="Times New Roman"/>
        </w:rPr>
        <w:t xml:space="preserve">while </w:t>
      </w:r>
      <w:r w:rsidR="00716A26" w:rsidRPr="004E35E2">
        <w:rPr>
          <w:rFonts w:ascii="Times New Roman" w:hAnsi="Times New Roman" w:cs="Times New Roman"/>
        </w:rPr>
        <w:t xml:space="preserve">three programs focused on </w:t>
      </w:r>
      <w:r w:rsidR="00DF258D">
        <w:rPr>
          <w:rFonts w:ascii="Times New Roman" w:hAnsi="Times New Roman" w:cs="Times New Roman"/>
        </w:rPr>
        <w:t>multiple</w:t>
      </w:r>
      <w:r w:rsidR="00716A26" w:rsidRPr="004E35E2">
        <w:rPr>
          <w:rFonts w:ascii="Times New Roman" w:hAnsi="Times New Roman" w:cs="Times New Roman"/>
        </w:rPr>
        <w:t xml:space="preserve"> content areas (</w:t>
      </w:r>
      <w:r w:rsidR="004E35E2">
        <w:rPr>
          <w:rFonts w:ascii="Times New Roman" w:hAnsi="Times New Roman" w:cs="Times New Roman"/>
        </w:rPr>
        <w:t xml:space="preserve">one </w:t>
      </w:r>
      <w:r w:rsidR="00716A26" w:rsidRPr="004E35E2">
        <w:rPr>
          <w:rFonts w:ascii="Times New Roman" w:hAnsi="Times New Roman" w:cs="Times New Roman"/>
        </w:rPr>
        <w:t>science</w:t>
      </w:r>
      <w:r w:rsidR="004E35E2">
        <w:rPr>
          <w:rFonts w:ascii="Times New Roman" w:hAnsi="Times New Roman" w:cs="Times New Roman"/>
        </w:rPr>
        <w:t xml:space="preserve"> and </w:t>
      </w:r>
      <w:r w:rsidR="00716A26" w:rsidRPr="004E35E2">
        <w:rPr>
          <w:rFonts w:ascii="Times New Roman" w:hAnsi="Times New Roman" w:cs="Times New Roman"/>
        </w:rPr>
        <w:t>math</w:t>
      </w:r>
      <w:r w:rsidR="004E35E2">
        <w:rPr>
          <w:rFonts w:ascii="Times New Roman" w:hAnsi="Times New Roman" w:cs="Times New Roman"/>
        </w:rPr>
        <w:t>ematics</w:t>
      </w:r>
      <w:r w:rsidR="00A72475">
        <w:rPr>
          <w:rFonts w:ascii="Times New Roman" w:hAnsi="Times New Roman" w:cs="Times New Roman"/>
        </w:rPr>
        <w:t>-focused</w:t>
      </w:r>
      <w:r w:rsidR="00DF258D">
        <w:rPr>
          <w:rFonts w:ascii="Times New Roman" w:hAnsi="Times New Roman" w:cs="Times New Roman"/>
        </w:rPr>
        <w:t>, and one that focused on all three content areas</w:t>
      </w:r>
      <w:r w:rsidR="00716A26" w:rsidRPr="004E35E2">
        <w:rPr>
          <w:rFonts w:ascii="Times New Roman" w:hAnsi="Times New Roman" w:cs="Times New Roman"/>
        </w:rPr>
        <w:t>)</w:t>
      </w:r>
      <w:r w:rsidR="00DF258D">
        <w:rPr>
          <w:rFonts w:ascii="Times New Roman" w:hAnsi="Times New Roman" w:cs="Times New Roman"/>
        </w:rPr>
        <w:t xml:space="preserve">. </w:t>
      </w:r>
      <w:r w:rsidR="008E3A4E">
        <w:rPr>
          <w:rFonts w:ascii="Times New Roman" w:hAnsi="Times New Roman" w:cs="Times New Roman"/>
        </w:rPr>
        <w:t xml:space="preserve">Brief descriptions of each of the programs can be found in the </w:t>
      </w:r>
      <w:r w:rsidR="00B44C8A" w:rsidRPr="00947538">
        <w:rPr>
          <w:rFonts w:ascii="Times New Roman" w:hAnsi="Times New Roman" w:cs="Times New Roman"/>
        </w:rPr>
        <w:t xml:space="preserve">Table </w:t>
      </w:r>
      <w:r w:rsidR="00947538" w:rsidRPr="00947538">
        <w:rPr>
          <w:rFonts w:ascii="Times New Roman" w:hAnsi="Times New Roman" w:cs="Times New Roman"/>
        </w:rPr>
        <w:t>1</w:t>
      </w:r>
      <w:r w:rsidR="008E3A4E">
        <w:rPr>
          <w:rFonts w:ascii="Times New Roman" w:hAnsi="Times New Roman" w:cs="Times New Roman"/>
        </w:rPr>
        <w:t>.</w:t>
      </w:r>
    </w:p>
    <w:p w14:paraId="31127DD7" w14:textId="77777777" w:rsidR="000608CD" w:rsidRDefault="000608CD" w:rsidP="00A73422">
      <w:pPr>
        <w:rPr>
          <w:rFonts w:ascii="Times New Roman" w:hAnsi="Times New Roman" w:cs="Times New Roman"/>
        </w:rPr>
      </w:pPr>
    </w:p>
    <w:p w14:paraId="1EA1714A" w14:textId="1E795DDC" w:rsidR="000608CD" w:rsidRDefault="000608CD" w:rsidP="00A73422">
      <w:pPr>
        <w:rPr>
          <w:rFonts w:ascii="Times New Roman" w:hAnsi="Times New Roman" w:cs="Times New Roman"/>
        </w:rPr>
      </w:pPr>
      <w:r>
        <w:rPr>
          <w:rFonts w:ascii="Times New Roman" w:hAnsi="Times New Roman" w:cs="Times New Roman"/>
        </w:rPr>
        <w:t xml:space="preserve">Table 1 </w:t>
      </w:r>
    </w:p>
    <w:p w14:paraId="3283F927" w14:textId="77777777" w:rsidR="000608CD" w:rsidRPr="00FC17F9" w:rsidRDefault="000608CD" w:rsidP="00A73422">
      <w:pPr>
        <w:rPr>
          <w:rFonts w:ascii="Times New Roman" w:hAnsi="Times New Roman" w:cs="Times New Roman"/>
          <w:i/>
        </w:rPr>
      </w:pPr>
      <w:r w:rsidRPr="00FC17F9">
        <w:rPr>
          <w:rFonts w:ascii="Times New Roman" w:hAnsi="Times New Roman" w:cs="Times New Roman"/>
          <w:i/>
        </w:rPr>
        <w:t>Descriptions of Participant Summer Programs</w:t>
      </w:r>
    </w:p>
    <w:p w14:paraId="0BFA1BC5" w14:textId="77777777" w:rsidR="000608CD" w:rsidRDefault="000608CD" w:rsidP="00A73422">
      <w:pPr>
        <w:rPr>
          <w:rFonts w:ascii="Times New Roman" w:hAnsi="Times New Roman" w:cs="Times New Roman"/>
        </w:rPr>
      </w:pPr>
    </w:p>
    <w:tbl>
      <w:tblPr>
        <w:tblStyle w:val="PlainTable4"/>
        <w:tblW w:w="9625" w:type="dxa"/>
        <w:tblLook w:val="04A0" w:firstRow="1" w:lastRow="0" w:firstColumn="1" w:lastColumn="0" w:noHBand="0" w:noVBand="1"/>
      </w:tblPr>
      <w:tblGrid>
        <w:gridCol w:w="1550"/>
        <w:gridCol w:w="1516"/>
        <w:gridCol w:w="1166"/>
        <w:gridCol w:w="639"/>
        <w:gridCol w:w="4754"/>
      </w:tblGrid>
      <w:tr w:rsidR="000608CD" w14:paraId="65E84C82" w14:textId="77777777" w:rsidTr="00060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15081CCD" w14:textId="77777777" w:rsidR="000608CD" w:rsidRDefault="000608CD" w:rsidP="00A73422">
            <w:pPr>
              <w:jc w:val="center"/>
              <w:rPr>
                <w:rFonts w:ascii="Times New Roman" w:hAnsi="Times New Roman" w:cs="Times New Roman"/>
                <w:b w:val="0"/>
                <w:bCs w:val="0"/>
              </w:rPr>
            </w:pPr>
          </w:p>
          <w:p w14:paraId="73459BD8" w14:textId="77777777" w:rsidR="000608CD" w:rsidRPr="00F41C0D" w:rsidRDefault="000608CD" w:rsidP="00A73422">
            <w:pPr>
              <w:jc w:val="center"/>
              <w:rPr>
                <w:rFonts w:ascii="Times New Roman" w:hAnsi="Times New Roman" w:cs="Times New Roman"/>
                <w:b w:val="0"/>
                <w:bCs w:val="0"/>
              </w:rPr>
            </w:pPr>
            <w:r>
              <w:rPr>
                <w:rFonts w:ascii="Times New Roman" w:hAnsi="Times New Roman" w:cs="Times New Roman"/>
              </w:rPr>
              <w:t>Program*</w:t>
            </w:r>
          </w:p>
        </w:tc>
        <w:tc>
          <w:tcPr>
            <w:tcW w:w="1516" w:type="dxa"/>
            <w:shd w:val="clear" w:color="auto" w:fill="auto"/>
          </w:tcPr>
          <w:p w14:paraId="50789039" w14:textId="77777777" w:rsidR="000608CD" w:rsidRPr="00F41C0D" w:rsidRDefault="000608CD" w:rsidP="00A734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41C0D">
              <w:rPr>
                <w:rFonts w:ascii="Times New Roman" w:hAnsi="Times New Roman" w:cs="Times New Roman"/>
              </w:rPr>
              <w:t xml:space="preserve">Content Focus </w:t>
            </w:r>
          </w:p>
        </w:tc>
        <w:tc>
          <w:tcPr>
            <w:tcW w:w="1173" w:type="dxa"/>
            <w:shd w:val="clear" w:color="auto" w:fill="auto"/>
          </w:tcPr>
          <w:p w14:paraId="3C41C422" w14:textId="77777777" w:rsidR="000608CD" w:rsidRPr="00F41C0D" w:rsidRDefault="000608CD" w:rsidP="00A734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41C0D">
              <w:rPr>
                <w:rFonts w:ascii="Times New Roman" w:hAnsi="Times New Roman" w:cs="Times New Roman"/>
              </w:rPr>
              <w:t xml:space="preserve">Grade Levels Served </w:t>
            </w:r>
          </w:p>
        </w:tc>
        <w:tc>
          <w:tcPr>
            <w:tcW w:w="639" w:type="dxa"/>
            <w:shd w:val="clear" w:color="auto" w:fill="auto"/>
          </w:tcPr>
          <w:p w14:paraId="420E15A2" w14:textId="77777777" w:rsidR="000608CD" w:rsidRPr="00F41C0D" w:rsidRDefault="000608CD" w:rsidP="00A734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41C0D">
              <w:rPr>
                <w:rFonts w:ascii="Times New Roman" w:hAnsi="Times New Roman" w:cs="Times New Roman"/>
              </w:rPr>
              <w:t>Size</w:t>
            </w:r>
          </w:p>
        </w:tc>
        <w:tc>
          <w:tcPr>
            <w:tcW w:w="4841" w:type="dxa"/>
            <w:shd w:val="clear" w:color="auto" w:fill="auto"/>
          </w:tcPr>
          <w:p w14:paraId="3160B40E" w14:textId="77777777" w:rsidR="000608CD" w:rsidRPr="00F41C0D" w:rsidRDefault="000608CD" w:rsidP="00A734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41C0D">
              <w:rPr>
                <w:rFonts w:ascii="Times New Roman" w:hAnsi="Times New Roman" w:cs="Times New Roman"/>
              </w:rPr>
              <w:t>Program Aims</w:t>
            </w:r>
          </w:p>
        </w:tc>
      </w:tr>
      <w:tr w:rsidR="000608CD" w14:paraId="054729D1" w14:textId="77777777" w:rsidTr="0006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1BCC05C0" w14:textId="77777777" w:rsidR="000608CD" w:rsidRPr="00F41C0D" w:rsidRDefault="000608CD" w:rsidP="00A73422">
            <w:pPr>
              <w:rPr>
                <w:rFonts w:ascii="Times New Roman" w:hAnsi="Times New Roman" w:cs="Times New Roman"/>
              </w:rPr>
            </w:pPr>
            <w:r w:rsidRPr="00F41C0D">
              <w:rPr>
                <w:rFonts w:ascii="Times New Roman" w:eastAsia="Times New Roman" w:hAnsi="Times New Roman" w:cs="Times New Roman"/>
              </w:rPr>
              <w:t>Adventures in Mathematics</w:t>
            </w:r>
          </w:p>
        </w:tc>
        <w:tc>
          <w:tcPr>
            <w:tcW w:w="1516" w:type="dxa"/>
            <w:shd w:val="clear" w:color="auto" w:fill="auto"/>
          </w:tcPr>
          <w:p w14:paraId="7D054726"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Mathematics</w:t>
            </w:r>
          </w:p>
        </w:tc>
        <w:tc>
          <w:tcPr>
            <w:tcW w:w="1173" w:type="dxa"/>
            <w:shd w:val="clear" w:color="auto" w:fill="auto"/>
          </w:tcPr>
          <w:p w14:paraId="4E878A0B"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 xml:space="preserve">Rising 8th to 10th </w:t>
            </w:r>
          </w:p>
        </w:tc>
        <w:tc>
          <w:tcPr>
            <w:tcW w:w="639" w:type="dxa"/>
            <w:shd w:val="clear" w:color="auto" w:fill="auto"/>
          </w:tcPr>
          <w:p w14:paraId="40C7B0F9"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C0D">
              <w:rPr>
                <w:rFonts w:ascii="Times New Roman" w:eastAsia="Times New Roman" w:hAnsi="Times New Roman" w:cs="Times New Roman"/>
              </w:rPr>
              <w:t>20</w:t>
            </w:r>
          </w:p>
        </w:tc>
        <w:tc>
          <w:tcPr>
            <w:tcW w:w="4841" w:type="dxa"/>
            <w:shd w:val="clear" w:color="auto" w:fill="auto"/>
          </w:tcPr>
          <w:p w14:paraId="47DD064A"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To d</w:t>
            </w:r>
            <w:r w:rsidRPr="00F41C0D">
              <w:rPr>
                <w:rFonts w:ascii="Times New Roman" w:eastAsia="Times New Roman" w:hAnsi="Times New Roman" w:cs="Times New Roman"/>
              </w:rPr>
              <w:t>evelop basic math skills and prevent summer learning loss through direct instruction and participation in math-related games.</w:t>
            </w:r>
          </w:p>
        </w:tc>
      </w:tr>
      <w:tr w:rsidR="000608CD" w14:paraId="02D76F53" w14:textId="77777777" w:rsidTr="000608CD">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161BDDBE" w14:textId="77777777" w:rsidR="000608CD" w:rsidRPr="00F41C0D" w:rsidRDefault="000608CD" w:rsidP="00A73422">
            <w:pPr>
              <w:rPr>
                <w:rFonts w:ascii="Times New Roman" w:hAnsi="Times New Roman" w:cs="Times New Roman"/>
              </w:rPr>
            </w:pPr>
            <w:r w:rsidRPr="00F41C0D">
              <w:rPr>
                <w:rFonts w:ascii="Times New Roman" w:hAnsi="Times New Roman" w:cs="Times New Roman"/>
              </w:rPr>
              <w:t>Building Mania</w:t>
            </w:r>
          </w:p>
        </w:tc>
        <w:tc>
          <w:tcPr>
            <w:tcW w:w="1516" w:type="dxa"/>
            <w:shd w:val="clear" w:color="auto" w:fill="auto"/>
          </w:tcPr>
          <w:p w14:paraId="461678F2" w14:textId="77777777" w:rsidR="000608CD" w:rsidRDefault="000608CD" w:rsidP="00A73422">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Engineering</w:t>
            </w:r>
          </w:p>
        </w:tc>
        <w:tc>
          <w:tcPr>
            <w:tcW w:w="1173" w:type="dxa"/>
            <w:shd w:val="clear" w:color="auto" w:fill="auto"/>
          </w:tcPr>
          <w:p w14:paraId="672ABB39" w14:textId="77777777" w:rsidR="000608CD" w:rsidRDefault="000608CD" w:rsidP="00A73422">
            <w:pPr>
              <w:cnfStyle w:val="000000000000" w:firstRow="0" w:lastRow="0" w:firstColumn="0" w:lastColumn="0" w:oddVBand="0" w:evenVBand="0" w:oddHBand="0" w:evenHBand="0" w:firstRowFirstColumn="0" w:firstRowLastColumn="0" w:lastRowFirstColumn="0" w:lastRowLastColumn="0"/>
            </w:pPr>
            <w:r w:rsidRPr="00DD53A7">
              <w:rPr>
                <w:rFonts w:ascii="Times New Roman" w:eastAsia="Times New Roman" w:hAnsi="Times New Roman" w:cs="Times New Roman"/>
              </w:rPr>
              <w:t xml:space="preserve">Rising 6th to 9th </w:t>
            </w:r>
          </w:p>
        </w:tc>
        <w:tc>
          <w:tcPr>
            <w:tcW w:w="639" w:type="dxa"/>
            <w:shd w:val="clear" w:color="auto" w:fill="auto"/>
          </w:tcPr>
          <w:p w14:paraId="6D5D5558"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C0D">
              <w:rPr>
                <w:rFonts w:ascii="Times New Roman" w:eastAsia="Times New Roman" w:hAnsi="Times New Roman" w:cs="Times New Roman"/>
              </w:rPr>
              <w:t>24</w:t>
            </w:r>
          </w:p>
        </w:tc>
        <w:tc>
          <w:tcPr>
            <w:tcW w:w="4841" w:type="dxa"/>
            <w:shd w:val="clear" w:color="auto" w:fill="auto"/>
          </w:tcPr>
          <w:p w14:paraId="309FF06E"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To </w:t>
            </w:r>
            <w:r w:rsidRPr="00F41C0D">
              <w:rPr>
                <w:rFonts w:ascii="Times New Roman" w:eastAsia="Times New Roman" w:hAnsi="Times New Roman" w:cs="Times New Roman"/>
              </w:rPr>
              <w:t xml:space="preserve">engage in the engineering design process by determining a need, brainstorming possible </w:t>
            </w:r>
            <w:r w:rsidRPr="00F41C0D">
              <w:rPr>
                <w:rFonts w:ascii="Times New Roman" w:eastAsia="Times New Roman" w:hAnsi="Times New Roman" w:cs="Times New Roman"/>
              </w:rPr>
              <w:lastRenderedPageBreak/>
              <w:t>designs</w:t>
            </w:r>
            <w:r>
              <w:rPr>
                <w:rFonts w:ascii="Times New Roman" w:eastAsia="Times New Roman" w:hAnsi="Times New Roman" w:cs="Times New Roman"/>
              </w:rPr>
              <w:t xml:space="preserve"> for a simple machine</w:t>
            </w:r>
            <w:r w:rsidRPr="00F41C0D">
              <w:rPr>
                <w:rFonts w:ascii="Times New Roman" w:eastAsia="Times New Roman" w:hAnsi="Times New Roman" w:cs="Times New Roman"/>
              </w:rPr>
              <w:t xml:space="preserve">, </w:t>
            </w:r>
            <w:r>
              <w:rPr>
                <w:rFonts w:ascii="Times New Roman" w:eastAsia="Times New Roman" w:hAnsi="Times New Roman" w:cs="Times New Roman"/>
              </w:rPr>
              <w:t>and</w:t>
            </w:r>
            <w:r w:rsidRPr="00F41C0D">
              <w:rPr>
                <w:rFonts w:ascii="Times New Roman" w:eastAsia="Times New Roman" w:hAnsi="Times New Roman" w:cs="Times New Roman"/>
              </w:rPr>
              <w:t xml:space="preserve"> creating</w:t>
            </w:r>
            <w:r>
              <w:rPr>
                <w:rFonts w:ascii="Times New Roman" w:eastAsia="Times New Roman" w:hAnsi="Times New Roman" w:cs="Times New Roman"/>
              </w:rPr>
              <w:t xml:space="preserve">, </w:t>
            </w:r>
            <w:r w:rsidRPr="00F41C0D">
              <w:rPr>
                <w:rFonts w:ascii="Times New Roman" w:eastAsia="Times New Roman" w:hAnsi="Times New Roman" w:cs="Times New Roman"/>
              </w:rPr>
              <w:t xml:space="preserve">testing and revising a final machine. </w:t>
            </w:r>
          </w:p>
        </w:tc>
      </w:tr>
      <w:tr w:rsidR="000608CD" w14:paraId="4FEC0B92" w14:textId="77777777" w:rsidTr="0006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1DD681F2" w14:textId="77777777" w:rsidR="000608CD" w:rsidRPr="00F41C0D" w:rsidRDefault="000608CD" w:rsidP="00A73422">
            <w:pPr>
              <w:rPr>
                <w:rFonts w:ascii="Times New Roman" w:hAnsi="Times New Roman" w:cs="Times New Roman"/>
              </w:rPr>
            </w:pPr>
            <w:proofErr w:type="spellStart"/>
            <w:r w:rsidRPr="00F41C0D">
              <w:rPr>
                <w:rFonts w:ascii="Times New Roman" w:eastAsia="Times New Roman" w:hAnsi="Times New Roman" w:cs="Times New Roman"/>
              </w:rPr>
              <w:lastRenderedPageBreak/>
              <w:t>Comunidad</w:t>
            </w:r>
            <w:proofErr w:type="spellEnd"/>
            <w:r w:rsidRPr="00F41C0D">
              <w:rPr>
                <w:rFonts w:ascii="Times New Roman" w:eastAsia="Times New Roman" w:hAnsi="Times New Roman" w:cs="Times New Roman"/>
              </w:rPr>
              <w:t xml:space="preserve"> de </w:t>
            </w:r>
            <w:proofErr w:type="spellStart"/>
            <w:r w:rsidRPr="00F41C0D">
              <w:rPr>
                <w:rFonts w:ascii="Times New Roman" w:eastAsia="Times New Roman" w:hAnsi="Times New Roman" w:cs="Times New Roman"/>
              </w:rPr>
              <w:t>Aprendizaje</w:t>
            </w:r>
            <w:proofErr w:type="spellEnd"/>
          </w:p>
        </w:tc>
        <w:tc>
          <w:tcPr>
            <w:tcW w:w="1516" w:type="dxa"/>
            <w:shd w:val="clear" w:color="auto" w:fill="auto"/>
          </w:tcPr>
          <w:p w14:paraId="4943DCA2" w14:textId="77777777" w:rsidR="000608CD" w:rsidRPr="00DD53A7" w:rsidRDefault="000608CD" w:rsidP="00A73422">
            <w:pPr>
              <w:shd w:val="clear" w:color="auto" w:fill="FFFFFF"/>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D53A7">
              <w:rPr>
                <w:rFonts w:ascii="Times New Roman" w:eastAsia="Times New Roman" w:hAnsi="Times New Roman" w:cs="Times New Roman"/>
              </w:rPr>
              <w:t xml:space="preserve">Science, Mathematics, </w:t>
            </w:r>
            <w:r>
              <w:rPr>
                <w:rFonts w:ascii="Times New Roman" w:eastAsia="Times New Roman" w:hAnsi="Times New Roman" w:cs="Times New Roman"/>
              </w:rPr>
              <w:t>Engineering</w:t>
            </w:r>
          </w:p>
          <w:p w14:paraId="4B741AC7"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p>
        </w:tc>
        <w:tc>
          <w:tcPr>
            <w:tcW w:w="1173" w:type="dxa"/>
            <w:shd w:val="clear" w:color="auto" w:fill="auto"/>
          </w:tcPr>
          <w:p w14:paraId="40341BA9"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 xml:space="preserve">Rising 5th to 8th </w:t>
            </w:r>
          </w:p>
        </w:tc>
        <w:tc>
          <w:tcPr>
            <w:tcW w:w="639" w:type="dxa"/>
            <w:shd w:val="clear" w:color="auto" w:fill="auto"/>
          </w:tcPr>
          <w:p w14:paraId="2A15F44B"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C0D">
              <w:rPr>
                <w:rFonts w:ascii="Times New Roman" w:eastAsia="Times New Roman" w:hAnsi="Times New Roman" w:cs="Times New Roman"/>
              </w:rPr>
              <w:t>33</w:t>
            </w:r>
          </w:p>
        </w:tc>
        <w:tc>
          <w:tcPr>
            <w:tcW w:w="4841" w:type="dxa"/>
            <w:shd w:val="clear" w:color="auto" w:fill="auto"/>
          </w:tcPr>
          <w:p w14:paraId="2749A92E"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w:t>
            </w:r>
            <w:r w:rsidRPr="00F41C0D">
              <w:rPr>
                <w:rFonts w:ascii="Times New Roman" w:eastAsia="Times New Roman" w:hAnsi="Times New Roman" w:cs="Times New Roman"/>
              </w:rPr>
              <w:t>o help youth improve basic skills in mathematics and develop interest in STEM content and entrepreneurship</w:t>
            </w:r>
            <w:r>
              <w:rPr>
                <w:rFonts w:ascii="Times New Roman" w:eastAsia="Times New Roman" w:hAnsi="Times New Roman" w:cs="Times New Roman"/>
              </w:rPr>
              <w:t xml:space="preserve"> through activities related to robotics and dance</w:t>
            </w:r>
            <w:r w:rsidRPr="00F41C0D">
              <w:rPr>
                <w:rFonts w:ascii="Times New Roman" w:eastAsia="Times New Roman" w:hAnsi="Times New Roman" w:cs="Times New Roman"/>
              </w:rPr>
              <w:t>.</w:t>
            </w:r>
          </w:p>
        </w:tc>
      </w:tr>
      <w:tr w:rsidR="000608CD" w14:paraId="5115DF97" w14:textId="77777777" w:rsidTr="000608CD">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2D84D348" w14:textId="77777777" w:rsidR="000608CD" w:rsidRPr="00F41C0D" w:rsidRDefault="000608CD" w:rsidP="00A73422">
            <w:pPr>
              <w:rPr>
                <w:rFonts w:ascii="Times New Roman" w:hAnsi="Times New Roman" w:cs="Times New Roman"/>
              </w:rPr>
            </w:pPr>
            <w:r w:rsidRPr="00F41C0D">
              <w:rPr>
                <w:rFonts w:ascii="Times New Roman" w:eastAsia="Times New Roman" w:hAnsi="Times New Roman" w:cs="Times New Roman"/>
              </w:rPr>
              <w:t>Island Explorers</w:t>
            </w:r>
          </w:p>
        </w:tc>
        <w:tc>
          <w:tcPr>
            <w:tcW w:w="1516" w:type="dxa"/>
            <w:shd w:val="clear" w:color="auto" w:fill="auto"/>
          </w:tcPr>
          <w:p w14:paraId="5BAA3291" w14:textId="77777777" w:rsidR="000608CD" w:rsidRDefault="000608CD" w:rsidP="00A73422">
            <w:pPr>
              <w:cnfStyle w:val="000000000000" w:firstRow="0" w:lastRow="0" w:firstColumn="0" w:lastColumn="0" w:oddVBand="0" w:evenVBand="0" w:oddHBand="0" w:evenHBand="0" w:firstRowFirstColumn="0" w:firstRowLastColumn="0" w:lastRowFirstColumn="0" w:lastRowLastColumn="0"/>
            </w:pPr>
            <w:r w:rsidRPr="00DD53A7">
              <w:rPr>
                <w:rFonts w:ascii="Times New Roman" w:eastAsia="Times New Roman" w:hAnsi="Times New Roman" w:cs="Times New Roman"/>
              </w:rPr>
              <w:t>Science</w:t>
            </w:r>
          </w:p>
        </w:tc>
        <w:tc>
          <w:tcPr>
            <w:tcW w:w="1173" w:type="dxa"/>
            <w:shd w:val="clear" w:color="auto" w:fill="auto"/>
          </w:tcPr>
          <w:p w14:paraId="2B62D478" w14:textId="77777777" w:rsidR="000608CD" w:rsidRDefault="000608CD" w:rsidP="00A73422">
            <w:pPr>
              <w:cnfStyle w:val="000000000000" w:firstRow="0" w:lastRow="0" w:firstColumn="0" w:lastColumn="0" w:oddVBand="0" w:evenVBand="0" w:oddHBand="0" w:evenHBand="0" w:firstRowFirstColumn="0" w:firstRowLastColumn="0" w:lastRowFirstColumn="0" w:lastRowLastColumn="0"/>
            </w:pPr>
            <w:r w:rsidRPr="00DD53A7">
              <w:rPr>
                <w:rFonts w:ascii="Times New Roman" w:eastAsia="Times New Roman" w:hAnsi="Times New Roman" w:cs="Times New Roman"/>
              </w:rPr>
              <w:t xml:space="preserve">Rising 6th </w:t>
            </w:r>
          </w:p>
        </w:tc>
        <w:tc>
          <w:tcPr>
            <w:tcW w:w="639" w:type="dxa"/>
            <w:shd w:val="clear" w:color="auto" w:fill="auto"/>
          </w:tcPr>
          <w:p w14:paraId="097DD9BC"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C0D">
              <w:rPr>
                <w:rFonts w:ascii="Times New Roman" w:hAnsi="Times New Roman" w:cs="Times New Roman"/>
              </w:rPr>
              <w:t>27</w:t>
            </w:r>
          </w:p>
        </w:tc>
        <w:tc>
          <w:tcPr>
            <w:tcW w:w="4841" w:type="dxa"/>
            <w:shd w:val="clear" w:color="auto" w:fill="auto"/>
          </w:tcPr>
          <w:p w14:paraId="3C16C87B"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C0D">
              <w:rPr>
                <w:rFonts w:ascii="Times New Roman" w:eastAsia="Times New Roman" w:hAnsi="Times New Roman" w:cs="Times New Roman"/>
              </w:rPr>
              <w:t>Develop expertise on one species found in the local ecosystem</w:t>
            </w:r>
            <w:r>
              <w:rPr>
                <w:rFonts w:ascii="Times New Roman" w:eastAsia="Times New Roman" w:hAnsi="Times New Roman" w:cs="Times New Roman"/>
              </w:rPr>
              <w:t xml:space="preserve"> through reading, writing, data collection and analysis, and communication to the public. </w:t>
            </w:r>
            <w:r w:rsidRPr="00F41C0D">
              <w:rPr>
                <w:rFonts w:ascii="Times New Roman" w:eastAsia="Times New Roman" w:hAnsi="Times New Roman" w:cs="Times New Roman"/>
              </w:rPr>
              <w:t xml:space="preserve"> </w:t>
            </w:r>
          </w:p>
        </w:tc>
      </w:tr>
      <w:tr w:rsidR="000608CD" w14:paraId="7FB0C26C" w14:textId="77777777" w:rsidTr="0006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4F2F7394" w14:textId="77777777" w:rsidR="000608CD" w:rsidRPr="00F41C0D" w:rsidRDefault="000608CD" w:rsidP="00A73422">
            <w:pPr>
              <w:rPr>
                <w:rFonts w:ascii="Times New Roman" w:hAnsi="Times New Roman" w:cs="Times New Roman"/>
              </w:rPr>
            </w:pPr>
            <w:r w:rsidRPr="00F41C0D">
              <w:rPr>
                <w:rFonts w:ascii="Times New Roman" w:eastAsia="Times New Roman" w:hAnsi="Times New Roman" w:cs="Times New Roman"/>
              </w:rPr>
              <w:t>Jefferson House</w:t>
            </w:r>
          </w:p>
        </w:tc>
        <w:tc>
          <w:tcPr>
            <w:tcW w:w="1516" w:type="dxa"/>
            <w:shd w:val="clear" w:color="auto" w:fill="auto"/>
          </w:tcPr>
          <w:p w14:paraId="6A71D8CB"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Mathematics, Science</w:t>
            </w:r>
          </w:p>
        </w:tc>
        <w:tc>
          <w:tcPr>
            <w:tcW w:w="1173" w:type="dxa"/>
            <w:shd w:val="clear" w:color="auto" w:fill="auto"/>
          </w:tcPr>
          <w:p w14:paraId="2C96D065"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 xml:space="preserve">Rising 7th </w:t>
            </w:r>
          </w:p>
        </w:tc>
        <w:tc>
          <w:tcPr>
            <w:tcW w:w="639" w:type="dxa"/>
            <w:shd w:val="clear" w:color="auto" w:fill="auto"/>
          </w:tcPr>
          <w:p w14:paraId="30C574B4"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C0D">
              <w:rPr>
                <w:rFonts w:ascii="Times New Roman" w:hAnsi="Times New Roman" w:cs="Times New Roman"/>
              </w:rPr>
              <w:t>11</w:t>
            </w:r>
          </w:p>
        </w:tc>
        <w:tc>
          <w:tcPr>
            <w:tcW w:w="4841" w:type="dxa"/>
            <w:shd w:val="clear" w:color="auto" w:fill="auto"/>
          </w:tcPr>
          <w:p w14:paraId="221AF835"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To develop</w:t>
            </w:r>
            <w:r w:rsidRPr="00F41C0D">
              <w:rPr>
                <w:rFonts w:ascii="Times New Roman" w:eastAsia="Times New Roman" w:hAnsi="Times New Roman" w:cs="Times New Roman"/>
              </w:rPr>
              <w:t xml:space="preserve"> basic math skills, problem solving, self-improvement, and critical thinking skills</w:t>
            </w:r>
            <w:r>
              <w:rPr>
                <w:rFonts w:ascii="Times New Roman" w:eastAsia="Times New Roman" w:hAnsi="Times New Roman" w:cs="Times New Roman"/>
              </w:rPr>
              <w:t xml:space="preserve"> through classroom-based activities and sessions involving media, art, and nutrition</w:t>
            </w:r>
            <w:r w:rsidRPr="00F41C0D">
              <w:rPr>
                <w:rFonts w:ascii="Times New Roman" w:eastAsia="Times New Roman" w:hAnsi="Times New Roman" w:cs="Times New Roman"/>
              </w:rPr>
              <w:t>.</w:t>
            </w:r>
          </w:p>
        </w:tc>
      </w:tr>
      <w:tr w:rsidR="000608CD" w14:paraId="65FF20FB" w14:textId="77777777" w:rsidTr="000608CD">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3B1F99C7" w14:textId="77777777" w:rsidR="000608CD" w:rsidRPr="00F41C0D" w:rsidRDefault="000608CD" w:rsidP="00A73422">
            <w:pPr>
              <w:rPr>
                <w:rFonts w:ascii="Times New Roman" w:hAnsi="Times New Roman" w:cs="Times New Roman"/>
              </w:rPr>
            </w:pPr>
            <w:r w:rsidRPr="00F41C0D">
              <w:rPr>
                <w:rFonts w:ascii="Times New Roman" w:eastAsia="Times New Roman" w:hAnsi="Times New Roman" w:cs="Times New Roman"/>
              </w:rPr>
              <w:t>Marine Investigators</w:t>
            </w:r>
          </w:p>
        </w:tc>
        <w:tc>
          <w:tcPr>
            <w:tcW w:w="1516" w:type="dxa"/>
            <w:shd w:val="clear" w:color="auto" w:fill="auto"/>
          </w:tcPr>
          <w:p w14:paraId="465B3A8A" w14:textId="77777777" w:rsidR="000608CD" w:rsidRDefault="000608CD" w:rsidP="00A73422">
            <w:pPr>
              <w:cnfStyle w:val="000000000000" w:firstRow="0" w:lastRow="0" w:firstColumn="0" w:lastColumn="0" w:oddVBand="0" w:evenVBand="0" w:oddHBand="0" w:evenHBand="0" w:firstRowFirstColumn="0" w:firstRowLastColumn="0" w:lastRowFirstColumn="0" w:lastRowLastColumn="0"/>
            </w:pPr>
            <w:r w:rsidRPr="00DD53A7">
              <w:rPr>
                <w:rFonts w:ascii="Times New Roman" w:eastAsia="Times New Roman" w:hAnsi="Times New Roman" w:cs="Times New Roman"/>
              </w:rPr>
              <w:t>Science</w:t>
            </w:r>
          </w:p>
        </w:tc>
        <w:tc>
          <w:tcPr>
            <w:tcW w:w="1173" w:type="dxa"/>
            <w:shd w:val="clear" w:color="auto" w:fill="auto"/>
          </w:tcPr>
          <w:p w14:paraId="34E19268" w14:textId="77777777" w:rsidR="000608CD" w:rsidRDefault="000608CD" w:rsidP="00A73422">
            <w:pPr>
              <w:cnfStyle w:val="000000000000" w:firstRow="0" w:lastRow="0" w:firstColumn="0" w:lastColumn="0" w:oddVBand="0" w:evenVBand="0" w:oddHBand="0" w:evenHBand="0" w:firstRowFirstColumn="0" w:firstRowLastColumn="0" w:lastRowFirstColumn="0" w:lastRowLastColumn="0"/>
            </w:pPr>
            <w:r w:rsidRPr="00DD53A7">
              <w:rPr>
                <w:rFonts w:ascii="Times New Roman" w:eastAsia="Times New Roman" w:hAnsi="Times New Roman" w:cs="Times New Roman"/>
              </w:rPr>
              <w:t xml:space="preserve">Rising 7th to 9th </w:t>
            </w:r>
          </w:p>
        </w:tc>
        <w:tc>
          <w:tcPr>
            <w:tcW w:w="639" w:type="dxa"/>
            <w:shd w:val="clear" w:color="auto" w:fill="auto"/>
          </w:tcPr>
          <w:p w14:paraId="4CBA6431"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C0D">
              <w:rPr>
                <w:rFonts w:ascii="Times New Roman" w:hAnsi="Times New Roman" w:cs="Times New Roman"/>
              </w:rPr>
              <w:t>19</w:t>
            </w:r>
          </w:p>
        </w:tc>
        <w:tc>
          <w:tcPr>
            <w:tcW w:w="4841" w:type="dxa"/>
            <w:shd w:val="clear" w:color="auto" w:fill="auto"/>
          </w:tcPr>
          <w:p w14:paraId="25A27F6C"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w:t>
            </w:r>
            <w:r w:rsidRPr="00F41C0D">
              <w:rPr>
                <w:rFonts w:ascii="Times New Roman" w:eastAsia="Times New Roman" w:hAnsi="Times New Roman" w:cs="Times New Roman"/>
              </w:rPr>
              <w:t xml:space="preserve">o learn about and experience </w:t>
            </w:r>
            <w:r>
              <w:rPr>
                <w:rFonts w:ascii="Times New Roman" w:eastAsia="Times New Roman" w:hAnsi="Times New Roman" w:cs="Times New Roman"/>
              </w:rPr>
              <w:t>a local ocean bay, examine the bi-directional impacts between</w:t>
            </w:r>
            <w:r w:rsidRPr="00F41C0D">
              <w:rPr>
                <w:rFonts w:ascii="Times New Roman" w:eastAsia="Times New Roman" w:hAnsi="Times New Roman" w:cs="Times New Roman"/>
              </w:rPr>
              <w:t xml:space="preserve"> human</w:t>
            </w:r>
            <w:r>
              <w:rPr>
                <w:rFonts w:ascii="Times New Roman" w:eastAsia="Times New Roman" w:hAnsi="Times New Roman" w:cs="Times New Roman"/>
              </w:rPr>
              <w:t xml:space="preserve">s and the </w:t>
            </w:r>
            <w:r w:rsidRPr="00F41C0D">
              <w:rPr>
                <w:rFonts w:ascii="Times New Roman" w:eastAsia="Times New Roman" w:hAnsi="Times New Roman" w:cs="Times New Roman"/>
              </w:rPr>
              <w:t xml:space="preserve">local ecosystem, </w:t>
            </w:r>
            <w:r>
              <w:rPr>
                <w:rFonts w:ascii="Times New Roman" w:eastAsia="Times New Roman" w:hAnsi="Times New Roman" w:cs="Times New Roman"/>
              </w:rPr>
              <w:t>and</w:t>
            </w:r>
            <w:r w:rsidRPr="00F41C0D">
              <w:rPr>
                <w:rFonts w:ascii="Times New Roman" w:eastAsia="Times New Roman" w:hAnsi="Times New Roman" w:cs="Times New Roman"/>
              </w:rPr>
              <w:t xml:space="preserve"> cultivat</w:t>
            </w:r>
            <w:r>
              <w:rPr>
                <w:rFonts w:ascii="Times New Roman" w:eastAsia="Times New Roman" w:hAnsi="Times New Roman" w:cs="Times New Roman"/>
              </w:rPr>
              <w:t>e</w:t>
            </w:r>
            <w:r w:rsidRPr="00F41C0D">
              <w:rPr>
                <w:rFonts w:ascii="Times New Roman" w:eastAsia="Times New Roman" w:hAnsi="Times New Roman" w:cs="Times New Roman"/>
              </w:rPr>
              <w:t xml:space="preserve"> a sense of stewardship among participating youth.</w:t>
            </w:r>
          </w:p>
        </w:tc>
      </w:tr>
      <w:tr w:rsidR="000608CD" w14:paraId="57708F1C" w14:textId="77777777" w:rsidTr="0006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07A139B8" w14:textId="77777777" w:rsidR="000608CD" w:rsidRPr="00F41C0D" w:rsidRDefault="000608CD" w:rsidP="00A73422">
            <w:pPr>
              <w:rPr>
                <w:rFonts w:ascii="Times New Roman" w:hAnsi="Times New Roman" w:cs="Times New Roman"/>
              </w:rPr>
            </w:pPr>
            <w:r w:rsidRPr="00F41C0D">
              <w:rPr>
                <w:rFonts w:ascii="Times New Roman" w:eastAsia="Times New Roman" w:hAnsi="Times New Roman" w:cs="Times New Roman"/>
              </w:rPr>
              <w:t>The Ecosphere</w:t>
            </w:r>
          </w:p>
        </w:tc>
        <w:tc>
          <w:tcPr>
            <w:tcW w:w="1516" w:type="dxa"/>
            <w:shd w:val="clear" w:color="auto" w:fill="auto"/>
          </w:tcPr>
          <w:p w14:paraId="4F2FF6F9"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Science</w:t>
            </w:r>
          </w:p>
        </w:tc>
        <w:tc>
          <w:tcPr>
            <w:tcW w:w="1173" w:type="dxa"/>
            <w:shd w:val="clear" w:color="auto" w:fill="auto"/>
          </w:tcPr>
          <w:p w14:paraId="7E2291F5" w14:textId="77777777" w:rsidR="000608CD" w:rsidRDefault="000608CD" w:rsidP="00A73422">
            <w:pPr>
              <w:cnfStyle w:val="000000100000" w:firstRow="0" w:lastRow="0" w:firstColumn="0" w:lastColumn="0" w:oddVBand="0" w:evenVBand="0" w:oddHBand="1" w:evenHBand="0" w:firstRowFirstColumn="0" w:firstRowLastColumn="0" w:lastRowFirstColumn="0" w:lastRowLastColumn="0"/>
            </w:pPr>
            <w:r w:rsidRPr="00DD53A7">
              <w:rPr>
                <w:rFonts w:ascii="Times New Roman" w:eastAsia="Times New Roman" w:hAnsi="Times New Roman" w:cs="Times New Roman"/>
              </w:rPr>
              <w:t xml:space="preserve">Rising 6th to 9th </w:t>
            </w:r>
          </w:p>
        </w:tc>
        <w:tc>
          <w:tcPr>
            <w:tcW w:w="639" w:type="dxa"/>
            <w:shd w:val="clear" w:color="auto" w:fill="auto"/>
          </w:tcPr>
          <w:p w14:paraId="0F466C9A"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C0D">
              <w:rPr>
                <w:rFonts w:ascii="Times New Roman" w:hAnsi="Times New Roman" w:cs="Times New Roman"/>
              </w:rPr>
              <w:t>27</w:t>
            </w:r>
          </w:p>
        </w:tc>
        <w:tc>
          <w:tcPr>
            <w:tcW w:w="4841" w:type="dxa"/>
            <w:shd w:val="clear" w:color="auto" w:fill="auto"/>
          </w:tcPr>
          <w:p w14:paraId="1BC10885"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To</w:t>
            </w:r>
            <w:r w:rsidRPr="00F41C0D">
              <w:rPr>
                <w:rFonts w:ascii="Times New Roman" w:eastAsia="Times New Roman" w:hAnsi="Times New Roman" w:cs="Times New Roman"/>
              </w:rPr>
              <w:t xml:space="preserve"> explore the marine life of </w:t>
            </w:r>
            <w:r>
              <w:rPr>
                <w:rFonts w:ascii="Times New Roman" w:eastAsia="Times New Roman" w:hAnsi="Times New Roman" w:cs="Times New Roman"/>
              </w:rPr>
              <w:t>a local ocean b</w:t>
            </w:r>
            <w:r w:rsidRPr="00F41C0D">
              <w:rPr>
                <w:rFonts w:ascii="Times New Roman" w:eastAsia="Times New Roman" w:hAnsi="Times New Roman" w:cs="Times New Roman"/>
              </w:rPr>
              <w:t xml:space="preserve">ay through hands-on experiences that familiarized youth with </w:t>
            </w:r>
            <w:r>
              <w:rPr>
                <w:rFonts w:ascii="Times New Roman" w:eastAsia="Times New Roman" w:hAnsi="Times New Roman" w:cs="Times New Roman"/>
              </w:rPr>
              <w:t xml:space="preserve">water quality, </w:t>
            </w:r>
            <w:r w:rsidRPr="00F41C0D">
              <w:rPr>
                <w:rFonts w:ascii="Times New Roman" w:eastAsia="Times New Roman" w:hAnsi="Times New Roman" w:cs="Times New Roman"/>
              </w:rPr>
              <w:t>aquatic creatures like sharks, invertebrates, and the environment</w:t>
            </w:r>
            <w:r>
              <w:rPr>
                <w:rFonts w:ascii="Times New Roman" w:eastAsia="Times New Roman" w:hAnsi="Times New Roman" w:cs="Times New Roman"/>
              </w:rPr>
              <w:t>s</w:t>
            </w:r>
            <w:r w:rsidRPr="00F41C0D">
              <w:rPr>
                <w:rFonts w:ascii="Times New Roman" w:eastAsia="Times New Roman" w:hAnsi="Times New Roman" w:cs="Times New Roman"/>
              </w:rPr>
              <w:t xml:space="preserve"> these creatures live in. </w:t>
            </w:r>
            <w:r>
              <w:rPr>
                <w:rFonts w:ascii="Times New Roman" w:eastAsia="Times New Roman" w:hAnsi="Times New Roman" w:cs="Times New Roman"/>
              </w:rPr>
              <w:t xml:space="preserve">Focus on human-environment interactions and environmental stewardship. </w:t>
            </w:r>
          </w:p>
        </w:tc>
      </w:tr>
      <w:tr w:rsidR="000608CD" w14:paraId="114701CD" w14:textId="77777777" w:rsidTr="000608CD">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142F193D" w14:textId="77777777" w:rsidR="000608CD" w:rsidRPr="00F41C0D" w:rsidRDefault="000608CD" w:rsidP="00A73422">
            <w:pPr>
              <w:rPr>
                <w:rFonts w:ascii="Times New Roman" w:eastAsia="Times New Roman" w:hAnsi="Times New Roman" w:cs="Times New Roman"/>
              </w:rPr>
            </w:pPr>
            <w:r w:rsidRPr="00F41C0D">
              <w:rPr>
                <w:rFonts w:ascii="Times New Roman" w:eastAsia="Times New Roman" w:hAnsi="Times New Roman" w:cs="Times New Roman"/>
              </w:rPr>
              <w:t>Uptown Architecture</w:t>
            </w:r>
          </w:p>
        </w:tc>
        <w:tc>
          <w:tcPr>
            <w:tcW w:w="1516" w:type="dxa"/>
            <w:shd w:val="clear" w:color="auto" w:fill="auto"/>
          </w:tcPr>
          <w:p w14:paraId="6DE7FA7F" w14:textId="77777777" w:rsidR="000608CD" w:rsidRPr="00DD53A7"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Engineering</w:t>
            </w:r>
          </w:p>
        </w:tc>
        <w:tc>
          <w:tcPr>
            <w:tcW w:w="1173" w:type="dxa"/>
            <w:shd w:val="clear" w:color="auto" w:fill="auto"/>
          </w:tcPr>
          <w:p w14:paraId="7781C2F5" w14:textId="77777777" w:rsidR="000608CD" w:rsidRPr="00DD53A7"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D53A7">
              <w:rPr>
                <w:rFonts w:ascii="Times New Roman" w:eastAsia="Times New Roman" w:hAnsi="Times New Roman" w:cs="Times New Roman"/>
              </w:rPr>
              <w:t xml:space="preserve">Rising 6th to 9th </w:t>
            </w:r>
          </w:p>
        </w:tc>
        <w:tc>
          <w:tcPr>
            <w:tcW w:w="639" w:type="dxa"/>
            <w:shd w:val="clear" w:color="auto" w:fill="auto"/>
          </w:tcPr>
          <w:p w14:paraId="482135B4"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C0D">
              <w:rPr>
                <w:rFonts w:ascii="Times New Roman" w:hAnsi="Times New Roman" w:cs="Times New Roman"/>
              </w:rPr>
              <w:t>16</w:t>
            </w:r>
          </w:p>
        </w:tc>
        <w:tc>
          <w:tcPr>
            <w:tcW w:w="4841" w:type="dxa"/>
            <w:shd w:val="clear" w:color="auto" w:fill="auto"/>
          </w:tcPr>
          <w:p w14:paraId="3D16083E" w14:textId="77777777" w:rsidR="000608CD" w:rsidRPr="00F41C0D" w:rsidRDefault="000608CD" w:rsidP="00A734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w:t>
            </w:r>
            <w:r w:rsidRPr="00F41C0D">
              <w:rPr>
                <w:rFonts w:ascii="Times New Roman" w:eastAsia="Times New Roman" w:hAnsi="Times New Roman" w:cs="Times New Roman"/>
              </w:rPr>
              <w:t xml:space="preserve">o </w:t>
            </w:r>
            <w:r>
              <w:rPr>
                <w:rFonts w:ascii="Times New Roman" w:eastAsia="Times New Roman" w:hAnsi="Times New Roman" w:cs="Times New Roman"/>
              </w:rPr>
              <w:t>develop design-thinking, and collaborative problem-solving to</w:t>
            </w:r>
            <w:r w:rsidRPr="00F41C0D">
              <w:rPr>
                <w:rFonts w:ascii="Times New Roman" w:eastAsia="Times New Roman" w:hAnsi="Times New Roman" w:cs="Times New Roman"/>
              </w:rPr>
              <w:t xml:space="preserve"> build an outdoor learning space for use at the middle school where the program was housed.</w:t>
            </w:r>
            <w:r w:rsidRPr="00F41C0D">
              <w:rPr>
                <w:rFonts w:ascii="Times New Roman" w:hAnsi="Times New Roman" w:cs="Times New Roman"/>
              </w:rPr>
              <w:t xml:space="preserve"> </w:t>
            </w:r>
          </w:p>
        </w:tc>
      </w:tr>
      <w:tr w:rsidR="000608CD" w14:paraId="53B1F78C" w14:textId="77777777" w:rsidTr="000608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auto"/>
          </w:tcPr>
          <w:p w14:paraId="6C1CCFB1" w14:textId="77777777" w:rsidR="000608CD" w:rsidRPr="00F41C0D" w:rsidRDefault="000608CD" w:rsidP="00A73422">
            <w:pPr>
              <w:rPr>
                <w:rFonts w:ascii="Times New Roman" w:eastAsia="Times New Roman" w:hAnsi="Times New Roman" w:cs="Times New Roman"/>
              </w:rPr>
            </w:pPr>
            <w:r w:rsidRPr="00F41C0D">
              <w:rPr>
                <w:rFonts w:ascii="Times New Roman" w:eastAsia="Times New Roman" w:hAnsi="Times New Roman" w:cs="Times New Roman"/>
              </w:rPr>
              <w:t>Zoology Partners</w:t>
            </w:r>
          </w:p>
        </w:tc>
        <w:tc>
          <w:tcPr>
            <w:tcW w:w="1516" w:type="dxa"/>
            <w:shd w:val="clear" w:color="auto" w:fill="auto"/>
          </w:tcPr>
          <w:p w14:paraId="28589850" w14:textId="77777777" w:rsidR="000608CD" w:rsidRPr="00DD53A7"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D53A7">
              <w:rPr>
                <w:rFonts w:ascii="Times New Roman" w:eastAsia="Times New Roman" w:hAnsi="Times New Roman" w:cs="Times New Roman"/>
              </w:rPr>
              <w:t>Science</w:t>
            </w:r>
          </w:p>
        </w:tc>
        <w:tc>
          <w:tcPr>
            <w:tcW w:w="1173" w:type="dxa"/>
            <w:shd w:val="clear" w:color="auto" w:fill="auto"/>
          </w:tcPr>
          <w:p w14:paraId="69D7F4D3" w14:textId="77777777" w:rsidR="000608CD" w:rsidRPr="00DD53A7"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D53A7">
              <w:rPr>
                <w:rFonts w:ascii="Times New Roman" w:eastAsia="Times New Roman" w:hAnsi="Times New Roman" w:cs="Times New Roman"/>
              </w:rPr>
              <w:t xml:space="preserve">Rising 6th to 9th </w:t>
            </w:r>
          </w:p>
        </w:tc>
        <w:tc>
          <w:tcPr>
            <w:tcW w:w="639" w:type="dxa"/>
            <w:shd w:val="clear" w:color="auto" w:fill="auto"/>
          </w:tcPr>
          <w:p w14:paraId="1CD83299"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C0D">
              <w:rPr>
                <w:rFonts w:ascii="Times New Roman" w:hAnsi="Times New Roman" w:cs="Times New Roman"/>
              </w:rPr>
              <w:t>26</w:t>
            </w:r>
          </w:p>
        </w:tc>
        <w:tc>
          <w:tcPr>
            <w:tcW w:w="4841" w:type="dxa"/>
            <w:shd w:val="clear" w:color="auto" w:fill="auto"/>
          </w:tcPr>
          <w:p w14:paraId="2D19D94C" w14:textId="77777777" w:rsidR="000608CD" w:rsidRPr="00F41C0D" w:rsidRDefault="000608CD" w:rsidP="00A734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To</w:t>
            </w:r>
            <w:r w:rsidRPr="00F41C0D">
              <w:rPr>
                <w:rFonts w:ascii="Times New Roman" w:eastAsia="Times New Roman" w:hAnsi="Times New Roman" w:cs="Times New Roman"/>
              </w:rPr>
              <w:t xml:space="preserve"> develo</w:t>
            </w:r>
            <w:r>
              <w:rPr>
                <w:rFonts w:ascii="Times New Roman" w:eastAsia="Times New Roman" w:hAnsi="Times New Roman" w:cs="Times New Roman"/>
              </w:rPr>
              <w:t>p</w:t>
            </w:r>
            <w:r w:rsidRPr="00F41C0D">
              <w:rPr>
                <w:rFonts w:ascii="Times New Roman" w:eastAsia="Times New Roman" w:hAnsi="Times New Roman" w:cs="Times New Roman"/>
              </w:rPr>
              <w:t xml:space="preserve"> content knowledge</w:t>
            </w:r>
            <w:r>
              <w:rPr>
                <w:rFonts w:ascii="Times New Roman" w:eastAsia="Times New Roman" w:hAnsi="Times New Roman" w:cs="Times New Roman"/>
              </w:rPr>
              <w:t xml:space="preserve"> and stewardship</w:t>
            </w:r>
            <w:r w:rsidRPr="00F41C0D">
              <w:rPr>
                <w:rFonts w:ascii="Times New Roman" w:eastAsia="Times New Roman" w:hAnsi="Times New Roman" w:cs="Times New Roman"/>
              </w:rPr>
              <w:t xml:space="preserve"> related to the issue of endangered species</w:t>
            </w:r>
            <w:r>
              <w:rPr>
                <w:rFonts w:ascii="Times New Roman" w:eastAsia="Times New Roman" w:hAnsi="Times New Roman" w:cs="Times New Roman"/>
              </w:rPr>
              <w:t xml:space="preserve"> through fieldwork, exposure to terminology, and interaction with scientists. </w:t>
            </w:r>
            <w:r w:rsidRPr="00F41C0D">
              <w:rPr>
                <w:rFonts w:ascii="Times New Roman" w:eastAsia="Times New Roman" w:hAnsi="Times New Roman" w:cs="Times New Roman"/>
              </w:rPr>
              <w:t xml:space="preserve"> </w:t>
            </w:r>
          </w:p>
        </w:tc>
      </w:tr>
    </w:tbl>
    <w:p w14:paraId="6D72A5E0" w14:textId="77777777" w:rsidR="000608CD" w:rsidRPr="009A6DE4" w:rsidRDefault="000608CD" w:rsidP="00A73422">
      <w:pPr>
        <w:rPr>
          <w:rFonts w:ascii="Times New Roman" w:hAnsi="Times New Roman" w:cs="Times New Roman"/>
        </w:rPr>
      </w:pPr>
      <w:r>
        <w:rPr>
          <w:rFonts w:ascii="Times New Roman" w:hAnsi="Times New Roman" w:cs="Times New Roman"/>
        </w:rPr>
        <w:t>*all program names are pseudonyms</w:t>
      </w:r>
    </w:p>
    <w:p w14:paraId="30E364DE" w14:textId="77777777" w:rsidR="000608CD" w:rsidRDefault="000608CD" w:rsidP="00A73422">
      <w:pPr>
        <w:contextualSpacing/>
        <w:rPr>
          <w:rFonts w:ascii="Times New Roman" w:hAnsi="Times New Roman" w:cs="Times New Roman"/>
        </w:rPr>
      </w:pPr>
    </w:p>
    <w:p w14:paraId="7B90F7DB" w14:textId="58BB9F84" w:rsidR="003266E1" w:rsidRPr="00FD6AF2" w:rsidRDefault="00B6535D" w:rsidP="00A73422">
      <w:pPr>
        <w:contextualSpacing/>
        <w:rPr>
          <w:rFonts w:ascii="Times New Roman" w:hAnsi="Times New Roman" w:cs="Times New Roman"/>
        </w:rPr>
      </w:pPr>
      <w:r w:rsidRPr="004E35E2">
        <w:rPr>
          <w:rFonts w:ascii="Times New Roman" w:hAnsi="Times New Roman" w:cs="Times New Roman"/>
        </w:rPr>
        <w:t xml:space="preserve">In each of the programs, about half of the programming time was spent in classroom locations with instruction focused on STEM concepts, and half was spent in </w:t>
      </w:r>
      <w:r w:rsidR="00354743">
        <w:rPr>
          <w:rFonts w:ascii="Times New Roman" w:hAnsi="Times New Roman" w:cs="Times New Roman"/>
        </w:rPr>
        <w:t xml:space="preserve">different locations doing </w:t>
      </w:r>
      <w:r w:rsidR="008E30D5" w:rsidRPr="004E35E2">
        <w:rPr>
          <w:rFonts w:ascii="Times New Roman" w:hAnsi="Times New Roman" w:cs="Times New Roman"/>
        </w:rPr>
        <w:t xml:space="preserve">enrichment activities. Six of the programs held enrichment activities in </w:t>
      </w:r>
      <w:r w:rsidR="004E6604" w:rsidRPr="004E35E2">
        <w:rPr>
          <w:rFonts w:ascii="Times New Roman" w:hAnsi="Times New Roman" w:cs="Times New Roman"/>
        </w:rPr>
        <w:t xml:space="preserve">field or </w:t>
      </w:r>
      <w:r w:rsidRPr="004E35E2">
        <w:rPr>
          <w:rFonts w:ascii="Times New Roman" w:hAnsi="Times New Roman" w:cs="Times New Roman"/>
        </w:rPr>
        <w:t xml:space="preserve">community locations where students participated in a variety of program-relevant activities </w:t>
      </w:r>
      <w:r w:rsidR="0079648D">
        <w:rPr>
          <w:rFonts w:ascii="Times New Roman" w:hAnsi="Times New Roman" w:cs="Times New Roman"/>
        </w:rPr>
        <w:t>such as</w:t>
      </w:r>
      <w:r w:rsidRPr="004E35E2">
        <w:rPr>
          <w:rFonts w:ascii="Times New Roman" w:hAnsi="Times New Roman" w:cs="Times New Roman"/>
        </w:rPr>
        <w:t xml:space="preserve"> collecting water samples, building solar-powered go carts, or observing animal life. </w:t>
      </w:r>
      <w:r w:rsidR="008E30D5" w:rsidRPr="004E35E2">
        <w:rPr>
          <w:rFonts w:ascii="Times New Roman" w:hAnsi="Times New Roman" w:cs="Times New Roman"/>
        </w:rPr>
        <w:t>Two</w:t>
      </w:r>
      <w:r w:rsidR="00444F74" w:rsidRPr="004E35E2">
        <w:rPr>
          <w:rFonts w:ascii="Times New Roman" w:hAnsi="Times New Roman" w:cs="Times New Roman"/>
        </w:rPr>
        <w:t xml:space="preserve"> programs</w:t>
      </w:r>
      <w:r w:rsidR="008E30D5" w:rsidRPr="004E35E2">
        <w:rPr>
          <w:rFonts w:ascii="Times New Roman" w:hAnsi="Times New Roman" w:cs="Times New Roman"/>
        </w:rPr>
        <w:t xml:space="preserve"> </w:t>
      </w:r>
      <w:r w:rsidR="00354743">
        <w:rPr>
          <w:rFonts w:ascii="Times New Roman" w:hAnsi="Times New Roman" w:cs="Times New Roman"/>
        </w:rPr>
        <w:t>held</w:t>
      </w:r>
      <w:r w:rsidR="00444F74" w:rsidRPr="004E35E2">
        <w:rPr>
          <w:rFonts w:ascii="Times New Roman" w:hAnsi="Times New Roman" w:cs="Times New Roman"/>
        </w:rPr>
        <w:t xml:space="preserve"> enrichment </w:t>
      </w:r>
      <w:r w:rsidR="0079648D">
        <w:rPr>
          <w:rFonts w:ascii="Times New Roman" w:hAnsi="Times New Roman" w:cs="Times New Roman"/>
        </w:rPr>
        <w:t>activities</w:t>
      </w:r>
      <w:r w:rsidR="00444F74" w:rsidRPr="004E35E2">
        <w:rPr>
          <w:rFonts w:ascii="Times New Roman" w:hAnsi="Times New Roman" w:cs="Times New Roman"/>
        </w:rPr>
        <w:t xml:space="preserve"> </w:t>
      </w:r>
      <w:r w:rsidR="00354743">
        <w:rPr>
          <w:rFonts w:ascii="Times New Roman" w:hAnsi="Times New Roman" w:cs="Times New Roman"/>
        </w:rPr>
        <w:t>on college</w:t>
      </w:r>
      <w:r w:rsidR="00444F74" w:rsidRPr="004E35E2">
        <w:rPr>
          <w:rFonts w:ascii="Times New Roman" w:hAnsi="Times New Roman" w:cs="Times New Roman"/>
        </w:rPr>
        <w:t xml:space="preserve"> campuses in places other than classrooms</w:t>
      </w:r>
      <w:r w:rsidR="0079648D">
        <w:rPr>
          <w:rFonts w:ascii="Times New Roman" w:hAnsi="Times New Roman" w:cs="Times New Roman"/>
        </w:rPr>
        <w:t xml:space="preserve">, and one </w:t>
      </w:r>
      <w:r w:rsidR="00444F74" w:rsidRPr="004E35E2">
        <w:rPr>
          <w:rFonts w:ascii="Times New Roman" w:hAnsi="Times New Roman" w:cs="Times New Roman"/>
        </w:rPr>
        <w:t xml:space="preserve">program </w:t>
      </w:r>
      <w:r w:rsidR="00394282">
        <w:rPr>
          <w:rFonts w:ascii="Times New Roman" w:hAnsi="Times New Roman" w:cs="Times New Roman"/>
        </w:rPr>
        <w:t xml:space="preserve">held </w:t>
      </w:r>
      <w:r w:rsidR="0079648D">
        <w:rPr>
          <w:rFonts w:ascii="Times New Roman" w:hAnsi="Times New Roman" w:cs="Times New Roman"/>
        </w:rPr>
        <w:t xml:space="preserve">its </w:t>
      </w:r>
      <w:r w:rsidR="00394282">
        <w:rPr>
          <w:rFonts w:ascii="Times New Roman" w:hAnsi="Times New Roman" w:cs="Times New Roman"/>
        </w:rPr>
        <w:t xml:space="preserve">enrichment activities in non-academic spaces in a community center. </w:t>
      </w:r>
      <w:r w:rsidRPr="004E35E2">
        <w:rPr>
          <w:rFonts w:ascii="Times New Roman" w:hAnsi="Times New Roman" w:cs="Times New Roman"/>
        </w:rPr>
        <w:t xml:space="preserve">Each program </w:t>
      </w:r>
      <w:r w:rsidR="009552B1" w:rsidRPr="004E35E2">
        <w:rPr>
          <w:rFonts w:ascii="Times New Roman" w:hAnsi="Times New Roman" w:cs="Times New Roman"/>
        </w:rPr>
        <w:t xml:space="preserve">lasted </w:t>
      </w:r>
      <w:r w:rsidR="0079648D">
        <w:rPr>
          <w:rFonts w:ascii="Times New Roman" w:hAnsi="Times New Roman" w:cs="Times New Roman"/>
        </w:rPr>
        <w:t>four</w:t>
      </w:r>
      <w:r w:rsidR="009552B1" w:rsidRPr="004E35E2">
        <w:rPr>
          <w:rFonts w:ascii="Times New Roman" w:hAnsi="Times New Roman" w:cs="Times New Roman"/>
        </w:rPr>
        <w:t xml:space="preserve"> to </w:t>
      </w:r>
      <w:r w:rsidR="0079648D">
        <w:rPr>
          <w:rFonts w:ascii="Times New Roman" w:hAnsi="Times New Roman" w:cs="Times New Roman"/>
        </w:rPr>
        <w:t>six</w:t>
      </w:r>
      <w:r w:rsidR="009552B1" w:rsidRPr="004E35E2">
        <w:rPr>
          <w:rFonts w:ascii="Times New Roman" w:hAnsi="Times New Roman" w:cs="Times New Roman"/>
        </w:rPr>
        <w:t xml:space="preserve"> weeks, offering STEM-oriented program</w:t>
      </w:r>
      <w:r w:rsidR="00500AB5" w:rsidRPr="00FD6AF2">
        <w:rPr>
          <w:rFonts w:ascii="Times New Roman" w:hAnsi="Times New Roman" w:cs="Times New Roman"/>
        </w:rPr>
        <w:t>ming</w:t>
      </w:r>
      <w:r w:rsidR="009552B1" w:rsidRPr="00FD6AF2">
        <w:rPr>
          <w:rFonts w:ascii="Times New Roman" w:hAnsi="Times New Roman" w:cs="Times New Roman"/>
        </w:rPr>
        <w:t xml:space="preserve"> </w:t>
      </w:r>
      <w:r w:rsidR="0079648D">
        <w:rPr>
          <w:rFonts w:ascii="Times New Roman" w:hAnsi="Times New Roman" w:cs="Times New Roman"/>
        </w:rPr>
        <w:t>four</w:t>
      </w:r>
      <w:r w:rsidR="009552B1" w:rsidRPr="00FD6AF2">
        <w:rPr>
          <w:rFonts w:ascii="Times New Roman" w:hAnsi="Times New Roman" w:cs="Times New Roman"/>
        </w:rPr>
        <w:t xml:space="preserve"> da</w:t>
      </w:r>
      <w:r w:rsidR="00444F74" w:rsidRPr="00FD6AF2">
        <w:rPr>
          <w:rFonts w:ascii="Times New Roman" w:hAnsi="Times New Roman" w:cs="Times New Roman"/>
        </w:rPr>
        <w:t xml:space="preserve">ys a </w:t>
      </w:r>
      <w:r w:rsidR="009552B1" w:rsidRPr="00FD6AF2">
        <w:rPr>
          <w:rFonts w:ascii="Times New Roman" w:hAnsi="Times New Roman" w:cs="Times New Roman"/>
        </w:rPr>
        <w:t>week for 3.5</w:t>
      </w:r>
      <w:r w:rsidR="0079648D">
        <w:rPr>
          <w:rFonts w:ascii="Times New Roman" w:hAnsi="Times New Roman" w:cs="Times New Roman"/>
        </w:rPr>
        <w:t xml:space="preserve"> to four</w:t>
      </w:r>
      <w:r w:rsidR="009552B1" w:rsidRPr="00FD6AF2">
        <w:rPr>
          <w:rFonts w:ascii="Times New Roman" w:hAnsi="Times New Roman" w:cs="Times New Roman"/>
        </w:rPr>
        <w:t xml:space="preserve"> hours each day. </w:t>
      </w:r>
    </w:p>
    <w:p w14:paraId="553A1C55" w14:textId="77777777" w:rsidR="00B6535D" w:rsidRPr="00870EF0" w:rsidRDefault="00B6535D" w:rsidP="00A73422">
      <w:pPr>
        <w:contextualSpacing/>
        <w:rPr>
          <w:rFonts w:ascii="Times New Roman" w:hAnsi="Times New Roman" w:cs="Times New Roman"/>
          <w:b/>
        </w:rPr>
      </w:pPr>
      <w:r w:rsidRPr="00870EF0">
        <w:rPr>
          <w:rFonts w:ascii="Times New Roman" w:hAnsi="Times New Roman" w:cs="Times New Roman"/>
          <w:b/>
        </w:rPr>
        <w:t>Participants</w:t>
      </w:r>
    </w:p>
    <w:p w14:paraId="6D0A375B" w14:textId="69E9EDBA" w:rsidR="00E134BA" w:rsidRDefault="003266E1" w:rsidP="00A73422">
      <w:pPr>
        <w:ind w:firstLine="720"/>
        <w:contextualSpacing/>
        <w:rPr>
          <w:rFonts w:ascii="Times New Roman" w:hAnsi="Times New Roman" w:cs="Times New Roman"/>
        </w:rPr>
      </w:pPr>
      <w:r w:rsidRPr="00011528">
        <w:rPr>
          <w:rFonts w:ascii="Times New Roman" w:hAnsi="Times New Roman" w:cs="Times New Roman"/>
        </w:rPr>
        <w:lastRenderedPageBreak/>
        <w:t xml:space="preserve">Participants included 203 youth </w:t>
      </w:r>
      <w:r w:rsidR="00B6535D" w:rsidRPr="0041527C">
        <w:rPr>
          <w:rFonts w:ascii="Times New Roman" w:hAnsi="Times New Roman" w:cs="Times New Roman"/>
        </w:rPr>
        <w:t>from the nine</w:t>
      </w:r>
      <w:r w:rsidRPr="00111E51">
        <w:rPr>
          <w:rFonts w:ascii="Times New Roman" w:hAnsi="Times New Roman" w:cs="Times New Roman"/>
        </w:rPr>
        <w:t xml:space="preserve"> programs. Participants were </w:t>
      </w:r>
      <w:r w:rsidR="00622894" w:rsidRPr="003D3598">
        <w:rPr>
          <w:rFonts w:ascii="Times New Roman" w:hAnsi="Times New Roman" w:cs="Times New Roman"/>
        </w:rPr>
        <w:t>primarily Hispanic (48%) or African-American (36%</w:t>
      </w:r>
      <w:r w:rsidRPr="003D3598">
        <w:rPr>
          <w:rFonts w:ascii="Times New Roman" w:hAnsi="Times New Roman" w:cs="Times New Roman"/>
        </w:rPr>
        <w:t>).</w:t>
      </w:r>
      <w:r w:rsidR="00622894" w:rsidRPr="003D3598">
        <w:rPr>
          <w:rFonts w:ascii="Times New Roman" w:hAnsi="Times New Roman" w:cs="Times New Roman"/>
        </w:rPr>
        <w:t xml:space="preserve"> The mean age of participants was 13 years (range 10-16)</w:t>
      </w:r>
      <w:r w:rsidR="00B6535D" w:rsidRPr="003D3598">
        <w:rPr>
          <w:rFonts w:ascii="Times New Roman" w:hAnsi="Times New Roman" w:cs="Times New Roman"/>
        </w:rPr>
        <w:t xml:space="preserve">. </w:t>
      </w:r>
      <w:r w:rsidR="00792032" w:rsidRPr="003D3598">
        <w:rPr>
          <w:rFonts w:ascii="Times New Roman" w:hAnsi="Times New Roman" w:cs="Times New Roman"/>
        </w:rPr>
        <w:t xml:space="preserve">Youth were about evenly split by gender. </w:t>
      </w:r>
      <w:r w:rsidR="00B6535D" w:rsidRPr="003D3598">
        <w:rPr>
          <w:rFonts w:ascii="Times New Roman" w:hAnsi="Times New Roman" w:cs="Times New Roman"/>
        </w:rPr>
        <w:t xml:space="preserve">See Table </w:t>
      </w:r>
      <w:r w:rsidR="00947538">
        <w:rPr>
          <w:rFonts w:ascii="Times New Roman" w:hAnsi="Times New Roman" w:cs="Times New Roman"/>
        </w:rPr>
        <w:t>2</w:t>
      </w:r>
      <w:r w:rsidR="00B6535D" w:rsidRPr="003D3598">
        <w:rPr>
          <w:rFonts w:ascii="Times New Roman" w:hAnsi="Times New Roman" w:cs="Times New Roman"/>
        </w:rPr>
        <w:t xml:space="preserve"> for </w:t>
      </w:r>
      <w:r w:rsidR="00304EFD" w:rsidRPr="003D3598">
        <w:rPr>
          <w:rFonts w:ascii="Times New Roman" w:hAnsi="Times New Roman" w:cs="Times New Roman"/>
        </w:rPr>
        <w:t>additional details</w:t>
      </w:r>
      <w:r w:rsidR="00B6535D" w:rsidRPr="00510F66">
        <w:rPr>
          <w:rFonts w:ascii="Times New Roman" w:hAnsi="Times New Roman" w:cs="Times New Roman"/>
        </w:rPr>
        <w:t>.</w:t>
      </w:r>
    </w:p>
    <w:p w14:paraId="5FD34268" w14:textId="77777777" w:rsidR="00A73422" w:rsidRDefault="00A73422" w:rsidP="00A73422">
      <w:pPr>
        <w:ind w:left="720" w:hanging="720"/>
        <w:rPr>
          <w:rFonts w:ascii="Times New Roman" w:hAnsi="Times New Roman" w:cs="Times New Roman"/>
        </w:rPr>
      </w:pPr>
    </w:p>
    <w:p w14:paraId="3DA946DB" w14:textId="2210211E" w:rsidR="00A73422" w:rsidRDefault="000608CD" w:rsidP="00A73422">
      <w:pPr>
        <w:ind w:left="720" w:hanging="720"/>
        <w:rPr>
          <w:rFonts w:ascii="Times New Roman" w:hAnsi="Times New Roman" w:cs="Times New Roman"/>
        </w:rPr>
      </w:pPr>
      <w:r w:rsidRPr="00AA2084">
        <w:rPr>
          <w:rFonts w:ascii="Times New Roman" w:hAnsi="Times New Roman" w:cs="Times New Roman"/>
        </w:rPr>
        <w:t xml:space="preserve">Table </w:t>
      </w:r>
      <w:r>
        <w:rPr>
          <w:rFonts w:ascii="Times New Roman" w:hAnsi="Times New Roman" w:cs="Times New Roman"/>
        </w:rPr>
        <w:t>2</w:t>
      </w:r>
    </w:p>
    <w:p w14:paraId="7C395B2B" w14:textId="65104EBB" w:rsidR="000608CD" w:rsidRPr="00A73422" w:rsidRDefault="000608CD" w:rsidP="00A73422">
      <w:pPr>
        <w:ind w:left="720" w:hanging="720"/>
        <w:rPr>
          <w:rFonts w:ascii="Times New Roman" w:hAnsi="Times New Roman" w:cs="Times New Roman"/>
        </w:rPr>
      </w:pPr>
      <w:r w:rsidRPr="00AA2084">
        <w:rPr>
          <w:rFonts w:ascii="Times New Roman" w:hAnsi="Times New Roman" w:cs="Times New Roman"/>
          <w:i/>
        </w:rPr>
        <w:t>Participant Demographic Characteristics</w:t>
      </w:r>
    </w:p>
    <w:tbl>
      <w:tblPr>
        <w:tblStyle w:val="TableGrid"/>
        <w:tblW w:w="0" w:type="auto"/>
        <w:tblLayout w:type="fixed"/>
        <w:tblLook w:val="04A0" w:firstRow="1" w:lastRow="0" w:firstColumn="1" w:lastColumn="0" w:noHBand="0" w:noVBand="1"/>
      </w:tblPr>
      <w:tblGrid>
        <w:gridCol w:w="2808"/>
        <w:gridCol w:w="1350"/>
      </w:tblGrid>
      <w:tr w:rsidR="000608CD" w:rsidRPr="003D3598" w14:paraId="61062C75" w14:textId="77777777" w:rsidTr="00FD613B">
        <w:tc>
          <w:tcPr>
            <w:tcW w:w="2808" w:type="dxa"/>
            <w:tcBorders>
              <w:top w:val="nil"/>
              <w:left w:val="nil"/>
              <w:bottom w:val="single" w:sz="4" w:space="0" w:color="auto"/>
              <w:right w:val="nil"/>
            </w:tcBorders>
          </w:tcPr>
          <w:p w14:paraId="3F6B883E"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Students (</w:t>
            </w:r>
            <w:r w:rsidRPr="00AA2084">
              <w:rPr>
                <w:rFonts w:ascii="Times New Roman" w:hAnsi="Times New Roman" w:cs="Times New Roman"/>
                <w:i/>
              </w:rPr>
              <w:t xml:space="preserve">N </w:t>
            </w:r>
            <w:r w:rsidRPr="00AA2084">
              <w:rPr>
                <w:rFonts w:ascii="Times New Roman" w:hAnsi="Times New Roman" w:cs="Times New Roman"/>
              </w:rPr>
              <w:t>= 203)</w:t>
            </w:r>
          </w:p>
        </w:tc>
        <w:tc>
          <w:tcPr>
            <w:tcW w:w="1350" w:type="dxa"/>
            <w:tcBorders>
              <w:top w:val="nil"/>
              <w:left w:val="nil"/>
              <w:bottom w:val="single" w:sz="4" w:space="0" w:color="auto"/>
              <w:right w:val="nil"/>
            </w:tcBorders>
          </w:tcPr>
          <w:p w14:paraId="1B5683AC"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 Students</w:t>
            </w:r>
          </w:p>
        </w:tc>
      </w:tr>
      <w:tr w:rsidR="000608CD" w:rsidRPr="003D3598" w14:paraId="35B4BAD2" w14:textId="77777777" w:rsidTr="00FD613B">
        <w:tc>
          <w:tcPr>
            <w:tcW w:w="2808" w:type="dxa"/>
            <w:tcBorders>
              <w:top w:val="single" w:sz="4" w:space="0" w:color="auto"/>
              <w:left w:val="nil"/>
              <w:bottom w:val="nil"/>
              <w:right w:val="nil"/>
            </w:tcBorders>
          </w:tcPr>
          <w:p w14:paraId="44E46F94" w14:textId="77777777" w:rsidR="000608CD" w:rsidRPr="00AA2084" w:rsidRDefault="000608CD" w:rsidP="00A73422">
            <w:pPr>
              <w:rPr>
                <w:rFonts w:ascii="Times New Roman" w:hAnsi="Times New Roman" w:cs="Times New Roman"/>
              </w:rPr>
            </w:pPr>
          </w:p>
        </w:tc>
        <w:tc>
          <w:tcPr>
            <w:tcW w:w="1350" w:type="dxa"/>
            <w:tcBorders>
              <w:top w:val="single" w:sz="4" w:space="0" w:color="auto"/>
              <w:left w:val="nil"/>
              <w:bottom w:val="nil"/>
              <w:right w:val="nil"/>
            </w:tcBorders>
          </w:tcPr>
          <w:p w14:paraId="0A9949E6" w14:textId="77777777" w:rsidR="000608CD" w:rsidRPr="00AA2084" w:rsidRDefault="000608CD" w:rsidP="00A73422">
            <w:pPr>
              <w:jc w:val="center"/>
              <w:rPr>
                <w:rFonts w:ascii="Times New Roman" w:hAnsi="Times New Roman" w:cs="Times New Roman"/>
              </w:rPr>
            </w:pPr>
          </w:p>
        </w:tc>
      </w:tr>
      <w:tr w:rsidR="000608CD" w:rsidRPr="003D3598" w14:paraId="5DC00907" w14:textId="77777777" w:rsidTr="00FD613B">
        <w:tc>
          <w:tcPr>
            <w:tcW w:w="2808" w:type="dxa"/>
            <w:tcBorders>
              <w:top w:val="nil"/>
              <w:left w:val="nil"/>
              <w:bottom w:val="nil"/>
              <w:right w:val="nil"/>
            </w:tcBorders>
          </w:tcPr>
          <w:p w14:paraId="716FE1F4" w14:textId="77777777" w:rsidR="000608CD" w:rsidRPr="00AA2084" w:rsidRDefault="000608CD" w:rsidP="00A73422">
            <w:pPr>
              <w:rPr>
                <w:rFonts w:ascii="Times New Roman" w:hAnsi="Times New Roman" w:cs="Times New Roman"/>
                <w:i/>
              </w:rPr>
            </w:pPr>
            <w:r w:rsidRPr="00AA2084">
              <w:rPr>
                <w:rFonts w:ascii="Times New Roman" w:hAnsi="Times New Roman" w:cs="Times New Roman"/>
                <w:i/>
              </w:rPr>
              <w:t>Sex</w:t>
            </w:r>
          </w:p>
        </w:tc>
        <w:tc>
          <w:tcPr>
            <w:tcW w:w="1350" w:type="dxa"/>
            <w:tcBorders>
              <w:top w:val="nil"/>
              <w:left w:val="nil"/>
              <w:bottom w:val="nil"/>
              <w:right w:val="nil"/>
            </w:tcBorders>
          </w:tcPr>
          <w:p w14:paraId="6C3C3B69" w14:textId="77777777" w:rsidR="000608CD" w:rsidRPr="00AA2084" w:rsidRDefault="000608CD" w:rsidP="00A73422">
            <w:pPr>
              <w:jc w:val="center"/>
              <w:rPr>
                <w:rFonts w:ascii="Times New Roman" w:hAnsi="Times New Roman" w:cs="Times New Roman"/>
              </w:rPr>
            </w:pPr>
          </w:p>
        </w:tc>
      </w:tr>
      <w:tr w:rsidR="000608CD" w:rsidRPr="003D3598" w14:paraId="3AE5895D" w14:textId="77777777" w:rsidTr="00FD613B">
        <w:tc>
          <w:tcPr>
            <w:tcW w:w="2808" w:type="dxa"/>
            <w:tcBorders>
              <w:top w:val="nil"/>
              <w:left w:val="nil"/>
              <w:bottom w:val="nil"/>
              <w:right w:val="nil"/>
            </w:tcBorders>
          </w:tcPr>
          <w:p w14:paraId="2B274250"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Male</w:t>
            </w:r>
          </w:p>
        </w:tc>
        <w:tc>
          <w:tcPr>
            <w:tcW w:w="1350" w:type="dxa"/>
            <w:tcBorders>
              <w:top w:val="nil"/>
              <w:left w:val="nil"/>
              <w:bottom w:val="nil"/>
              <w:right w:val="nil"/>
            </w:tcBorders>
          </w:tcPr>
          <w:p w14:paraId="1C27B8B4"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50%</w:t>
            </w:r>
          </w:p>
        </w:tc>
      </w:tr>
      <w:tr w:rsidR="000608CD" w:rsidRPr="003D3598" w14:paraId="7D531019" w14:textId="77777777" w:rsidTr="00FD613B">
        <w:tc>
          <w:tcPr>
            <w:tcW w:w="2808" w:type="dxa"/>
            <w:tcBorders>
              <w:top w:val="nil"/>
              <w:left w:val="nil"/>
              <w:bottom w:val="nil"/>
              <w:right w:val="nil"/>
            </w:tcBorders>
          </w:tcPr>
          <w:p w14:paraId="12D38290"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Female</w:t>
            </w:r>
          </w:p>
        </w:tc>
        <w:tc>
          <w:tcPr>
            <w:tcW w:w="1350" w:type="dxa"/>
            <w:tcBorders>
              <w:top w:val="nil"/>
              <w:left w:val="nil"/>
              <w:bottom w:val="nil"/>
              <w:right w:val="nil"/>
            </w:tcBorders>
          </w:tcPr>
          <w:p w14:paraId="5744969E"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50%</w:t>
            </w:r>
          </w:p>
        </w:tc>
      </w:tr>
      <w:tr w:rsidR="000608CD" w:rsidRPr="003D3598" w14:paraId="30674B24" w14:textId="77777777" w:rsidTr="00FD613B">
        <w:tc>
          <w:tcPr>
            <w:tcW w:w="2808" w:type="dxa"/>
            <w:tcBorders>
              <w:top w:val="nil"/>
              <w:left w:val="nil"/>
              <w:bottom w:val="nil"/>
              <w:right w:val="nil"/>
            </w:tcBorders>
          </w:tcPr>
          <w:p w14:paraId="769D9414" w14:textId="77777777" w:rsidR="000608CD" w:rsidRPr="00AA2084" w:rsidRDefault="000608CD" w:rsidP="00A73422">
            <w:pPr>
              <w:rPr>
                <w:rFonts w:ascii="Times New Roman" w:hAnsi="Times New Roman" w:cs="Times New Roman"/>
              </w:rPr>
            </w:pPr>
          </w:p>
        </w:tc>
        <w:tc>
          <w:tcPr>
            <w:tcW w:w="1350" w:type="dxa"/>
            <w:tcBorders>
              <w:top w:val="nil"/>
              <w:left w:val="nil"/>
              <w:bottom w:val="nil"/>
              <w:right w:val="nil"/>
            </w:tcBorders>
          </w:tcPr>
          <w:p w14:paraId="1646ACFE" w14:textId="77777777" w:rsidR="000608CD" w:rsidRPr="00AA2084" w:rsidRDefault="000608CD" w:rsidP="00A73422">
            <w:pPr>
              <w:jc w:val="center"/>
              <w:rPr>
                <w:rFonts w:ascii="Times New Roman" w:hAnsi="Times New Roman" w:cs="Times New Roman"/>
              </w:rPr>
            </w:pPr>
          </w:p>
        </w:tc>
      </w:tr>
      <w:tr w:rsidR="000608CD" w:rsidRPr="003D3598" w14:paraId="728F192B" w14:textId="77777777" w:rsidTr="00FD613B">
        <w:tc>
          <w:tcPr>
            <w:tcW w:w="2808" w:type="dxa"/>
            <w:tcBorders>
              <w:top w:val="nil"/>
              <w:left w:val="nil"/>
              <w:bottom w:val="nil"/>
              <w:right w:val="nil"/>
            </w:tcBorders>
          </w:tcPr>
          <w:p w14:paraId="05BA66C5" w14:textId="77777777" w:rsidR="000608CD" w:rsidRPr="00AA2084" w:rsidRDefault="000608CD" w:rsidP="00A73422">
            <w:pPr>
              <w:rPr>
                <w:rFonts w:ascii="Times New Roman" w:hAnsi="Times New Roman" w:cs="Times New Roman"/>
              </w:rPr>
            </w:pPr>
            <w:r w:rsidRPr="00AA2084">
              <w:rPr>
                <w:rFonts w:ascii="Times New Roman" w:hAnsi="Times New Roman" w:cs="Times New Roman"/>
                <w:i/>
              </w:rPr>
              <w:t>Race/Ethnicity</w:t>
            </w:r>
          </w:p>
        </w:tc>
        <w:tc>
          <w:tcPr>
            <w:tcW w:w="1350" w:type="dxa"/>
            <w:tcBorders>
              <w:top w:val="nil"/>
              <w:left w:val="nil"/>
              <w:bottom w:val="nil"/>
              <w:right w:val="nil"/>
            </w:tcBorders>
          </w:tcPr>
          <w:p w14:paraId="5B053A01" w14:textId="77777777" w:rsidR="000608CD" w:rsidRPr="00AA2084" w:rsidRDefault="000608CD" w:rsidP="00A73422">
            <w:pPr>
              <w:jc w:val="center"/>
              <w:rPr>
                <w:rFonts w:ascii="Times New Roman" w:hAnsi="Times New Roman" w:cs="Times New Roman"/>
              </w:rPr>
            </w:pPr>
          </w:p>
        </w:tc>
      </w:tr>
      <w:tr w:rsidR="000608CD" w:rsidRPr="003D3598" w14:paraId="7CC9396A" w14:textId="77777777" w:rsidTr="00FD613B">
        <w:tc>
          <w:tcPr>
            <w:tcW w:w="2808" w:type="dxa"/>
            <w:tcBorders>
              <w:top w:val="nil"/>
              <w:left w:val="nil"/>
              <w:bottom w:val="nil"/>
              <w:right w:val="nil"/>
            </w:tcBorders>
          </w:tcPr>
          <w:p w14:paraId="76C57A88"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Hispanic</w:t>
            </w:r>
          </w:p>
        </w:tc>
        <w:tc>
          <w:tcPr>
            <w:tcW w:w="1350" w:type="dxa"/>
            <w:tcBorders>
              <w:top w:val="nil"/>
              <w:left w:val="nil"/>
              <w:bottom w:val="nil"/>
              <w:right w:val="nil"/>
            </w:tcBorders>
          </w:tcPr>
          <w:p w14:paraId="10FAB39D"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48%</w:t>
            </w:r>
          </w:p>
        </w:tc>
      </w:tr>
      <w:tr w:rsidR="000608CD" w:rsidRPr="003D3598" w14:paraId="4016C500" w14:textId="77777777" w:rsidTr="00FD613B">
        <w:tc>
          <w:tcPr>
            <w:tcW w:w="2808" w:type="dxa"/>
            <w:tcBorders>
              <w:top w:val="nil"/>
              <w:left w:val="nil"/>
              <w:bottom w:val="nil"/>
              <w:right w:val="nil"/>
            </w:tcBorders>
          </w:tcPr>
          <w:p w14:paraId="4EAC9E3A"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White</w:t>
            </w:r>
          </w:p>
        </w:tc>
        <w:tc>
          <w:tcPr>
            <w:tcW w:w="1350" w:type="dxa"/>
            <w:tcBorders>
              <w:top w:val="nil"/>
              <w:left w:val="nil"/>
              <w:bottom w:val="nil"/>
              <w:right w:val="nil"/>
            </w:tcBorders>
          </w:tcPr>
          <w:p w14:paraId="4F3F07B0"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6%</w:t>
            </w:r>
          </w:p>
        </w:tc>
      </w:tr>
      <w:tr w:rsidR="000608CD" w:rsidRPr="003D3598" w14:paraId="6E447C18" w14:textId="77777777" w:rsidTr="00FD613B">
        <w:tc>
          <w:tcPr>
            <w:tcW w:w="2808" w:type="dxa"/>
            <w:tcBorders>
              <w:top w:val="nil"/>
              <w:left w:val="nil"/>
              <w:bottom w:val="nil"/>
              <w:right w:val="nil"/>
            </w:tcBorders>
          </w:tcPr>
          <w:p w14:paraId="44907794"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Black</w:t>
            </w:r>
          </w:p>
        </w:tc>
        <w:tc>
          <w:tcPr>
            <w:tcW w:w="1350" w:type="dxa"/>
            <w:tcBorders>
              <w:top w:val="nil"/>
              <w:left w:val="nil"/>
              <w:bottom w:val="nil"/>
              <w:right w:val="nil"/>
            </w:tcBorders>
          </w:tcPr>
          <w:p w14:paraId="754835CA"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36%</w:t>
            </w:r>
          </w:p>
        </w:tc>
      </w:tr>
      <w:tr w:rsidR="000608CD" w:rsidRPr="003D3598" w14:paraId="1CD879E8" w14:textId="77777777" w:rsidTr="00FD613B">
        <w:tc>
          <w:tcPr>
            <w:tcW w:w="2808" w:type="dxa"/>
            <w:tcBorders>
              <w:top w:val="nil"/>
              <w:left w:val="nil"/>
              <w:bottom w:val="nil"/>
              <w:right w:val="nil"/>
            </w:tcBorders>
          </w:tcPr>
          <w:p w14:paraId="54598C58"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Multi-racial</w:t>
            </w:r>
          </w:p>
        </w:tc>
        <w:tc>
          <w:tcPr>
            <w:tcW w:w="1350" w:type="dxa"/>
            <w:tcBorders>
              <w:top w:val="nil"/>
              <w:left w:val="nil"/>
              <w:bottom w:val="nil"/>
              <w:right w:val="nil"/>
            </w:tcBorders>
          </w:tcPr>
          <w:p w14:paraId="0A69EDE7"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3%</w:t>
            </w:r>
          </w:p>
        </w:tc>
      </w:tr>
      <w:tr w:rsidR="000608CD" w:rsidRPr="003D3598" w14:paraId="117A118C" w14:textId="77777777" w:rsidTr="00FD613B">
        <w:tc>
          <w:tcPr>
            <w:tcW w:w="2808" w:type="dxa"/>
            <w:tcBorders>
              <w:top w:val="nil"/>
              <w:left w:val="nil"/>
              <w:bottom w:val="nil"/>
              <w:right w:val="nil"/>
            </w:tcBorders>
          </w:tcPr>
          <w:p w14:paraId="37C97B98"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Asian/Pacific Islander</w:t>
            </w:r>
          </w:p>
        </w:tc>
        <w:tc>
          <w:tcPr>
            <w:tcW w:w="1350" w:type="dxa"/>
            <w:tcBorders>
              <w:top w:val="nil"/>
              <w:left w:val="nil"/>
              <w:bottom w:val="nil"/>
              <w:right w:val="nil"/>
            </w:tcBorders>
          </w:tcPr>
          <w:p w14:paraId="4797468B"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7%</w:t>
            </w:r>
          </w:p>
        </w:tc>
      </w:tr>
      <w:tr w:rsidR="000608CD" w:rsidRPr="003D3598" w14:paraId="1BA7DC16" w14:textId="77777777" w:rsidTr="00FD613B">
        <w:tc>
          <w:tcPr>
            <w:tcW w:w="2808" w:type="dxa"/>
            <w:tcBorders>
              <w:top w:val="nil"/>
              <w:left w:val="nil"/>
              <w:bottom w:val="nil"/>
              <w:right w:val="nil"/>
            </w:tcBorders>
          </w:tcPr>
          <w:p w14:paraId="12FFF38A" w14:textId="77777777" w:rsidR="000608CD" w:rsidRPr="00AA2084" w:rsidRDefault="000608CD" w:rsidP="00A73422">
            <w:pPr>
              <w:rPr>
                <w:rFonts w:ascii="Times New Roman" w:hAnsi="Times New Roman" w:cs="Times New Roman"/>
              </w:rPr>
            </w:pPr>
          </w:p>
        </w:tc>
        <w:tc>
          <w:tcPr>
            <w:tcW w:w="1350" w:type="dxa"/>
            <w:tcBorders>
              <w:top w:val="nil"/>
              <w:left w:val="nil"/>
              <w:bottom w:val="nil"/>
              <w:right w:val="nil"/>
            </w:tcBorders>
          </w:tcPr>
          <w:p w14:paraId="002EBA25" w14:textId="77777777" w:rsidR="000608CD" w:rsidRPr="00AA2084" w:rsidRDefault="000608CD" w:rsidP="00A73422">
            <w:pPr>
              <w:jc w:val="center"/>
              <w:rPr>
                <w:rFonts w:ascii="Times New Roman" w:hAnsi="Times New Roman" w:cs="Times New Roman"/>
              </w:rPr>
            </w:pPr>
          </w:p>
        </w:tc>
      </w:tr>
      <w:tr w:rsidR="000608CD" w:rsidRPr="003D3598" w14:paraId="1EEF7D93" w14:textId="77777777" w:rsidTr="00FD613B">
        <w:tc>
          <w:tcPr>
            <w:tcW w:w="2808" w:type="dxa"/>
            <w:tcBorders>
              <w:top w:val="nil"/>
              <w:left w:val="nil"/>
              <w:bottom w:val="nil"/>
              <w:right w:val="nil"/>
            </w:tcBorders>
          </w:tcPr>
          <w:p w14:paraId="11B2E5C7" w14:textId="77777777" w:rsidR="000608CD" w:rsidRPr="00AA2084" w:rsidRDefault="000608CD" w:rsidP="00A73422">
            <w:pPr>
              <w:rPr>
                <w:rFonts w:ascii="Times New Roman" w:hAnsi="Times New Roman" w:cs="Times New Roman"/>
                <w:i/>
              </w:rPr>
            </w:pPr>
            <w:r w:rsidRPr="00AA2084">
              <w:rPr>
                <w:rFonts w:ascii="Times New Roman" w:hAnsi="Times New Roman" w:cs="Times New Roman"/>
                <w:i/>
              </w:rPr>
              <w:t>Age</w:t>
            </w:r>
          </w:p>
        </w:tc>
        <w:tc>
          <w:tcPr>
            <w:tcW w:w="1350" w:type="dxa"/>
            <w:tcBorders>
              <w:top w:val="nil"/>
              <w:left w:val="nil"/>
              <w:bottom w:val="nil"/>
              <w:right w:val="nil"/>
            </w:tcBorders>
          </w:tcPr>
          <w:p w14:paraId="1725C47C" w14:textId="77777777" w:rsidR="000608CD" w:rsidRPr="00AA2084" w:rsidRDefault="000608CD" w:rsidP="00A73422">
            <w:pPr>
              <w:jc w:val="center"/>
              <w:rPr>
                <w:rFonts w:ascii="Times New Roman" w:hAnsi="Times New Roman" w:cs="Times New Roman"/>
              </w:rPr>
            </w:pPr>
          </w:p>
        </w:tc>
      </w:tr>
      <w:tr w:rsidR="000608CD" w:rsidRPr="003D3598" w14:paraId="22C1BD0F" w14:textId="77777777" w:rsidTr="00FD613B">
        <w:tc>
          <w:tcPr>
            <w:tcW w:w="2808" w:type="dxa"/>
            <w:tcBorders>
              <w:top w:val="nil"/>
              <w:left w:val="nil"/>
              <w:bottom w:val="nil"/>
              <w:right w:val="nil"/>
            </w:tcBorders>
          </w:tcPr>
          <w:p w14:paraId="64B1308A"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10</w:t>
            </w:r>
          </w:p>
        </w:tc>
        <w:tc>
          <w:tcPr>
            <w:tcW w:w="1350" w:type="dxa"/>
            <w:tcBorders>
              <w:top w:val="nil"/>
              <w:left w:val="nil"/>
              <w:bottom w:val="nil"/>
              <w:right w:val="nil"/>
            </w:tcBorders>
          </w:tcPr>
          <w:p w14:paraId="7CA00A8D"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4%</w:t>
            </w:r>
          </w:p>
        </w:tc>
      </w:tr>
      <w:tr w:rsidR="000608CD" w:rsidRPr="003D3598" w14:paraId="57B0676D" w14:textId="77777777" w:rsidTr="00FD613B">
        <w:tc>
          <w:tcPr>
            <w:tcW w:w="2808" w:type="dxa"/>
            <w:tcBorders>
              <w:top w:val="nil"/>
              <w:left w:val="nil"/>
              <w:bottom w:val="nil"/>
              <w:right w:val="nil"/>
            </w:tcBorders>
          </w:tcPr>
          <w:p w14:paraId="7D7EA969"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11</w:t>
            </w:r>
          </w:p>
        </w:tc>
        <w:tc>
          <w:tcPr>
            <w:tcW w:w="1350" w:type="dxa"/>
            <w:tcBorders>
              <w:top w:val="nil"/>
              <w:left w:val="nil"/>
              <w:bottom w:val="nil"/>
              <w:right w:val="nil"/>
            </w:tcBorders>
          </w:tcPr>
          <w:p w14:paraId="7F360D7D"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28%</w:t>
            </w:r>
          </w:p>
        </w:tc>
      </w:tr>
      <w:tr w:rsidR="000608CD" w:rsidRPr="003D3598" w14:paraId="0AF070E0" w14:textId="77777777" w:rsidTr="00FD613B">
        <w:tc>
          <w:tcPr>
            <w:tcW w:w="2808" w:type="dxa"/>
            <w:tcBorders>
              <w:top w:val="nil"/>
              <w:left w:val="nil"/>
              <w:bottom w:val="nil"/>
              <w:right w:val="nil"/>
            </w:tcBorders>
          </w:tcPr>
          <w:p w14:paraId="257C938C"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12</w:t>
            </w:r>
          </w:p>
        </w:tc>
        <w:tc>
          <w:tcPr>
            <w:tcW w:w="1350" w:type="dxa"/>
            <w:tcBorders>
              <w:top w:val="nil"/>
              <w:left w:val="nil"/>
              <w:bottom w:val="nil"/>
              <w:right w:val="nil"/>
            </w:tcBorders>
          </w:tcPr>
          <w:p w14:paraId="37351842"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31%</w:t>
            </w:r>
          </w:p>
        </w:tc>
      </w:tr>
      <w:tr w:rsidR="000608CD" w:rsidRPr="003D3598" w14:paraId="7681234C" w14:textId="77777777" w:rsidTr="00FD613B">
        <w:tc>
          <w:tcPr>
            <w:tcW w:w="2808" w:type="dxa"/>
            <w:tcBorders>
              <w:top w:val="nil"/>
              <w:left w:val="nil"/>
              <w:bottom w:val="nil"/>
              <w:right w:val="nil"/>
            </w:tcBorders>
          </w:tcPr>
          <w:p w14:paraId="4526ED22"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13</w:t>
            </w:r>
          </w:p>
        </w:tc>
        <w:tc>
          <w:tcPr>
            <w:tcW w:w="1350" w:type="dxa"/>
            <w:tcBorders>
              <w:top w:val="nil"/>
              <w:left w:val="nil"/>
              <w:bottom w:val="nil"/>
              <w:right w:val="nil"/>
            </w:tcBorders>
          </w:tcPr>
          <w:p w14:paraId="01640E31"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21%</w:t>
            </w:r>
          </w:p>
        </w:tc>
      </w:tr>
      <w:tr w:rsidR="000608CD" w:rsidRPr="003D3598" w14:paraId="25015B6B" w14:textId="77777777" w:rsidTr="00FD613B">
        <w:tc>
          <w:tcPr>
            <w:tcW w:w="2808" w:type="dxa"/>
            <w:tcBorders>
              <w:top w:val="nil"/>
              <w:left w:val="nil"/>
              <w:bottom w:val="nil"/>
              <w:right w:val="nil"/>
            </w:tcBorders>
          </w:tcPr>
          <w:p w14:paraId="53340EF9"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14</w:t>
            </w:r>
          </w:p>
        </w:tc>
        <w:tc>
          <w:tcPr>
            <w:tcW w:w="1350" w:type="dxa"/>
            <w:tcBorders>
              <w:top w:val="nil"/>
              <w:left w:val="nil"/>
              <w:bottom w:val="nil"/>
              <w:right w:val="nil"/>
            </w:tcBorders>
          </w:tcPr>
          <w:p w14:paraId="0F2F4F49"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12%</w:t>
            </w:r>
          </w:p>
        </w:tc>
      </w:tr>
      <w:tr w:rsidR="000608CD" w:rsidRPr="003D3598" w14:paraId="05EEA28C" w14:textId="77777777" w:rsidTr="00FD613B">
        <w:tc>
          <w:tcPr>
            <w:tcW w:w="2808" w:type="dxa"/>
            <w:tcBorders>
              <w:top w:val="nil"/>
              <w:left w:val="nil"/>
              <w:bottom w:val="nil"/>
              <w:right w:val="nil"/>
            </w:tcBorders>
          </w:tcPr>
          <w:p w14:paraId="401CDEAE"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15</w:t>
            </w:r>
          </w:p>
        </w:tc>
        <w:tc>
          <w:tcPr>
            <w:tcW w:w="1350" w:type="dxa"/>
            <w:tcBorders>
              <w:top w:val="nil"/>
              <w:left w:val="nil"/>
              <w:bottom w:val="nil"/>
              <w:right w:val="nil"/>
            </w:tcBorders>
          </w:tcPr>
          <w:p w14:paraId="2E9785A4"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3%</w:t>
            </w:r>
          </w:p>
        </w:tc>
      </w:tr>
      <w:tr w:rsidR="000608CD" w:rsidRPr="003D3598" w14:paraId="23E70043" w14:textId="77777777" w:rsidTr="00FD613B">
        <w:tc>
          <w:tcPr>
            <w:tcW w:w="2808" w:type="dxa"/>
            <w:tcBorders>
              <w:top w:val="nil"/>
              <w:left w:val="nil"/>
              <w:bottom w:val="nil"/>
              <w:right w:val="nil"/>
            </w:tcBorders>
          </w:tcPr>
          <w:p w14:paraId="2EDE90A7"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16</w:t>
            </w:r>
          </w:p>
        </w:tc>
        <w:tc>
          <w:tcPr>
            <w:tcW w:w="1350" w:type="dxa"/>
            <w:tcBorders>
              <w:top w:val="nil"/>
              <w:left w:val="nil"/>
              <w:bottom w:val="nil"/>
              <w:right w:val="nil"/>
            </w:tcBorders>
          </w:tcPr>
          <w:p w14:paraId="2B602E8F"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1%</w:t>
            </w:r>
          </w:p>
        </w:tc>
      </w:tr>
      <w:tr w:rsidR="000608CD" w:rsidRPr="003D3598" w14:paraId="124A5764" w14:textId="77777777" w:rsidTr="00FD613B">
        <w:tc>
          <w:tcPr>
            <w:tcW w:w="2808" w:type="dxa"/>
            <w:tcBorders>
              <w:top w:val="nil"/>
              <w:left w:val="nil"/>
              <w:bottom w:val="nil"/>
              <w:right w:val="nil"/>
            </w:tcBorders>
          </w:tcPr>
          <w:p w14:paraId="7001DBC9" w14:textId="77777777" w:rsidR="000608CD" w:rsidRPr="00AA2084" w:rsidRDefault="000608CD" w:rsidP="00A73422">
            <w:pPr>
              <w:rPr>
                <w:rFonts w:ascii="Times New Roman" w:hAnsi="Times New Roman" w:cs="Times New Roman"/>
              </w:rPr>
            </w:pPr>
          </w:p>
        </w:tc>
        <w:tc>
          <w:tcPr>
            <w:tcW w:w="1350" w:type="dxa"/>
            <w:tcBorders>
              <w:top w:val="nil"/>
              <w:left w:val="nil"/>
              <w:bottom w:val="nil"/>
              <w:right w:val="nil"/>
            </w:tcBorders>
          </w:tcPr>
          <w:p w14:paraId="125998DF" w14:textId="77777777" w:rsidR="000608CD" w:rsidRPr="00AA2084" w:rsidRDefault="000608CD" w:rsidP="00A73422">
            <w:pPr>
              <w:jc w:val="center"/>
              <w:rPr>
                <w:rFonts w:ascii="Times New Roman" w:hAnsi="Times New Roman" w:cs="Times New Roman"/>
              </w:rPr>
            </w:pPr>
          </w:p>
        </w:tc>
      </w:tr>
      <w:tr w:rsidR="000608CD" w:rsidRPr="003D3598" w14:paraId="11CD567A" w14:textId="77777777" w:rsidTr="00FD613B">
        <w:tc>
          <w:tcPr>
            <w:tcW w:w="2808" w:type="dxa"/>
            <w:tcBorders>
              <w:top w:val="nil"/>
              <w:left w:val="nil"/>
              <w:bottom w:val="nil"/>
              <w:right w:val="nil"/>
            </w:tcBorders>
          </w:tcPr>
          <w:p w14:paraId="49074988" w14:textId="77777777" w:rsidR="000608CD" w:rsidRPr="00AA2084" w:rsidRDefault="000608CD" w:rsidP="00A73422">
            <w:pPr>
              <w:rPr>
                <w:rFonts w:ascii="Times New Roman" w:hAnsi="Times New Roman" w:cs="Times New Roman"/>
              </w:rPr>
            </w:pPr>
            <w:r w:rsidRPr="00AA2084">
              <w:rPr>
                <w:rFonts w:ascii="Times New Roman" w:hAnsi="Times New Roman" w:cs="Times New Roman"/>
                <w:i/>
              </w:rPr>
              <w:t>Parent</w:t>
            </w:r>
            <w:r w:rsidRPr="00AA2084">
              <w:rPr>
                <w:rFonts w:ascii="Times New Roman" w:hAnsi="Times New Roman" w:cs="Times New Roman"/>
              </w:rPr>
              <w:t xml:space="preserve"> </w:t>
            </w:r>
            <w:r w:rsidRPr="00AA2084">
              <w:rPr>
                <w:rFonts w:ascii="Times New Roman" w:hAnsi="Times New Roman" w:cs="Times New Roman"/>
                <w:i/>
              </w:rPr>
              <w:t xml:space="preserve">Education </w:t>
            </w:r>
            <w:r w:rsidRPr="00AA2084">
              <w:rPr>
                <w:rFonts w:ascii="Times New Roman" w:hAnsi="Times New Roman" w:cs="Times New Roman"/>
              </w:rPr>
              <w:t>(</w:t>
            </w:r>
            <w:r w:rsidRPr="00AA2084">
              <w:rPr>
                <w:rFonts w:ascii="Times New Roman" w:hAnsi="Times New Roman" w:cs="Times New Roman"/>
                <w:i/>
              </w:rPr>
              <w:t>N</w:t>
            </w:r>
            <w:r w:rsidRPr="00AA2084">
              <w:rPr>
                <w:rFonts w:ascii="Times New Roman" w:hAnsi="Times New Roman" w:cs="Times New Roman"/>
              </w:rPr>
              <w:t>=171)</w:t>
            </w:r>
          </w:p>
        </w:tc>
        <w:tc>
          <w:tcPr>
            <w:tcW w:w="1350" w:type="dxa"/>
            <w:tcBorders>
              <w:top w:val="nil"/>
              <w:left w:val="nil"/>
              <w:bottom w:val="nil"/>
              <w:right w:val="nil"/>
            </w:tcBorders>
          </w:tcPr>
          <w:p w14:paraId="379CB4B5" w14:textId="77777777" w:rsidR="000608CD" w:rsidRPr="00AA2084" w:rsidRDefault="000608CD" w:rsidP="00A73422">
            <w:pPr>
              <w:jc w:val="center"/>
              <w:rPr>
                <w:rFonts w:ascii="Times New Roman" w:hAnsi="Times New Roman" w:cs="Times New Roman"/>
              </w:rPr>
            </w:pPr>
          </w:p>
        </w:tc>
      </w:tr>
      <w:tr w:rsidR="000608CD" w:rsidRPr="003D3598" w14:paraId="2B450C4F" w14:textId="77777777" w:rsidTr="00FD613B">
        <w:tc>
          <w:tcPr>
            <w:tcW w:w="2808" w:type="dxa"/>
            <w:tcBorders>
              <w:top w:val="nil"/>
              <w:left w:val="nil"/>
              <w:bottom w:val="nil"/>
              <w:right w:val="nil"/>
            </w:tcBorders>
          </w:tcPr>
          <w:p w14:paraId="0D7B4E2E"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High School or Below</w:t>
            </w:r>
          </w:p>
        </w:tc>
        <w:tc>
          <w:tcPr>
            <w:tcW w:w="1350" w:type="dxa"/>
            <w:tcBorders>
              <w:top w:val="nil"/>
              <w:left w:val="nil"/>
              <w:bottom w:val="nil"/>
              <w:right w:val="nil"/>
            </w:tcBorders>
          </w:tcPr>
          <w:p w14:paraId="4E72F59B"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79%</w:t>
            </w:r>
          </w:p>
        </w:tc>
      </w:tr>
      <w:tr w:rsidR="000608CD" w:rsidRPr="003D3598" w14:paraId="58315D6A" w14:textId="77777777" w:rsidTr="00FD613B">
        <w:tc>
          <w:tcPr>
            <w:tcW w:w="2808" w:type="dxa"/>
            <w:tcBorders>
              <w:top w:val="nil"/>
              <w:left w:val="nil"/>
              <w:bottom w:val="single" w:sz="4" w:space="0" w:color="auto"/>
              <w:right w:val="nil"/>
            </w:tcBorders>
          </w:tcPr>
          <w:p w14:paraId="12F5F3BD" w14:textId="77777777" w:rsidR="000608CD" w:rsidRPr="00AA2084" w:rsidRDefault="000608CD" w:rsidP="00A73422">
            <w:pPr>
              <w:rPr>
                <w:rFonts w:ascii="Times New Roman" w:hAnsi="Times New Roman" w:cs="Times New Roman"/>
              </w:rPr>
            </w:pPr>
            <w:r w:rsidRPr="00AA2084">
              <w:rPr>
                <w:rFonts w:ascii="Times New Roman" w:hAnsi="Times New Roman" w:cs="Times New Roman"/>
              </w:rPr>
              <w:t>Graduated from College (B.A. or B.S.)</w:t>
            </w:r>
          </w:p>
        </w:tc>
        <w:tc>
          <w:tcPr>
            <w:tcW w:w="1350" w:type="dxa"/>
            <w:tcBorders>
              <w:top w:val="nil"/>
              <w:left w:val="nil"/>
              <w:bottom w:val="single" w:sz="4" w:space="0" w:color="auto"/>
              <w:right w:val="nil"/>
            </w:tcBorders>
          </w:tcPr>
          <w:p w14:paraId="0094669E" w14:textId="77777777" w:rsidR="000608CD" w:rsidRPr="00AA2084" w:rsidRDefault="000608CD" w:rsidP="00A73422">
            <w:pPr>
              <w:jc w:val="center"/>
              <w:rPr>
                <w:rFonts w:ascii="Times New Roman" w:hAnsi="Times New Roman" w:cs="Times New Roman"/>
              </w:rPr>
            </w:pPr>
            <w:r w:rsidRPr="00AA2084">
              <w:rPr>
                <w:rFonts w:ascii="Times New Roman" w:hAnsi="Times New Roman" w:cs="Times New Roman"/>
              </w:rPr>
              <w:t>21%</w:t>
            </w:r>
          </w:p>
        </w:tc>
      </w:tr>
    </w:tbl>
    <w:p w14:paraId="4E51ED3C" w14:textId="77777777" w:rsidR="000608CD" w:rsidRPr="00510F66" w:rsidRDefault="000608CD" w:rsidP="00A73422">
      <w:pPr>
        <w:contextualSpacing/>
        <w:rPr>
          <w:rFonts w:ascii="Times New Roman" w:hAnsi="Times New Roman" w:cs="Times New Roman"/>
        </w:rPr>
      </w:pPr>
    </w:p>
    <w:p w14:paraId="5C450954" w14:textId="5D5238E4" w:rsidR="001A10AC" w:rsidRPr="0041527C" w:rsidRDefault="001A10AC" w:rsidP="00A73422">
      <w:pPr>
        <w:contextualSpacing/>
        <w:rPr>
          <w:rFonts w:ascii="Times New Roman" w:hAnsi="Times New Roman" w:cs="Times New Roman"/>
          <w:b/>
        </w:rPr>
      </w:pPr>
      <w:r w:rsidRPr="00011528">
        <w:rPr>
          <w:rFonts w:ascii="Times New Roman" w:hAnsi="Times New Roman" w:cs="Times New Roman"/>
          <w:b/>
        </w:rPr>
        <w:t>Procedures and Measures</w:t>
      </w:r>
    </w:p>
    <w:p w14:paraId="38E7AF1B" w14:textId="50C035AC" w:rsidR="00DA3D66" w:rsidRPr="003D3598" w:rsidRDefault="001A10AC" w:rsidP="00A73422">
      <w:pPr>
        <w:contextualSpacing/>
        <w:rPr>
          <w:rFonts w:ascii="Times New Roman" w:hAnsi="Times New Roman" w:cs="Times New Roman"/>
        </w:rPr>
      </w:pPr>
      <w:r w:rsidRPr="00111E51">
        <w:rPr>
          <w:rFonts w:ascii="Times New Roman" w:hAnsi="Times New Roman" w:cs="Times New Roman"/>
        </w:rPr>
        <w:tab/>
      </w:r>
      <w:r w:rsidR="009C2656">
        <w:rPr>
          <w:rFonts w:ascii="Times New Roman" w:hAnsi="Times New Roman" w:cs="Times New Roman"/>
        </w:rPr>
        <w:t xml:space="preserve">Data were collected from all 9 programs during the summer of 2015. </w:t>
      </w:r>
      <w:r w:rsidRPr="00111E51">
        <w:rPr>
          <w:rFonts w:ascii="Times New Roman" w:hAnsi="Times New Roman" w:cs="Times New Roman"/>
        </w:rPr>
        <w:t xml:space="preserve">At the start of each program, youth responded to a </w:t>
      </w:r>
      <w:r w:rsidR="00AB0D5E" w:rsidRPr="003D3598">
        <w:rPr>
          <w:rFonts w:ascii="Times New Roman" w:hAnsi="Times New Roman" w:cs="Times New Roman"/>
        </w:rPr>
        <w:t>survey, which</w:t>
      </w:r>
      <w:r w:rsidRPr="003D3598">
        <w:rPr>
          <w:rFonts w:ascii="Times New Roman" w:hAnsi="Times New Roman" w:cs="Times New Roman"/>
        </w:rPr>
        <w:t xml:space="preserve"> was </w:t>
      </w:r>
      <w:r w:rsidR="00EF7E5E" w:rsidRPr="003D3598">
        <w:rPr>
          <w:rFonts w:ascii="Times New Roman" w:hAnsi="Times New Roman" w:cs="Times New Roman"/>
        </w:rPr>
        <w:t xml:space="preserve">used to create </w:t>
      </w:r>
      <w:r w:rsidRPr="003D3598">
        <w:rPr>
          <w:rFonts w:ascii="Times New Roman" w:hAnsi="Times New Roman" w:cs="Times New Roman"/>
        </w:rPr>
        <w:t xml:space="preserve">a </w:t>
      </w:r>
      <w:r w:rsidR="00EF7E5E" w:rsidRPr="003D3598">
        <w:rPr>
          <w:rFonts w:ascii="Times New Roman" w:hAnsi="Times New Roman" w:cs="Times New Roman"/>
        </w:rPr>
        <w:t xml:space="preserve">composite </w:t>
      </w:r>
      <w:r w:rsidRPr="003D3598">
        <w:rPr>
          <w:rFonts w:ascii="Times New Roman" w:hAnsi="Times New Roman" w:cs="Times New Roman"/>
        </w:rPr>
        <w:t xml:space="preserve">measure </w:t>
      </w:r>
      <w:r w:rsidR="006C56FB" w:rsidRPr="003D3598">
        <w:rPr>
          <w:rFonts w:ascii="Times New Roman" w:hAnsi="Times New Roman" w:cs="Times New Roman"/>
        </w:rPr>
        <w:t xml:space="preserve">of pre-program </w:t>
      </w:r>
      <w:r w:rsidRPr="003D3598">
        <w:rPr>
          <w:rFonts w:ascii="Times New Roman" w:hAnsi="Times New Roman" w:cs="Times New Roman"/>
        </w:rPr>
        <w:t xml:space="preserve">STEM </w:t>
      </w:r>
      <w:r w:rsidR="002629E8" w:rsidRPr="003D3598">
        <w:rPr>
          <w:rFonts w:ascii="Times New Roman" w:hAnsi="Times New Roman" w:cs="Times New Roman"/>
        </w:rPr>
        <w:t xml:space="preserve">competence beliefs. </w:t>
      </w:r>
      <w:r w:rsidRPr="003D3598">
        <w:rPr>
          <w:rFonts w:ascii="Times New Roman" w:hAnsi="Times New Roman" w:cs="Times New Roman"/>
        </w:rPr>
        <w:t xml:space="preserve">Data on adolescents’ momentary experience of challenge, relevance, learning, and engagement were collected </w:t>
      </w:r>
      <w:r w:rsidR="00472BB6" w:rsidRPr="003D3598">
        <w:rPr>
          <w:rFonts w:ascii="Times New Roman" w:hAnsi="Times New Roman" w:cs="Times New Roman"/>
        </w:rPr>
        <w:t xml:space="preserve">on multiple occasions </w:t>
      </w:r>
      <w:r w:rsidR="009C2656">
        <w:rPr>
          <w:rFonts w:ascii="Times New Roman" w:hAnsi="Times New Roman" w:cs="Times New Roman"/>
        </w:rPr>
        <w:t xml:space="preserve">over a three week period </w:t>
      </w:r>
      <w:r w:rsidRPr="003D3598">
        <w:rPr>
          <w:rFonts w:ascii="Times New Roman" w:hAnsi="Times New Roman" w:cs="Times New Roman"/>
        </w:rPr>
        <w:t xml:space="preserve">via the Experience Sampling Method (described below). The data collection schedule was designed so that every week, data would be collected from each program during both </w:t>
      </w:r>
      <w:r w:rsidR="00394282">
        <w:rPr>
          <w:rFonts w:ascii="Times New Roman" w:hAnsi="Times New Roman" w:cs="Times New Roman"/>
        </w:rPr>
        <w:t>enrichment</w:t>
      </w:r>
      <w:r w:rsidRPr="003D3598">
        <w:rPr>
          <w:rFonts w:ascii="Times New Roman" w:hAnsi="Times New Roman" w:cs="Times New Roman"/>
        </w:rPr>
        <w:t xml:space="preserve"> activities and classroom activities. </w:t>
      </w:r>
      <w:r w:rsidR="004E6604" w:rsidRPr="003D3598">
        <w:rPr>
          <w:rFonts w:ascii="Times New Roman" w:hAnsi="Times New Roman" w:cs="Times New Roman"/>
        </w:rPr>
        <w:t xml:space="preserve">On each day that Experience Sampling data were collected, program activities were videotaped. </w:t>
      </w:r>
      <w:r w:rsidRPr="003D3598">
        <w:rPr>
          <w:rFonts w:ascii="Times New Roman" w:hAnsi="Times New Roman" w:cs="Times New Roman"/>
        </w:rPr>
        <w:t xml:space="preserve">Across all programs, the mean attendance rate was 83.1% (SD = 0.16), with a range of 20% </w:t>
      </w:r>
      <w:r w:rsidR="0079648D">
        <w:rPr>
          <w:rFonts w:ascii="Times New Roman" w:hAnsi="Times New Roman" w:cs="Times New Roman"/>
        </w:rPr>
        <w:t>to</w:t>
      </w:r>
      <w:r w:rsidRPr="003D3598">
        <w:rPr>
          <w:rFonts w:ascii="Times New Roman" w:hAnsi="Times New Roman" w:cs="Times New Roman"/>
        </w:rPr>
        <w:t xml:space="preserve"> 100%. </w:t>
      </w:r>
    </w:p>
    <w:p w14:paraId="5FAD63AE" w14:textId="09517709" w:rsidR="005143EF" w:rsidRPr="003D3598" w:rsidRDefault="00DA3D66" w:rsidP="00A73422">
      <w:pPr>
        <w:ind w:firstLine="720"/>
        <w:contextualSpacing/>
        <w:rPr>
          <w:rFonts w:ascii="Times New Roman" w:hAnsi="Times New Roman" w:cs="Times New Roman"/>
        </w:rPr>
      </w:pPr>
      <w:r w:rsidRPr="003D3598">
        <w:rPr>
          <w:rFonts w:ascii="Times New Roman" w:hAnsi="Times New Roman" w:cs="Times New Roman"/>
          <w:b/>
        </w:rPr>
        <w:t>Experience Sampling Method.</w:t>
      </w:r>
      <w:r w:rsidRPr="003D3598">
        <w:rPr>
          <w:rFonts w:ascii="Times New Roman" w:hAnsi="Times New Roman" w:cs="Times New Roman"/>
        </w:rPr>
        <w:t xml:space="preserve"> </w:t>
      </w:r>
      <w:r w:rsidR="002629E8" w:rsidRPr="003D3598">
        <w:rPr>
          <w:rFonts w:ascii="Times New Roman" w:hAnsi="Times New Roman" w:cs="Times New Roman"/>
        </w:rPr>
        <w:t>Students’ immedi</w:t>
      </w:r>
      <w:r w:rsidR="00BA18A8" w:rsidRPr="003D3598">
        <w:rPr>
          <w:rFonts w:ascii="Times New Roman" w:hAnsi="Times New Roman" w:cs="Times New Roman"/>
        </w:rPr>
        <w:t xml:space="preserve">ate experiences in the program </w:t>
      </w:r>
      <w:r w:rsidR="002629E8" w:rsidRPr="003D3598">
        <w:rPr>
          <w:rFonts w:ascii="Times New Roman" w:hAnsi="Times New Roman" w:cs="Times New Roman"/>
        </w:rPr>
        <w:t xml:space="preserve">were measured </w:t>
      </w:r>
      <w:r w:rsidR="00BA18A8" w:rsidRPr="003D3598">
        <w:rPr>
          <w:rFonts w:ascii="Times New Roman" w:hAnsi="Times New Roman" w:cs="Times New Roman"/>
        </w:rPr>
        <w:t>via</w:t>
      </w:r>
      <w:r w:rsidR="002629E8" w:rsidRPr="003D3598">
        <w:rPr>
          <w:rFonts w:ascii="Times New Roman" w:hAnsi="Times New Roman" w:cs="Times New Roman"/>
        </w:rPr>
        <w:t xml:space="preserve"> the Experience Sampling Method</w:t>
      </w:r>
      <w:r w:rsidR="00786CE4" w:rsidRPr="003D3598">
        <w:rPr>
          <w:rFonts w:ascii="Times New Roman" w:hAnsi="Times New Roman" w:cs="Times New Roman"/>
        </w:rPr>
        <w:t xml:space="preserve"> (ESM</w:t>
      </w:r>
      <w:r w:rsidR="00472BB6" w:rsidRPr="003D3598">
        <w:rPr>
          <w:rFonts w:ascii="Times New Roman" w:hAnsi="Times New Roman" w:cs="Times New Roman"/>
        </w:rPr>
        <w:t>; Csik</w:t>
      </w:r>
      <w:r w:rsidR="0079648D">
        <w:rPr>
          <w:rFonts w:ascii="Times New Roman" w:hAnsi="Times New Roman" w:cs="Times New Roman"/>
        </w:rPr>
        <w:t>s</w:t>
      </w:r>
      <w:r w:rsidR="00472BB6" w:rsidRPr="003D3598">
        <w:rPr>
          <w:rFonts w:ascii="Times New Roman" w:hAnsi="Times New Roman" w:cs="Times New Roman"/>
        </w:rPr>
        <w:t xml:space="preserve">zentmihalyi &amp; Larson, 1987; </w:t>
      </w:r>
      <w:r w:rsidR="00821EE0">
        <w:rPr>
          <w:rFonts w:ascii="Times New Roman" w:hAnsi="Times New Roman" w:cs="Times New Roman"/>
        </w:rPr>
        <w:t>Authors,</w:t>
      </w:r>
      <w:r w:rsidR="00472BB6" w:rsidRPr="003D3598">
        <w:rPr>
          <w:rFonts w:ascii="Times New Roman" w:hAnsi="Times New Roman" w:cs="Times New Roman"/>
        </w:rPr>
        <w:t xml:space="preserve"> 2007</w:t>
      </w:r>
      <w:r w:rsidR="00786CE4" w:rsidRPr="003D3598">
        <w:rPr>
          <w:rFonts w:ascii="Times New Roman" w:hAnsi="Times New Roman" w:cs="Times New Roman"/>
        </w:rPr>
        <w:t>).</w:t>
      </w:r>
      <w:r w:rsidR="00BA18A8" w:rsidRPr="003D3598">
        <w:rPr>
          <w:rFonts w:ascii="Times New Roman" w:hAnsi="Times New Roman" w:cs="Times New Roman"/>
        </w:rPr>
        <w:t xml:space="preserve"> ESM is </w:t>
      </w:r>
      <w:r w:rsidR="002629E8" w:rsidRPr="003D3598">
        <w:rPr>
          <w:rFonts w:ascii="Times New Roman" w:hAnsi="Times New Roman" w:cs="Times New Roman"/>
        </w:rPr>
        <w:t>a signal</w:t>
      </w:r>
      <w:r w:rsidR="00793D11" w:rsidRPr="003D3598">
        <w:rPr>
          <w:rFonts w:ascii="Times New Roman" w:hAnsi="Times New Roman" w:cs="Times New Roman"/>
        </w:rPr>
        <w:t>-contingent</w:t>
      </w:r>
      <w:r w:rsidR="002629E8" w:rsidRPr="003D3598">
        <w:rPr>
          <w:rFonts w:ascii="Times New Roman" w:hAnsi="Times New Roman" w:cs="Times New Roman"/>
        </w:rPr>
        <w:t xml:space="preserve"> method of data collection in which participants </w:t>
      </w:r>
      <w:r w:rsidR="002629E8" w:rsidRPr="003D3598">
        <w:rPr>
          <w:rFonts w:ascii="Times New Roman" w:hAnsi="Times New Roman" w:cs="Times New Roman"/>
        </w:rPr>
        <w:lastRenderedPageBreak/>
        <w:t>answer a series of rating scale</w:t>
      </w:r>
      <w:r w:rsidR="003A637E" w:rsidRPr="003D3598">
        <w:rPr>
          <w:rFonts w:ascii="Times New Roman" w:hAnsi="Times New Roman" w:cs="Times New Roman"/>
        </w:rPr>
        <w:t xml:space="preserve"> questions</w:t>
      </w:r>
      <w:r w:rsidR="00AE361F">
        <w:rPr>
          <w:rFonts w:ascii="Times New Roman" w:hAnsi="Times New Roman" w:cs="Times New Roman"/>
        </w:rPr>
        <w:t xml:space="preserve"> about their immediate experience</w:t>
      </w:r>
      <w:r w:rsidR="003A637E" w:rsidRPr="003D3598">
        <w:rPr>
          <w:rFonts w:ascii="Times New Roman" w:hAnsi="Times New Roman" w:cs="Times New Roman"/>
        </w:rPr>
        <w:t xml:space="preserve"> in response to </w:t>
      </w:r>
      <w:r w:rsidR="00786CE4" w:rsidRPr="003D3598">
        <w:rPr>
          <w:rFonts w:ascii="Times New Roman" w:hAnsi="Times New Roman" w:cs="Times New Roman"/>
        </w:rPr>
        <w:t xml:space="preserve">a number of </w:t>
      </w:r>
      <w:r w:rsidR="00AE361F">
        <w:rPr>
          <w:rFonts w:ascii="Times New Roman" w:hAnsi="Times New Roman" w:cs="Times New Roman"/>
        </w:rPr>
        <w:t>randomly generated signals</w:t>
      </w:r>
      <w:r w:rsidR="003A637E" w:rsidRPr="003D3598">
        <w:rPr>
          <w:rFonts w:ascii="Times New Roman" w:hAnsi="Times New Roman" w:cs="Times New Roman"/>
        </w:rPr>
        <w:t xml:space="preserve">. </w:t>
      </w:r>
      <w:r w:rsidR="00520EE8">
        <w:rPr>
          <w:rFonts w:ascii="Times New Roman" w:hAnsi="Times New Roman" w:cs="Times New Roman"/>
        </w:rPr>
        <w:t xml:space="preserve">This method is desirable for collection of data regarding youth’s OST experiences, because it responds to calls for methods that are more proximal to youth’s OST experiences (Allen &amp; Peterman, 2019).  </w:t>
      </w:r>
      <w:r w:rsidR="00AE361F">
        <w:rPr>
          <w:rFonts w:ascii="Times New Roman" w:hAnsi="Times New Roman" w:cs="Times New Roman"/>
        </w:rPr>
        <w:t xml:space="preserve">In the current study, </w:t>
      </w:r>
      <w:r w:rsidR="00D35B2D">
        <w:rPr>
          <w:rFonts w:ascii="Times New Roman" w:hAnsi="Times New Roman" w:cs="Times New Roman"/>
        </w:rPr>
        <w:t xml:space="preserve">signals were emitted by mobile phones provided by the research team, and students used these phones to </w:t>
      </w:r>
      <w:r w:rsidR="00D35B2D" w:rsidRPr="003D3598">
        <w:rPr>
          <w:rFonts w:ascii="Times New Roman" w:hAnsi="Times New Roman" w:cs="Times New Roman"/>
        </w:rPr>
        <w:t>rate their perceived challenge, perceived relevance, and the degree to which they felt they were learning something new at the time of the signal, as well as multiple items indicating their level of engagement</w:t>
      </w:r>
      <w:r w:rsidR="00D35B2D">
        <w:rPr>
          <w:rFonts w:ascii="Times New Roman" w:hAnsi="Times New Roman" w:cs="Times New Roman"/>
        </w:rPr>
        <w:t xml:space="preserve"> across multiple dimensions</w:t>
      </w:r>
      <w:r w:rsidR="00233C65">
        <w:rPr>
          <w:rFonts w:ascii="Times New Roman" w:hAnsi="Times New Roman" w:cs="Times New Roman"/>
        </w:rPr>
        <w:t xml:space="preserve"> </w:t>
      </w:r>
      <w:r w:rsidR="0081044D">
        <w:rPr>
          <w:rFonts w:ascii="Times New Roman" w:hAnsi="Times New Roman" w:cs="Times New Roman"/>
        </w:rPr>
        <w:t xml:space="preserve">(for a discussion on the affordances of ESM to measure engagement see </w:t>
      </w:r>
      <w:proofErr w:type="spellStart"/>
      <w:r w:rsidR="0081044D">
        <w:rPr>
          <w:rFonts w:ascii="Times New Roman" w:hAnsi="Times New Roman" w:cs="Times New Roman"/>
        </w:rPr>
        <w:t>Xie</w:t>
      </w:r>
      <w:proofErr w:type="spellEnd"/>
      <w:r w:rsidR="0081044D">
        <w:rPr>
          <w:rFonts w:ascii="Times New Roman" w:hAnsi="Times New Roman" w:cs="Times New Roman"/>
        </w:rPr>
        <w:t xml:space="preserve">, </w:t>
      </w:r>
      <w:proofErr w:type="spellStart"/>
      <w:r w:rsidR="0081044D">
        <w:rPr>
          <w:rFonts w:ascii="Times New Roman" w:hAnsi="Times New Roman" w:cs="Times New Roman"/>
        </w:rPr>
        <w:t>Heddy</w:t>
      </w:r>
      <w:proofErr w:type="spellEnd"/>
      <w:r w:rsidR="0081044D">
        <w:rPr>
          <w:rFonts w:ascii="Times New Roman" w:hAnsi="Times New Roman" w:cs="Times New Roman"/>
        </w:rPr>
        <w:t xml:space="preserve"> &amp; </w:t>
      </w:r>
      <w:proofErr w:type="spellStart"/>
      <w:r w:rsidR="0081044D">
        <w:rPr>
          <w:rFonts w:ascii="Times New Roman" w:hAnsi="Times New Roman" w:cs="Times New Roman"/>
        </w:rPr>
        <w:t>Vongkulluksn</w:t>
      </w:r>
      <w:proofErr w:type="spellEnd"/>
      <w:r w:rsidR="0081044D">
        <w:rPr>
          <w:rFonts w:ascii="Times New Roman" w:hAnsi="Times New Roman" w:cs="Times New Roman"/>
        </w:rPr>
        <w:t>, 2019)</w:t>
      </w:r>
      <w:r w:rsidR="00621F39">
        <w:rPr>
          <w:rFonts w:ascii="Times New Roman" w:hAnsi="Times New Roman" w:cs="Times New Roman"/>
        </w:rPr>
        <w:t>. All ESM items were on a 4 point scale that ranged from ‘not at all’ to ‘very much</w:t>
      </w:r>
      <w:r w:rsidR="00D35B2D" w:rsidRPr="003D3598">
        <w:rPr>
          <w:rFonts w:ascii="Times New Roman" w:hAnsi="Times New Roman" w:cs="Times New Roman"/>
        </w:rPr>
        <w:t>.</w:t>
      </w:r>
      <w:r w:rsidR="00621F39">
        <w:rPr>
          <w:rFonts w:ascii="Times New Roman" w:hAnsi="Times New Roman" w:cs="Times New Roman"/>
        </w:rPr>
        <w:t>’</w:t>
      </w:r>
      <w:r w:rsidR="00D35B2D" w:rsidRPr="003D3598">
        <w:rPr>
          <w:rFonts w:ascii="Times New Roman" w:hAnsi="Times New Roman" w:cs="Times New Roman"/>
        </w:rPr>
        <w:t xml:space="preserve"> </w:t>
      </w:r>
      <w:r w:rsidR="003A637E" w:rsidRPr="003D3598">
        <w:rPr>
          <w:rFonts w:ascii="Times New Roman" w:hAnsi="Times New Roman" w:cs="Times New Roman"/>
        </w:rPr>
        <w:t xml:space="preserve">ESM was administered in each program on </w:t>
      </w:r>
      <w:r w:rsidR="00D35B2D">
        <w:rPr>
          <w:rFonts w:ascii="Times New Roman" w:hAnsi="Times New Roman" w:cs="Times New Roman"/>
        </w:rPr>
        <w:t xml:space="preserve">six different days; </w:t>
      </w:r>
      <w:r w:rsidR="003A637E" w:rsidRPr="003D3598">
        <w:rPr>
          <w:rFonts w:ascii="Times New Roman" w:hAnsi="Times New Roman" w:cs="Times New Roman"/>
        </w:rPr>
        <w:t xml:space="preserve">two days each week during weeks </w:t>
      </w:r>
      <w:r w:rsidR="0079648D">
        <w:rPr>
          <w:rFonts w:ascii="Times New Roman" w:hAnsi="Times New Roman" w:cs="Times New Roman"/>
        </w:rPr>
        <w:t>two to four</w:t>
      </w:r>
      <w:r w:rsidR="003A637E" w:rsidRPr="003D3598">
        <w:rPr>
          <w:rFonts w:ascii="Times New Roman" w:hAnsi="Times New Roman" w:cs="Times New Roman"/>
        </w:rPr>
        <w:t xml:space="preserve"> of the program</w:t>
      </w:r>
      <w:r w:rsidR="00204A5C" w:rsidRPr="003D3598">
        <w:rPr>
          <w:rFonts w:ascii="Times New Roman" w:hAnsi="Times New Roman" w:cs="Times New Roman"/>
        </w:rPr>
        <w:t xml:space="preserve">, with approximately equal time sampled from </w:t>
      </w:r>
      <w:r w:rsidR="004E6604" w:rsidRPr="003D3598">
        <w:rPr>
          <w:rFonts w:ascii="Times New Roman" w:hAnsi="Times New Roman" w:cs="Times New Roman"/>
        </w:rPr>
        <w:t>field</w:t>
      </w:r>
      <w:r w:rsidR="00204A5C" w:rsidRPr="003D3598">
        <w:rPr>
          <w:rFonts w:ascii="Times New Roman" w:hAnsi="Times New Roman" w:cs="Times New Roman"/>
        </w:rPr>
        <w:t>-based and classroom activities</w:t>
      </w:r>
      <w:r w:rsidR="003A637E" w:rsidRPr="003D3598">
        <w:rPr>
          <w:rFonts w:ascii="Times New Roman" w:hAnsi="Times New Roman" w:cs="Times New Roman"/>
        </w:rPr>
        <w:t xml:space="preserve">. Participants were </w:t>
      </w:r>
      <w:r w:rsidRPr="003D3598">
        <w:rPr>
          <w:rFonts w:ascii="Times New Roman" w:hAnsi="Times New Roman" w:cs="Times New Roman"/>
        </w:rPr>
        <w:t xml:space="preserve">randomly </w:t>
      </w:r>
      <w:r w:rsidR="003A637E" w:rsidRPr="003D3598">
        <w:rPr>
          <w:rFonts w:ascii="Times New Roman" w:hAnsi="Times New Roman" w:cs="Times New Roman"/>
        </w:rPr>
        <w:t>signale</w:t>
      </w:r>
      <w:r w:rsidRPr="003D3598">
        <w:rPr>
          <w:rFonts w:ascii="Times New Roman" w:hAnsi="Times New Roman" w:cs="Times New Roman"/>
        </w:rPr>
        <w:t xml:space="preserve">d </w:t>
      </w:r>
      <w:r w:rsidR="0079648D">
        <w:rPr>
          <w:rFonts w:ascii="Times New Roman" w:hAnsi="Times New Roman" w:cs="Times New Roman"/>
        </w:rPr>
        <w:t>four</w:t>
      </w:r>
      <w:r w:rsidRPr="003D3598">
        <w:rPr>
          <w:rFonts w:ascii="Times New Roman" w:hAnsi="Times New Roman" w:cs="Times New Roman"/>
        </w:rPr>
        <w:t xml:space="preserve"> times </w:t>
      </w:r>
      <w:r w:rsidR="00D35B2D">
        <w:rPr>
          <w:rFonts w:ascii="Times New Roman" w:hAnsi="Times New Roman" w:cs="Times New Roman"/>
        </w:rPr>
        <w:t>on each day</w:t>
      </w:r>
      <w:r w:rsidRPr="003D3598">
        <w:rPr>
          <w:rFonts w:ascii="Times New Roman" w:hAnsi="Times New Roman" w:cs="Times New Roman"/>
        </w:rPr>
        <w:t>, with the condition that two consecutive signals must occur at least 15 minutes apart. A total o</w:t>
      </w:r>
      <w:r w:rsidR="003B7B6F" w:rsidRPr="003D3598">
        <w:rPr>
          <w:rFonts w:ascii="Times New Roman" w:hAnsi="Times New Roman" w:cs="Times New Roman"/>
        </w:rPr>
        <w:t>f 2,970</w:t>
      </w:r>
      <w:r w:rsidR="002629E8" w:rsidRPr="003D3598">
        <w:rPr>
          <w:rFonts w:ascii="Times New Roman" w:hAnsi="Times New Roman" w:cs="Times New Roman"/>
        </w:rPr>
        <w:t xml:space="preserve"> completed ESM surveys were collected</w:t>
      </w:r>
      <w:r w:rsidRPr="003D3598">
        <w:rPr>
          <w:rFonts w:ascii="Times New Roman" w:hAnsi="Times New Roman" w:cs="Times New Roman"/>
        </w:rPr>
        <w:t xml:space="preserve">, which amounts to an average of </w:t>
      </w:r>
      <w:r w:rsidR="004E6604" w:rsidRPr="003D3598">
        <w:rPr>
          <w:rFonts w:ascii="Times New Roman" w:hAnsi="Times New Roman" w:cs="Times New Roman"/>
        </w:rPr>
        <w:t>about 15</w:t>
      </w:r>
      <w:r w:rsidRPr="003D3598">
        <w:rPr>
          <w:rFonts w:ascii="Times New Roman" w:hAnsi="Times New Roman" w:cs="Times New Roman"/>
        </w:rPr>
        <w:t xml:space="preserve"> responses per participant (63% completion rate</w:t>
      </w:r>
      <w:r w:rsidR="003B7B6F" w:rsidRPr="003D3598">
        <w:rPr>
          <w:rFonts w:ascii="Times New Roman" w:hAnsi="Times New Roman" w:cs="Times New Roman"/>
        </w:rPr>
        <w:t xml:space="preserve">, which is fairly typical for ESM studies with similar populations, see </w:t>
      </w:r>
      <w:r w:rsidR="00821EE0">
        <w:rPr>
          <w:rFonts w:ascii="Times New Roman" w:hAnsi="Times New Roman" w:cs="Times New Roman"/>
        </w:rPr>
        <w:t>Authors,</w:t>
      </w:r>
      <w:r w:rsidR="003B7B6F" w:rsidRPr="003D3598">
        <w:rPr>
          <w:rFonts w:ascii="Times New Roman" w:hAnsi="Times New Roman" w:cs="Times New Roman"/>
        </w:rPr>
        <w:t xml:space="preserve"> 2007</w:t>
      </w:r>
      <w:r w:rsidRPr="003D3598">
        <w:rPr>
          <w:rFonts w:ascii="Times New Roman" w:hAnsi="Times New Roman" w:cs="Times New Roman"/>
        </w:rPr>
        <w:t>)</w:t>
      </w:r>
      <w:r w:rsidR="003A637E" w:rsidRPr="003D3598">
        <w:rPr>
          <w:rFonts w:ascii="Times New Roman" w:hAnsi="Times New Roman" w:cs="Times New Roman"/>
        </w:rPr>
        <w:t>.</w:t>
      </w:r>
      <w:r w:rsidRPr="003D3598">
        <w:rPr>
          <w:rFonts w:ascii="Times New Roman" w:hAnsi="Times New Roman" w:cs="Times New Roman"/>
        </w:rPr>
        <w:t xml:space="preserve"> Approximately half of the missing </w:t>
      </w:r>
      <w:r w:rsidR="004E6604" w:rsidRPr="003D3598">
        <w:rPr>
          <w:rFonts w:ascii="Times New Roman" w:hAnsi="Times New Roman" w:cs="Times New Roman"/>
        </w:rPr>
        <w:t xml:space="preserve">signal </w:t>
      </w:r>
      <w:r w:rsidRPr="003D3598">
        <w:rPr>
          <w:rFonts w:ascii="Times New Roman" w:hAnsi="Times New Roman" w:cs="Times New Roman"/>
        </w:rPr>
        <w:t xml:space="preserve">data is attributable to youth absence (see attendance rates reported above). </w:t>
      </w:r>
    </w:p>
    <w:p w14:paraId="089B1E53" w14:textId="5E503DDF" w:rsidR="005143EF" w:rsidRPr="003D3598" w:rsidRDefault="005143EF" w:rsidP="00A73422">
      <w:pPr>
        <w:ind w:firstLine="720"/>
        <w:contextualSpacing/>
        <w:rPr>
          <w:rFonts w:ascii="Times New Roman" w:hAnsi="Times New Roman" w:cs="Times New Roman"/>
        </w:rPr>
      </w:pPr>
      <w:r w:rsidRPr="003D3598">
        <w:rPr>
          <w:rFonts w:ascii="Times New Roman" w:hAnsi="Times New Roman" w:cs="Times New Roman"/>
        </w:rPr>
        <w:t>Before describing the measures used in analysis, we note that short scales</w:t>
      </w:r>
      <w:r w:rsidR="00AD4C76">
        <w:rPr>
          <w:rFonts w:ascii="Times New Roman" w:hAnsi="Times New Roman" w:cs="Times New Roman"/>
        </w:rPr>
        <w:t xml:space="preserve"> and single item scales</w:t>
      </w:r>
      <w:r w:rsidRPr="003D3598">
        <w:rPr>
          <w:rFonts w:ascii="Times New Roman" w:hAnsi="Times New Roman" w:cs="Times New Roman"/>
        </w:rPr>
        <w:t xml:space="preserve"> are the norm in research involving the ESM because of the frequency with which data on immediate experience are collected (</w:t>
      </w:r>
      <w:r w:rsidR="00821EE0">
        <w:rPr>
          <w:rFonts w:ascii="Times New Roman" w:hAnsi="Times New Roman" w:cs="Times New Roman"/>
        </w:rPr>
        <w:t>Authors</w:t>
      </w:r>
      <w:r w:rsidR="003B7B6F" w:rsidRPr="003D3598">
        <w:rPr>
          <w:rFonts w:ascii="Times New Roman" w:hAnsi="Times New Roman" w:cs="Times New Roman"/>
        </w:rPr>
        <w:t>,</w:t>
      </w:r>
      <w:r w:rsidRPr="003D3598">
        <w:rPr>
          <w:rFonts w:ascii="Times New Roman" w:hAnsi="Times New Roman" w:cs="Times New Roman"/>
        </w:rPr>
        <w:t xml:space="preserve"> 2007, see also Goetz, </w:t>
      </w:r>
      <w:proofErr w:type="spellStart"/>
      <w:r w:rsidRPr="003D3598">
        <w:rPr>
          <w:rFonts w:ascii="Times New Roman" w:hAnsi="Times New Roman" w:cs="Times New Roman"/>
        </w:rPr>
        <w:t>Frenzel</w:t>
      </w:r>
      <w:proofErr w:type="spellEnd"/>
      <w:r w:rsidRPr="003D3598">
        <w:rPr>
          <w:rFonts w:ascii="Times New Roman" w:hAnsi="Times New Roman" w:cs="Times New Roman"/>
        </w:rPr>
        <w:t xml:space="preserve">, </w:t>
      </w:r>
      <w:proofErr w:type="spellStart"/>
      <w:r w:rsidRPr="003D3598">
        <w:rPr>
          <w:rFonts w:ascii="Times New Roman" w:hAnsi="Times New Roman" w:cs="Times New Roman"/>
        </w:rPr>
        <w:t>Steoger</w:t>
      </w:r>
      <w:proofErr w:type="spellEnd"/>
      <w:r w:rsidRPr="003D3598">
        <w:rPr>
          <w:rFonts w:ascii="Times New Roman" w:hAnsi="Times New Roman" w:cs="Times New Roman"/>
        </w:rPr>
        <w:t xml:space="preserve"> &amp; Hall, 2010</w:t>
      </w:r>
      <w:r w:rsidR="0079648D">
        <w:rPr>
          <w:rFonts w:ascii="Times New Roman" w:hAnsi="Times New Roman" w:cs="Times New Roman"/>
        </w:rPr>
        <w:t>;</w:t>
      </w:r>
      <w:r w:rsidRPr="003D3598">
        <w:rPr>
          <w:rFonts w:ascii="Times New Roman" w:hAnsi="Times New Roman" w:cs="Times New Roman"/>
        </w:rPr>
        <w:t xml:space="preserve"> </w:t>
      </w:r>
      <w:proofErr w:type="spellStart"/>
      <w:r w:rsidRPr="003D3598">
        <w:rPr>
          <w:rFonts w:ascii="Times New Roman" w:hAnsi="Times New Roman" w:cs="Times New Roman"/>
        </w:rPr>
        <w:t>Nett</w:t>
      </w:r>
      <w:proofErr w:type="spellEnd"/>
      <w:r w:rsidRPr="003D3598">
        <w:rPr>
          <w:rFonts w:ascii="Times New Roman" w:hAnsi="Times New Roman" w:cs="Times New Roman"/>
        </w:rPr>
        <w:t xml:space="preserve">, Goetz &amp; Hall, 2011). A recent examination of </w:t>
      </w:r>
      <w:r w:rsidR="00D7195F" w:rsidRPr="003D3598">
        <w:rPr>
          <w:rFonts w:ascii="Times New Roman" w:hAnsi="Times New Roman" w:cs="Times New Roman"/>
        </w:rPr>
        <w:t>reliabilities</w:t>
      </w:r>
      <w:r w:rsidRPr="003D3598">
        <w:rPr>
          <w:rFonts w:ascii="Times New Roman" w:hAnsi="Times New Roman" w:cs="Times New Roman"/>
        </w:rPr>
        <w:t xml:space="preserve"> and validity between short scales (1-3 items) and traditional lon</w:t>
      </w:r>
      <w:r w:rsidR="004E6604" w:rsidRPr="003D3598">
        <w:rPr>
          <w:rFonts w:ascii="Times New Roman" w:hAnsi="Times New Roman" w:cs="Times New Roman"/>
        </w:rPr>
        <w:t>g</w:t>
      </w:r>
      <w:r w:rsidRPr="003D3598">
        <w:rPr>
          <w:rFonts w:ascii="Times New Roman" w:hAnsi="Times New Roman" w:cs="Times New Roman"/>
        </w:rPr>
        <w:t xml:space="preserve">er scales suggests the promise of using shorter scales (Gogol et al., 2014). </w:t>
      </w:r>
    </w:p>
    <w:p w14:paraId="3F01E83B" w14:textId="54A27AD8" w:rsidR="005143EF" w:rsidRPr="003D3598" w:rsidRDefault="005143EF" w:rsidP="00A73422">
      <w:pPr>
        <w:ind w:firstLine="720"/>
        <w:contextualSpacing/>
        <w:rPr>
          <w:rFonts w:ascii="Times New Roman" w:hAnsi="Times New Roman" w:cs="Times New Roman"/>
        </w:rPr>
      </w:pPr>
      <w:r w:rsidRPr="003D3598">
        <w:rPr>
          <w:rFonts w:ascii="Times New Roman" w:hAnsi="Times New Roman" w:cs="Times New Roman"/>
          <w:b/>
        </w:rPr>
        <w:t>Momentary engagement.</w:t>
      </w:r>
      <w:r w:rsidRPr="003D3598">
        <w:rPr>
          <w:rFonts w:ascii="Times New Roman" w:hAnsi="Times New Roman" w:cs="Times New Roman"/>
        </w:rPr>
        <w:t xml:space="preserve"> A </w:t>
      </w:r>
      <w:r w:rsidR="0079648D">
        <w:rPr>
          <w:rFonts w:ascii="Times New Roman" w:hAnsi="Times New Roman" w:cs="Times New Roman"/>
        </w:rPr>
        <w:t xml:space="preserve">four-item </w:t>
      </w:r>
      <w:r w:rsidRPr="003D3598">
        <w:rPr>
          <w:rFonts w:ascii="Times New Roman" w:hAnsi="Times New Roman" w:cs="Times New Roman"/>
        </w:rPr>
        <w:t xml:space="preserve">composite measure of momentary engagement was constructed by taking the mean of youth ratings of </w:t>
      </w:r>
      <w:r w:rsidR="00121576" w:rsidRPr="003D3598">
        <w:rPr>
          <w:rFonts w:ascii="Times New Roman" w:hAnsi="Times New Roman" w:cs="Times New Roman"/>
        </w:rPr>
        <w:t>hard work (i.e., how hard were you working?)</w:t>
      </w:r>
      <w:r w:rsidR="00121576">
        <w:rPr>
          <w:rFonts w:ascii="Times New Roman" w:hAnsi="Times New Roman" w:cs="Times New Roman"/>
        </w:rPr>
        <w:t xml:space="preserve">, </w:t>
      </w:r>
      <w:r w:rsidRPr="003D3598">
        <w:rPr>
          <w:rFonts w:ascii="Times New Roman" w:hAnsi="Times New Roman" w:cs="Times New Roman"/>
        </w:rPr>
        <w:t>concentration (i.e., how well were you concentrating</w:t>
      </w:r>
      <w:r w:rsidR="00671CE3" w:rsidRPr="003D3598">
        <w:rPr>
          <w:rFonts w:ascii="Times New Roman" w:hAnsi="Times New Roman" w:cs="Times New Roman"/>
        </w:rPr>
        <w:t>?</w:t>
      </w:r>
      <w:r w:rsidRPr="003D3598">
        <w:rPr>
          <w:rFonts w:ascii="Times New Roman" w:hAnsi="Times New Roman" w:cs="Times New Roman"/>
        </w:rPr>
        <w:t>), enjoyment (</w:t>
      </w:r>
      <w:r w:rsidR="00671CE3" w:rsidRPr="003D3598">
        <w:rPr>
          <w:rFonts w:ascii="Times New Roman" w:hAnsi="Times New Roman" w:cs="Times New Roman"/>
        </w:rPr>
        <w:t xml:space="preserve">i.e., did you enjoy what you were doing?), </w:t>
      </w:r>
      <w:r w:rsidR="00121576">
        <w:rPr>
          <w:rFonts w:ascii="Times New Roman" w:hAnsi="Times New Roman" w:cs="Times New Roman"/>
        </w:rPr>
        <w:t xml:space="preserve">and </w:t>
      </w:r>
      <w:r w:rsidR="00671CE3" w:rsidRPr="003D3598">
        <w:rPr>
          <w:rFonts w:ascii="Times New Roman" w:hAnsi="Times New Roman" w:cs="Times New Roman"/>
        </w:rPr>
        <w:t xml:space="preserve">interest (i.e., was the activity interesting?). </w:t>
      </w:r>
      <w:r w:rsidR="002E5BD0">
        <w:rPr>
          <w:rFonts w:ascii="Times New Roman" w:hAnsi="Times New Roman" w:cs="Times New Roman"/>
        </w:rPr>
        <w:t xml:space="preserve">These items were </w:t>
      </w:r>
      <w:r w:rsidR="006002C2">
        <w:rPr>
          <w:rFonts w:ascii="Times New Roman" w:hAnsi="Times New Roman" w:cs="Times New Roman"/>
        </w:rPr>
        <w:t>included in the composite engagement measure</w:t>
      </w:r>
      <w:r w:rsidR="002E5BD0">
        <w:rPr>
          <w:rFonts w:ascii="Times New Roman" w:hAnsi="Times New Roman" w:cs="Times New Roman"/>
        </w:rPr>
        <w:t xml:space="preserve"> to represent</w:t>
      </w:r>
      <w:r w:rsidR="00121576">
        <w:rPr>
          <w:rFonts w:ascii="Times New Roman" w:hAnsi="Times New Roman" w:cs="Times New Roman"/>
        </w:rPr>
        <w:t xml:space="preserve"> dimensions of engagement that are arguably</w:t>
      </w:r>
      <w:r w:rsidR="002E5BD0">
        <w:rPr>
          <w:rFonts w:ascii="Times New Roman" w:hAnsi="Times New Roman" w:cs="Times New Roman"/>
        </w:rPr>
        <w:t xml:space="preserve"> </w:t>
      </w:r>
      <w:r w:rsidR="00121576">
        <w:rPr>
          <w:rFonts w:ascii="Times New Roman" w:hAnsi="Times New Roman" w:cs="Times New Roman"/>
        </w:rPr>
        <w:t>behavioral and/or cognitive (e.g., hard work, concentration)</w:t>
      </w:r>
      <w:r w:rsidR="00A01715">
        <w:rPr>
          <w:rStyle w:val="FootnoteReference"/>
          <w:rFonts w:ascii="Times New Roman" w:hAnsi="Times New Roman" w:cs="Times New Roman"/>
        </w:rPr>
        <w:footnoteReference w:id="2"/>
      </w:r>
      <w:r w:rsidR="00121576">
        <w:rPr>
          <w:rFonts w:ascii="Times New Roman" w:hAnsi="Times New Roman" w:cs="Times New Roman"/>
        </w:rPr>
        <w:t>, and as well as affective (enjoyment, interest).</w:t>
      </w:r>
      <w:r w:rsidR="002E5BD0">
        <w:rPr>
          <w:rFonts w:ascii="Times New Roman" w:hAnsi="Times New Roman" w:cs="Times New Roman"/>
        </w:rPr>
        <w:t xml:space="preserve"> </w:t>
      </w:r>
      <w:r w:rsidR="006002C2">
        <w:rPr>
          <w:rFonts w:ascii="Times New Roman" w:hAnsi="Times New Roman" w:cs="Times New Roman"/>
        </w:rPr>
        <w:t xml:space="preserve">It is important to note that while our measure included indicators representing multiple dimensions of engagement, for this initial exploratory study we did not attempt to examine the different dimensions separately. </w:t>
      </w:r>
      <w:r w:rsidR="004A086A">
        <w:rPr>
          <w:rFonts w:ascii="Times New Roman" w:hAnsi="Times New Roman" w:cs="Times New Roman"/>
        </w:rPr>
        <w:t>Similar measures of engagement have been used in prior research (</w:t>
      </w:r>
      <w:proofErr w:type="spellStart"/>
      <w:r w:rsidR="004A086A">
        <w:rPr>
          <w:rFonts w:ascii="Times New Roman" w:hAnsi="Times New Roman" w:cs="Times New Roman"/>
        </w:rPr>
        <w:t>Shernoff</w:t>
      </w:r>
      <w:proofErr w:type="spellEnd"/>
      <w:r w:rsidR="004A086A">
        <w:rPr>
          <w:rFonts w:ascii="Times New Roman" w:hAnsi="Times New Roman" w:cs="Times New Roman"/>
        </w:rPr>
        <w:t xml:space="preserve"> et al., 2003; </w:t>
      </w:r>
      <w:proofErr w:type="spellStart"/>
      <w:r w:rsidR="004A086A">
        <w:rPr>
          <w:rFonts w:ascii="Times New Roman" w:hAnsi="Times New Roman" w:cs="Times New Roman"/>
        </w:rPr>
        <w:t>Shernoff</w:t>
      </w:r>
      <w:proofErr w:type="spellEnd"/>
      <w:r w:rsidR="004A086A">
        <w:rPr>
          <w:rFonts w:ascii="Times New Roman" w:hAnsi="Times New Roman" w:cs="Times New Roman"/>
        </w:rPr>
        <w:t xml:space="preserve"> &amp; Schmidt, 2008; Strati et al, 2017), and this</w:t>
      </w:r>
      <w:r w:rsidR="001D3D37" w:rsidRPr="003D3598">
        <w:rPr>
          <w:rFonts w:ascii="Times New Roman" w:hAnsi="Times New Roman" w:cs="Times New Roman"/>
        </w:rPr>
        <w:t xml:space="preserve"> </w:t>
      </w:r>
      <w:r w:rsidR="006002C2">
        <w:rPr>
          <w:rFonts w:ascii="Times New Roman" w:hAnsi="Times New Roman" w:cs="Times New Roman"/>
        </w:rPr>
        <w:t xml:space="preserve">composite </w:t>
      </w:r>
      <w:r w:rsidR="001D3D37" w:rsidRPr="003D3598">
        <w:rPr>
          <w:rFonts w:ascii="Times New Roman" w:hAnsi="Times New Roman" w:cs="Times New Roman"/>
        </w:rPr>
        <w:t>measure had an acceptable level of internal validity</w:t>
      </w:r>
      <w:r w:rsidR="004A086A">
        <w:rPr>
          <w:rFonts w:ascii="Times New Roman" w:hAnsi="Times New Roman" w:cs="Times New Roman"/>
        </w:rPr>
        <w:t xml:space="preserve"> in the current sample</w:t>
      </w:r>
      <w:r w:rsidR="00646D4C" w:rsidRPr="003D3598">
        <w:rPr>
          <w:rFonts w:ascii="Times New Roman" w:hAnsi="Times New Roman" w:cs="Times New Roman"/>
        </w:rPr>
        <w:t>,</w:t>
      </w:r>
      <w:r w:rsidR="001D3D37" w:rsidRPr="003D3598">
        <w:rPr>
          <w:rFonts w:ascii="Times New Roman" w:hAnsi="Times New Roman" w:cs="Times New Roman"/>
        </w:rPr>
        <w:t xml:space="preserve"> as indicated by Cronbach’s alpha</w:t>
      </w:r>
      <w:r w:rsidR="007C7F65" w:rsidRPr="003D3598">
        <w:rPr>
          <w:rFonts w:ascii="Times New Roman" w:hAnsi="Times New Roman" w:cs="Times New Roman"/>
        </w:rPr>
        <w:t xml:space="preserve"> (α =</w:t>
      </w:r>
      <w:r w:rsidR="0079648D">
        <w:rPr>
          <w:rFonts w:ascii="Times New Roman" w:hAnsi="Times New Roman" w:cs="Times New Roman"/>
        </w:rPr>
        <w:t xml:space="preserve"> </w:t>
      </w:r>
      <w:r w:rsidR="007C7F65" w:rsidRPr="003D3598">
        <w:rPr>
          <w:rFonts w:ascii="Times New Roman" w:hAnsi="Times New Roman" w:cs="Times New Roman"/>
        </w:rPr>
        <w:t>.85</w:t>
      </w:r>
      <w:r w:rsidR="001D3D37" w:rsidRPr="003D3598">
        <w:rPr>
          <w:rFonts w:ascii="Times New Roman" w:hAnsi="Times New Roman" w:cs="Times New Roman"/>
        </w:rPr>
        <w:t>)</w:t>
      </w:r>
      <w:r w:rsidR="00394282">
        <w:rPr>
          <w:rFonts w:ascii="Times New Roman" w:hAnsi="Times New Roman" w:cs="Times New Roman"/>
        </w:rPr>
        <w:t>.</w:t>
      </w:r>
    </w:p>
    <w:p w14:paraId="555F8103" w14:textId="7FB367AE" w:rsidR="00671CE3" w:rsidRPr="003D3598" w:rsidRDefault="00671CE3" w:rsidP="00A73422">
      <w:pPr>
        <w:ind w:firstLine="720"/>
        <w:contextualSpacing/>
        <w:rPr>
          <w:rFonts w:ascii="Times New Roman" w:hAnsi="Times New Roman" w:cs="Times New Roman"/>
        </w:rPr>
      </w:pPr>
      <w:r w:rsidRPr="003D3598">
        <w:rPr>
          <w:rFonts w:ascii="Times New Roman" w:hAnsi="Times New Roman" w:cs="Times New Roman"/>
          <w:b/>
        </w:rPr>
        <w:t>Perceived challenge.</w:t>
      </w:r>
      <w:r w:rsidRPr="003D3598">
        <w:rPr>
          <w:rFonts w:ascii="Times New Roman" w:hAnsi="Times New Roman" w:cs="Times New Roman"/>
        </w:rPr>
        <w:t xml:space="preserve"> Challenge was measured using a single item on the ESM (i.e. how challenging was the activity?). </w:t>
      </w:r>
    </w:p>
    <w:p w14:paraId="187A4E15" w14:textId="06123129" w:rsidR="00671CE3" w:rsidRPr="003D3598" w:rsidRDefault="00671CE3" w:rsidP="00A73422">
      <w:pPr>
        <w:ind w:firstLine="720"/>
        <w:contextualSpacing/>
        <w:rPr>
          <w:rFonts w:ascii="Times New Roman" w:hAnsi="Times New Roman" w:cs="Times New Roman"/>
        </w:rPr>
      </w:pPr>
      <w:r w:rsidRPr="003D3598">
        <w:rPr>
          <w:rFonts w:ascii="Times New Roman" w:hAnsi="Times New Roman" w:cs="Times New Roman"/>
          <w:b/>
        </w:rPr>
        <w:t>Perceived relevance.</w:t>
      </w:r>
      <w:r w:rsidRPr="003D3598">
        <w:rPr>
          <w:rFonts w:ascii="Times New Roman" w:hAnsi="Times New Roman" w:cs="Times New Roman"/>
        </w:rPr>
        <w:t xml:space="preserve"> Relevance was computed as the mean of three ESM items including importance to you (i.e., was the activity important to you?), importance to future (i.e., was the activity important to your future goals?), and utility (</w:t>
      </w:r>
      <w:r w:rsidR="0079648D">
        <w:rPr>
          <w:rFonts w:ascii="Times New Roman" w:hAnsi="Times New Roman" w:cs="Times New Roman"/>
        </w:rPr>
        <w:t xml:space="preserve">i.e., </w:t>
      </w:r>
      <w:r w:rsidRPr="003D3598">
        <w:rPr>
          <w:rFonts w:ascii="Times New Roman" w:hAnsi="Times New Roman" w:cs="Times New Roman"/>
        </w:rPr>
        <w:t xml:space="preserve">could you see yourself using </w:t>
      </w:r>
      <w:r w:rsidRPr="003D3598">
        <w:rPr>
          <w:rFonts w:ascii="Times New Roman" w:hAnsi="Times New Roman" w:cs="Times New Roman"/>
        </w:rPr>
        <w:lastRenderedPageBreak/>
        <w:t xml:space="preserve">what you were learning outside of this program?). </w:t>
      </w:r>
      <w:r w:rsidR="007206F5" w:rsidRPr="003D3598">
        <w:rPr>
          <w:rFonts w:ascii="Times New Roman" w:hAnsi="Times New Roman" w:cs="Times New Roman"/>
        </w:rPr>
        <w:t xml:space="preserve">This measure also indicated an acceptable level of internal validity (α = </w:t>
      </w:r>
      <w:r w:rsidR="007C7F65" w:rsidRPr="003D3598">
        <w:rPr>
          <w:rFonts w:ascii="Times New Roman" w:hAnsi="Times New Roman" w:cs="Times New Roman"/>
        </w:rPr>
        <w:t>.84</w:t>
      </w:r>
      <w:r w:rsidR="007206F5" w:rsidRPr="003D3598">
        <w:rPr>
          <w:rFonts w:ascii="Times New Roman" w:hAnsi="Times New Roman" w:cs="Times New Roman"/>
        </w:rPr>
        <w:t>)</w:t>
      </w:r>
      <w:r w:rsidR="004E6604" w:rsidRPr="003D3598">
        <w:rPr>
          <w:rFonts w:ascii="Times New Roman" w:hAnsi="Times New Roman" w:cs="Times New Roman"/>
        </w:rPr>
        <w:t>.</w:t>
      </w:r>
    </w:p>
    <w:p w14:paraId="1CEC3ECF" w14:textId="58FDFBDD" w:rsidR="00671CE3" w:rsidRPr="003D3598" w:rsidRDefault="00671CE3" w:rsidP="00A73422">
      <w:pPr>
        <w:ind w:firstLine="720"/>
        <w:contextualSpacing/>
        <w:rPr>
          <w:rFonts w:ascii="Times New Roman" w:hAnsi="Times New Roman" w:cs="Times New Roman"/>
        </w:rPr>
      </w:pPr>
      <w:r w:rsidRPr="003D3598">
        <w:rPr>
          <w:rFonts w:ascii="Times New Roman" w:hAnsi="Times New Roman" w:cs="Times New Roman"/>
          <w:b/>
        </w:rPr>
        <w:t>Learning</w:t>
      </w:r>
      <w:r w:rsidRPr="003D3598">
        <w:rPr>
          <w:rFonts w:ascii="Times New Roman" w:hAnsi="Times New Roman" w:cs="Times New Roman"/>
        </w:rPr>
        <w:t xml:space="preserve">. </w:t>
      </w:r>
      <w:r w:rsidR="003C1ED9" w:rsidRPr="003D3598">
        <w:rPr>
          <w:rFonts w:ascii="Times New Roman" w:hAnsi="Times New Roman" w:cs="Times New Roman"/>
        </w:rPr>
        <w:t>Youths</w:t>
      </w:r>
      <w:r w:rsidR="003C1ED9">
        <w:rPr>
          <w:rFonts w:ascii="Times New Roman" w:hAnsi="Times New Roman" w:cs="Times New Roman"/>
        </w:rPr>
        <w:t>’</w:t>
      </w:r>
      <w:r w:rsidR="003C1ED9" w:rsidRPr="003D3598">
        <w:rPr>
          <w:rFonts w:ascii="Times New Roman" w:hAnsi="Times New Roman" w:cs="Times New Roman"/>
        </w:rPr>
        <w:t xml:space="preserve"> </w:t>
      </w:r>
      <w:r w:rsidRPr="003D3598">
        <w:rPr>
          <w:rFonts w:ascii="Times New Roman" w:hAnsi="Times New Roman" w:cs="Times New Roman"/>
        </w:rPr>
        <w:t>perception of learning was measured using a single item (i.e., were you learning anything or getting better at something?)</w:t>
      </w:r>
      <w:r w:rsidR="004E6604" w:rsidRPr="003D3598">
        <w:rPr>
          <w:rFonts w:ascii="Times New Roman" w:hAnsi="Times New Roman" w:cs="Times New Roman"/>
        </w:rPr>
        <w:t>.</w:t>
      </w:r>
    </w:p>
    <w:p w14:paraId="083A080C" w14:textId="7127483E" w:rsidR="00677F6E" w:rsidRDefault="00472BB6" w:rsidP="00A73422">
      <w:pPr>
        <w:ind w:firstLine="720"/>
        <w:contextualSpacing/>
        <w:rPr>
          <w:rFonts w:ascii="Times New Roman" w:hAnsi="Times New Roman" w:cs="Times New Roman"/>
        </w:rPr>
      </w:pPr>
      <w:r w:rsidRPr="003D3598">
        <w:rPr>
          <w:rFonts w:ascii="Times New Roman" w:hAnsi="Times New Roman" w:cs="Times New Roman"/>
          <w:b/>
        </w:rPr>
        <w:t>Program activities</w:t>
      </w:r>
      <w:r w:rsidR="00EF7E5E" w:rsidRPr="003D3598">
        <w:rPr>
          <w:rFonts w:ascii="Times New Roman" w:hAnsi="Times New Roman" w:cs="Times New Roman"/>
          <w:b/>
        </w:rPr>
        <w:t>.</w:t>
      </w:r>
      <w:r w:rsidR="00EF7E5E" w:rsidRPr="003D3598">
        <w:rPr>
          <w:rFonts w:ascii="Times New Roman" w:hAnsi="Times New Roman" w:cs="Times New Roman"/>
        </w:rPr>
        <w:t xml:space="preserve"> </w:t>
      </w:r>
      <w:r w:rsidR="003A637E" w:rsidRPr="003D3598">
        <w:rPr>
          <w:rFonts w:ascii="Times New Roman" w:hAnsi="Times New Roman" w:cs="Times New Roman"/>
        </w:rPr>
        <w:t xml:space="preserve">On the days ESM was administered, program sessions were videotaped, and the video was marked to indicate when ESM signals were emitted so that </w:t>
      </w:r>
      <w:r w:rsidR="00BA18A8" w:rsidRPr="003D3598">
        <w:rPr>
          <w:rFonts w:ascii="Times New Roman" w:hAnsi="Times New Roman" w:cs="Times New Roman"/>
        </w:rPr>
        <w:t xml:space="preserve">coded </w:t>
      </w:r>
      <w:r w:rsidR="003A637E" w:rsidRPr="003D3598">
        <w:rPr>
          <w:rFonts w:ascii="Times New Roman" w:hAnsi="Times New Roman" w:cs="Times New Roman"/>
        </w:rPr>
        <w:t xml:space="preserve">video data </w:t>
      </w:r>
      <w:r w:rsidR="00394282">
        <w:rPr>
          <w:rFonts w:ascii="Times New Roman" w:hAnsi="Times New Roman" w:cs="Times New Roman"/>
        </w:rPr>
        <w:t xml:space="preserve">regarding program activities </w:t>
      </w:r>
      <w:r w:rsidR="003A637E" w:rsidRPr="003D3598">
        <w:rPr>
          <w:rFonts w:ascii="Times New Roman" w:hAnsi="Times New Roman" w:cs="Times New Roman"/>
        </w:rPr>
        <w:t>could be linked to participants’ ESM responses.</w:t>
      </w:r>
      <w:r w:rsidR="00021463">
        <w:rPr>
          <w:rFonts w:ascii="Times New Roman" w:hAnsi="Times New Roman" w:cs="Times New Roman"/>
        </w:rPr>
        <w:t xml:space="preserve"> The NVivo software package was used to code each video to characterize the nature of the program activity from the beginning to the end of the recorded session. Following criteria used by Duke (2000), in situations where multiple discrete activities occurred simultaneously (e.g., </w:t>
      </w:r>
      <w:r w:rsidR="005D2C80">
        <w:rPr>
          <w:rFonts w:ascii="Times New Roman" w:hAnsi="Times New Roman" w:cs="Times New Roman"/>
        </w:rPr>
        <w:t xml:space="preserve">3 </w:t>
      </w:r>
      <w:r w:rsidR="003C1ED9">
        <w:rPr>
          <w:rFonts w:ascii="Times New Roman" w:hAnsi="Times New Roman" w:cs="Times New Roman"/>
        </w:rPr>
        <w:t>youths</w:t>
      </w:r>
      <w:r w:rsidR="005D2C80">
        <w:rPr>
          <w:rFonts w:ascii="Times New Roman" w:hAnsi="Times New Roman" w:cs="Times New Roman"/>
        </w:rPr>
        <w:t xml:space="preserve"> are meeting in a small group to discuss a building project while most </w:t>
      </w:r>
      <w:r w:rsidR="003C1ED9">
        <w:rPr>
          <w:rFonts w:ascii="Times New Roman" w:hAnsi="Times New Roman" w:cs="Times New Roman"/>
        </w:rPr>
        <w:t>others</w:t>
      </w:r>
      <w:r w:rsidR="005D2C80">
        <w:rPr>
          <w:rFonts w:ascii="Times New Roman" w:hAnsi="Times New Roman" w:cs="Times New Roman"/>
        </w:rPr>
        <w:t xml:space="preserve"> are completing a </w:t>
      </w:r>
      <w:r w:rsidR="00677F6E">
        <w:rPr>
          <w:rFonts w:ascii="Times New Roman" w:hAnsi="Times New Roman" w:cs="Times New Roman"/>
        </w:rPr>
        <w:t>worksheet in which they are reviewing basic terminology related to simple machines.</w:t>
      </w:r>
      <w:r w:rsidR="00021463">
        <w:rPr>
          <w:rFonts w:ascii="Times New Roman" w:hAnsi="Times New Roman" w:cs="Times New Roman"/>
        </w:rPr>
        <w:t xml:space="preserve"> </w:t>
      </w:r>
      <w:r w:rsidR="004D6900">
        <w:rPr>
          <w:rFonts w:ascii="Times New Roman" w:hAnsi="Times New Roman" w:cs="Times New Roman"/>
        </w:rPr>
        <w:t xml:space="preserve">Activity categories were </w:t>
      </w:r>
      <w:r w:rsidR="00D5580F">
        <w:rPr>
          <w:rFonts w:ascii="Times New Roman" w:hAnsi="Times New Roman" w:cs="Times New Roman"/>
        </w:rPr>
        <w:t xml:space="preserve">informed by prior research on instructional activities in STEM domains (Barak &amp; </w:t>
      </w:r>
      <w:proofErr w:type="spellStart"/>
      <w:r w:rsidR="00D5580F">
        <w:rPr>
          <w:rFonts w:ascii="Times New Roman" w:hAnsi="Times New Roman" w:cs="Times New Roman"/>
        </w:rPr>
        <w:t>Shakhman</w:t>
      </w:r>
      <w:proofErr w:type="spellEnd"/>
      <w:r w:rsidR="00D5580F">
        <w:rPr>
          <w:rFonts w:ascii="Times New Roman" w:hAnsi="Times New Roman" w:cs="Times New Roman"/>
        </w:rPr>
        <w:t xml:space="preserve">, 2008; Their &amp; </w:t>
      </w:r>
      <w:proofErr w:type="spellStart"/>
      <w:r w:rsidR="00D5580F">
        <w:rPr>
          <w:rFonts w:ascii="Times New Roman" w:hAnsi="Times New Roman" w:cs="Times New Roman"/>
        </w:rPr>
        <w:t>Daviss</w:t>
      </w:r>
      <w:proofErr w:type="spellEnd"/>
      <w:r w:rsidR="00D5580F">
        <w:rPr>
          <w:rFonts w:ascii="Times New Roman" w:hAnsi="Times New Roman" w:cs="Times New Roman"/>
        </w:rPr>
        <w:t xml:space="preserve">, 2002; Von Secker &amp; </w:t>
      </w:r>
      <w:proofErr w:type="spellStart"/>
      <w:r w:rsidR="00D5580F">
        <w:rPr>
          <w:rFonts w:ascii="Times New Roman" w:hAnsi="Times New Roman" w:cs="Times New Roman"/>
        </w:rPr>
        <w:t>Lissitz</w:t>
      </w:r>
      <w:proofErr w:type="spellEnd"/>
      <w:r w:rsidR="00D5580F">
        <w:rPr>
          <w:rFonts w:ascii="Times New Roman" w:hAnsi="Times New Roman" w:cs="Times New Roman"/>
        </w:rPr>
        <w:t xml:space="preserve">, 1999); and </w:t>
      </w:r>
      <w:r w:rsidR="00021463">
        <w:rPr>
          <w:rFonts w:ascii="Times New Roman" w:hAnsi="Times New Roman" w:cs="Times New Roman"/>
        </w:rPr>
        <w:t xml:space="preserve">reflect categories that </w:t>
      </w:r>
      <w:r w:rsidR="00D5580F">
        <w:rPr>
          <w:rFonts w:ascii="Times New Roman" w:hAnsi="Times New Roman" w:cs="Times New Roman"/>
        </w:rPr>
        <w:t xml:space="preserve">we </w:t>
      </w:r>
      <w:r w:rsidR="00021463">
        <w:rPr>
          <w:rFonts w:ascii="Times New Roman" w:hAnsi="Times New Roman" w:cs="Times New Roman"/>
        </w:rPr>
        <w:t>employed</w:t>
      </w:r>
      <w:r w:rsidR="00D5580F">
        <w:rPr>
          <w:rFonts w:ascii="Times New Roman" w:hAnsi="Times New Roman" w:cs="Times New Roman"/>
        </w:rPr>
        <w:t xml:space="preserve"> </w:t>
      </w:r>
      <w:r w:rsidR="00677F6E">
        <w:rPr>
          <w:rFonts w:ascii="Times New Roman" w:hAnsi="Times New Roman" w:cs="Times New Roman"/>
        </w:rPr>
        <w:t xml:space="preserve">productively </w:t>
      </w:r>
      <w:r w:rsidR="00D5580F">
        <w:rPr>
          <w:rFonts w:ascii="Times New Roman" w:hAnsi="Times New Roman" w:cs="Times New Roman"/>
        </w:rPr>
        <w:t xml:space="preserve">in </w:t>
      </w:r>
      <w:r w:rsidR="00677F6E">
        <w:rPr>
          <w:rFonts w:ascii="Times New Roman" w:hAnsi="Times New Roman" w:cs="Times New Roman"/>
        </w:rPr>
        <w:t xml:space="preserve">our </w:t>
      </w:r>
      <w:r w:rsidR="00D5580F">
        <w:rPr>
          <w:rFonts w:ascii="Times New Roman" w:hAnsi="Times New Roman" w:cs="Times New Roman"/>
        </w:rPr>
        <w:t>prior research</w:t>
      </w:r>
      <w:r w:rsidR="00677F6E">
        <w:rPr>
          <w:rFonts w:ascii="Times New Roman" w:hAnsi="Times New Roman" w:cs="Times New Roman"/>
        </w:rPr>
        <w:t xml:space="preserve"> involving other </w:t>
      </w:r>
      <w:r w:rsidR="003C1ED9">
        <w:rPr>
          <w:rFonts w:ascii="Times New Roman" w:hAnsi="Times New Roman" w:cs="Times New Roman"/>
        </w:rPr>
        <w:t>adolescents</w:t>
      </w:r>
      <w:r w:rsidR="00677F6E">
        <w:rPr>
          <w:rFonts w:ascii="Times New Roman" w:hAnsi="Times New Roman" w:cs="Times New Roman"/>
        </w:rPr>
        <w:t xml:space="preserve"> STEM learning settings</w:t>
      </w:r>
      <w:r w:rsidR="00D5580F">
        <w:rPr>
          <w:rFonts w:ascii="Times New Roman" w:hAnsi="Times New Roman" w:cs="Times New Roman"/>
        </w:rPr>
        <w:t xml:space="preserve"> (</w:t>
      </w:r>
      <w:r w:rsidR="00677F6E">
        <w:rPr>
          <w:rFonts w:ascii="Times New Roman" w:hAnsi="Times New Roman" w:cs="Times New Roman"/>
        </w:rPr>
        <w:t>Schmidt et al., 2018</w:t>
      </w:r>
      <w:r w:rsidR="00D5580F">
        <w:rPr>
          <w:rFonts w:ascii="Times New Roman" w:hAnsi="Times New Roman" w:cs="Times New Roman"/>
        </w:rPr>
        <w:t xml:space="preserve">). </w:t>
      </w:r>
      <w:r w:rsidR="00677F6E">
        <w:rPr>
          <w:rFonts w:ascii="Times New Roman" w:hAnsi="Times New Roman" w:cs="Times New Roman"/>
        </w:rPr>
        <w:t>The a</w:t>
      </w:r>
      <w:r w:rsidR="00567690" w:rsidRPr="003D3598">
        <w:rPr>
          <w:rFonts w:ascii="Times New Roman" w:hAnsi="Times New Roman" w:cs="Times New Roman"/>
        </w:rPr>
        <w:t>ctivity categories</w:t>
      </w:r>
      <w:r w:rsidR="00677F6E">
        <w:rPr>
          <w:rFonts w:ascii="Times New Roman" w:hAnsi="Times New Roman" w:cs="Times New Roman"/>
        </w:rPr>
        <w:t xml:space="preserve">, and a brief operational definition of each are provided below. </w:t>
      </w:r>
    </w:p>
    <w:p w14:paraId="4C26670A" w14:textId="6796374D" w:rsidR="00677F6E" w:rsidRDefault="00567690" w:rsidP="00A73422">
      <w:pPr>
        <w:ind w:firstLine="720"/>
        <w:contextualSpacing/>
        <w:rPr>
          <w:rFonts w:ascii="Times New Roman" w:hAnsi="Times New Roman" w:cs="Times New Roman"/>
        </w:rPr>
      </w:pPr>
      <w:r w:rsidRPr="003D3598">
        <w:rPr>
          <w:rFonts w:ascii="Times New Roman" w:hAnsi="Times New Roman" w:cs="Times New Roman"/>
        </w:rPr>
        <w:t xml:space="preserve"> </w:t>
      </w:r>
      <w:r w:rsidR="00314B97" w:rsidRPr="00524BA6">
        <w:rPr>
          <w:rFonts w:ascii="Times New Roman" w:hAnsi="Times New Roman" w:cs="Times New Roman"/>
          <w:i/>
        </w:rPr>
        <w:t>Basic skills activities</w:t>
      </w:r>
      <w:r w:rsidR="00524BA6">
        <w:rPr>
          <w:rFonts w:ascii="Times New Roman" w:hAnsi="Times New Roman" w:cs="Times New Roman"/>
        </w:rPr>
        <w:t xml:space="preserve">. Activities whose primary purpose is </w:t>
      </w:r>
      <w:r w:rsidR="0092498D">
        <w:rPr>
          <w:rFonts w:ascii="Times New Roman" w:hAnsi="Times New Roman" w:cs="Times New Roman"/>
        </w:rPr>
        <w:t xml:space="preserve">introducing youth to or </w:t>
      </w:r>
      <w:r w:rsidR="00524BA6">
        <w:rPr>
          <w:rFonts w:ascii="Times New Roman" w:hAnsi="Times New Roman" w:cs="Times New Roman"/>
        </w:rPr>
        <w:t xml:space="preserve">practicing a STEM-related skill (e.g. measuring), becoming familiar with </w:t>
      </w:r>
      <w:r w:rsidR="0092498D">
        <w:rPr>
          <w:rFonts w:ascii="Times New Roman" w:hAnsi="Times New Roman" w:cs="Times New Roman"/>
        </w:rPr>
        <w:t xml:space="preserve">STEM </w:t>
      </w:r>
      <w:r w:rsidR="00524BA6">
        <w:rPr>
          <w:rFonts w:ascii="Times New Roman" w:hAnsi="Times New Roman" w:cs="Times New Roman"/>
        </w:rPr>
        <w:t>terminology (e.g., review games), tools (e.g., saws), or procedures (e.g. worksheets on order of operations).</w:t>
      </w:r>
      <w:r w:rsidR="0092498D">
        <w:rPr>
          <w:rFonts w:ascii="Times New Roman" w:hAnsi="Times New Roman" w:cs="Times New Roman"/>
        </w:rPr>
        <w:t xml:space="preserve"> These are “stand-alone” activities that are not embedded in the broader context of creating a product or conducting a lab (both are described below). </w:t>
      </w:r>
    </w:p>
    <w:p w14:paraId="56576839" w14:textId="316B3703" w:rsidR="00677F6E" w:rsidRDefault="00314B97" w:rsidP="00A73422">
      <w:pPr>
        <w:ind w:firstLine="720"/>
        <w:contextualSpacing/>
        <w:rPr>
          <w:rFonts w:ascii="Times New Roman" w:hAnsi="Times New Roman" w:cs="Times New Roman"/>
        </w:rPr>
      </w:pPr>
      <w:r w:rsidRPr="00584856">
        <w:rPr>
          <w:rFonts w:ascii="Times New Roman" w:hAnsi="Times New Roman" w:cs="Times New Roman"/>
          <w:i/>
        </w:rPr>
        <w:t xml:space="preserve">Creating </w:t>
      </w:r>
      <w:r w:rsidR="0079648D" w:rsidRPr="00584856">
        <w:rPr>
          <w:rFonts w:ascii="Times New Roman" w:hAnsi="Times New Roman" w:cs="Times New Roman"/>
          <w:i/>
        </w:rPr>
        <w:t>p</w:t>
      </w:r>
      <w:r w:rsidRPr="00584856">
        <w:rPr>
          <w:rFonts w:ascii="Times New Roman" w:hAnsi="Times New Roman" w:cs="Times New Roman"/>
          <w:i/>
        </w:rPr>
        <w:t>roducts</w:t>
      </w:r>
      <w:r w:rsidR="009353AD" w:rsidRPr="00584856">
        <w:rPr>
          <w:rFonts w:ascii="Times New Roman" w:hAnsi="Times New Roman" w:cs="Times New Roman"/>
          <w:i/>
        </w:rPr>
        <w:t>.</w:t>
      </w:r>
      <w:r w:rsidR="009353AD">
        <w:rPr>
          <w:rFonts w:ascii="Times New Roman" w:hAnsi="Times New Roman" w:cs="Times New Roman"/>
        </w:rPr>
        <w:t xml:space="preserve"> Activities related to </w:t>
      </w:r>
      <w:r w:rsidR="00584856">
        <w:rPr>
          <w:rFonts w:ascii="Times New Roman" w:hAnsi="Times New Roman" w:cs="Times New Roman"/>
        </w:rPr>
        <w:t xml:space="preserve">planning, </w:t>
      </w:r>
      <w:r w:rsidR="009353AD">
        <w:rPr>
          <w:rFonts w:ascii="Times New Roman" w:hAnsi="Times New Roman" w:cs="Times New Roman"/>
        </w:rPr>
        <w:t>designing</w:t>
      </w:r>
      <w:r w:rsidR="00584856">
        <w:rPr>
          <w:rFonts w:ascii="Times New Roman" w:hAnsi="Times New Roman" w:cs="Times New Roman"/>
        </w:rPr>
        <w:t xml:space="preserve">, </w:t>
      </w:r>
      <w:r w:rsidR="009353AD">
        <w:rPr>
          <w:rFonts w:ascii="Times New Roman" w:hAnsi="Times New Roman" w:cs="Times New Roman"/>
        </w:rPr>
        <w:t>building</w:t>
      </w:r>
      <w:r w:rsidR="00584856">
        <w:rPr>
          <w:rFonts w:ascii="Times New Roman" w:hAnsi="Times New Roman" w:cs="Times New Roman"/>
        </w:rPr>
        <w:t>, demonstrating, or displaying</w:t>
      </w:r>
      <w:r w:rsidR="009353AD">
        <w:rPr>
          <w:rFonts w:ascii="Times New Roman" w:hAnsi="Times New Roman" w:cs="Times New Roman"/>
        </w:rPr>
        <w:t xml:space="preserve"> </w:t>
      </w:r>
      <w:r w:rsidR="0092498D">
        <w:rPr>
          <w:rFonts w:ascii="Times New Roman" w:hAnsi="Times New Roman" w:cs="Times New Roman"/>
        </w:rPr>
        <w:t>a product</w:t>
      </w:r>
      <w:r w:rsidR="00584856">
        <w:rPr>
          <w:rFonts w:ascii="Times New Roman" w:hAnsi="Times New Roman" w:cs="Times New Roman"/>
        </w:rPr>
        <w:t xml:space="preserve"> </w:t>
      </w:r>
      <w:r w:rsidR="009353AD">
        <w:rPr>
          <w:rFonts w:ascii="Times New Roman" w:hAnsi="Times New Roman" w:cs="Times New Roman"/>
        </w:rPr>
        <w:t xml:space="preserve">(e.g., simple machines), as well as instances where </w:t>
      </w:r>
      <w:r w:rsidR="003C1ED9">
        <w:rPr>
          <w:rFonts w:ascii="Times New Roman" w:hAnsi="Times New Roman" w:cs="Times New Roman"/>
        </w:rPr>
        <w:t>program participants</w:t>
      </w:r>
      <w:r w:rsidR="009353AD">
        <w:rPr>
          <w:rFonts w:ascii="Times New Roman" w:hAnsi="Times New Roman" w:cs="Times New Roman"/>
        </w:rPr>
        <w:t xml:space="preserve"> are </w:t>
      </w:r>
      <w:r w:rsidR="00584856">
        <w:rPr>
          <w:rFonts w:ascii="Times New Roman" w:hAnsi="Times New Roman" w:cs="Times New Roman"/>
        </w:rPr>
        <w:t>preparing to share their ideas, designs, and conclusions about a STEM topic with the larger group in a formal way that reflects advance preparation</w:t>
      </w:r>
      <w:r w:rsidRPr="003D3598">
        <w:rPr>
          <w:rFonts w:ascii="Times New Roman" w:hAnsi="Times New Roman" w:cs="Times New Roman"/>
        </w:rPr>
        <w:t xml:space="preserve"> (e.g., </w:t>
      </w:r>
      <w:r w:rsidR="00584856">
        <w:rPr>
          <w:rFonts w:ascii="Times New Roman" w:hAnsi="Times New Roman" w:cs="Times New Roman"/>
        </w:rPr>
        <w:t>posters, presentations</w:t>
      </w:r>
      <w:r w:rsidRPr="003D3598">
        <w:rPr>
          <w:rFonts w:ascii="Times New Roman" w:hAnsi="Times New Roman" w:cs="Times New Roman"/>
        </w:rPr>
        <w:t>)</w:t>
      </w:r>
      <w:r w:rsidR="00584856">
        <w:rPr>
          <w:rFonts w:ascii="Times New Roman" w:hAnsi="Times New Roman" w:cs="Times New Roman"/>
        </w:rPr>
        <w:t>.</w:t>
      </w:r>
      <w:r w:rsidRPr="003D3598">
        <w:rPr>
          <w:rFonts w:ascii="Times New Roman" w:hAnsi="Times New Roman" w:cs="Times New Roman"/>
        </w:rPr>
        <w:t xml:space="preserve"> </w:t>
      </w:r>
    </w:p>
    <w:p w14:paraId="2EF17425" w14:textId="557EFD01" w:rsidR="00677F6E" w:rsidRDefault="00314B97" w:rsidP="00A73422">
      <w:pPr>
        <w:ind w:firstLine="720"/>
        <w:contextualSpacing/>
        <w:rPr>
          <w:rFonts w:ascii="Times New Roman" w:hAnsi="Times New Roman" w:cs="Times New Roman"/>
        </w:rPr>
      </w:pPr>
      <w:r w:rsidRPr="00584856">
        <w:rPr>
          <w:rFonts w:ascii="Times New Roman" w:hAnsi="Times New Roman" w:cs="Times New Roman"/>
          <w:i/>
        </w:rPr>
        <w:t xml:space="preserve">Listening to STEM </w:t>
      </w:r>
      <w:r w:rsidR="0079648D" w:rsidRPr="00584856">
        <w:rPr>
          <w:rFonts w:ascii="Times New Roman" w:hAnsi="Times New Roman" w:cs="Times New Roman"/>
          <w:i/>
        </w:rPr>
        <w:t>e</w:t>
      </w:r>
      <w:r w:rsidRPr="00584856">
        <w:rPr>
          <w:rFonts w:ascii="Times New Roman" w:hAnsi="Times New Roman" w:cs="Times New Roman"/>
          <w:i/>
        </w:rPr>
        <w:t xml:space="preserve">xpert </w:t>
      </w:r>
      <w:r w:rsidR="0079648D" w:rsidRPr="00584856">
        <w:rPr>
          <w:rFonts w:ascii="Times New Roman" w:hAnsi="Times New Roman" w:cs="Times New Roman"/>
          <w:i/>
        </w:rPr>
        <w:t>s</w:t>
      </w:r>
      <w:r w:rsidRPr="00584856">
        <w:rPr>
          <w:rFonts w:ascii="Times New Roman" w:hAnsi="Times New Roman" w:cs="Times New Roman"/>
          <w:i/>
        </w:rPr>
        <w:t>peaker</w:t>
      </w:r>
      <w:r w:rsidR="0079648D" w:rsidRPr="00584856">
        <w:rPr>
          <w:rFonts w:ascii="Times New Roman" w:hAnsi="Times New Roman" w:cs="Times New Roman"/>
          <w:i/>
        </w:rPr>
        <w:t>s</w:t>
      </w:r>
      <w:r w:rsidRPr="00584856">
        <w:rPr>
          <w:rFonts w:ascii="Times New Roman" w:hAnsi="Times New Roman" w:cs="Times New Roman"/>
          <w:i/>
        </w:rPr>
        <w:t xml:space="preserve"> (not program staff)</w:t>
      </w:r>
      <w:r w:rsidR="00584856">
        <w:rPr>
          <w:rFonts w:ascii="Times New Roman" w:hAnsi="Times New Roman" w:cs="Times New Roman"/>
        </w:rPr>
        <w:t>. Any instance where youth are listening to a presentation, demonstration or lecture by a STEM expert from the community (e.g., zoo researcher, ranger from the local Department of Natural Resources)</w:t>
      </w:r>
      <w:r w:rsidR="00524BA6">
        <w:rPr>
          <w:rFonts w:ascii="Times New Roman" w:hAnsi="Times New Roman" w:cs="Times New Roman"/>
        </w:rPr>
        <w:t>. Demonstrations by program staff are coded as Program Staff Led activities (see below)</w:t>
      </w:r>
      <w:r w:rsidRPr="003D3598">
        <w:rPr>
          <w:rFonts w:ascii="Times New Roman" w:hAnsi="Times New Roman" w:cs="Times New Roman"/>
        </w:rPr>
        <w:t xml:space="preserve">; </w:t>
      </w:r>
    </w:p>
    <w:p w14:paraId="2C6E8B81" w14:textId="573ABF6F" w:rsidR="00677F6E" w:rsidRDefault="00314B97" w:rsidP="00A73422">
      <w:pPr>
        <w:ind w:firstLine="720"/>
        <w:contextualSpacing/>
        <w:rPr>
          <w:rFonts w:ascii="Times New Roman" w:hAnsi="Times New Roman" w:cs="Times New Roman"/>
        </w:rPr>
      </w:pPr>
      <w:r w:rsidRPr="009353AD">
        <w:rPr>
          <w:rFonts w:ascii="Times New Roman" w:hAnsi="Times New Roman" w:cs="Times New Roman"/>
          <w:i/>
        </w:rPr>
        <w:t>Lab activit</w:t>
      </w:r>
      <w:r w:rsidR="00276BD4" w:rsidRPr="009353AD">
        <w:rPr>
          <w:rFonts w:ascii="Times New Roman" w:hAnsi="Times New Roman" w:cs="Times New Roman"/>
          <w:i/>
        </w:rPr>
        <w:t>ies</w:t>
      </w:r>
      <w:r w:rsidR="009353AD" w:rsidRPr="009353AD">
        <w:rPr>
          <w:rFonts w:ascii="Times New Roman" w:hAnsi="Times New Roman" w:cs="Times New Roman"/>
          <w:i/>
        </w:rPr>
        <w:t>.</w:t>
      </w:r>
      <w:r w:rsidR="009353AD">
        <w:rPr>
          <w:rFonts w:ascii="Times New Roman" w:hAnsi="Times New Roman" w:cs="Times New Roman"/>
        </w:rPr>
        <w:t xml:space="preserve"> </w:t>
      </w:r>
      <w:r w:rsidR="00584856">
        <w:rPr>
          <w:rFonts w:ascii="Times New Roman" w:hAnsi="Times New Roman" w:cs="Times New Roman"/>
        </w:rPr>
        <w:t>Includes</w:t>
      </w:r>
      <w:r w:rsidR="009353AD">
        <w:rPr>
          <w:rFonts w:ascii="Times New Roman" w:hAnsi="Times New Roman" w:cs="Times New Roman"/>
        </w:rPr>
        <w:t xml:space="preserve"> planning an investigation, observing, collecting observations and constructing measures, analyzing data, and/or interpreting results and making predictions. Includes immediate preparation for and subsequen</w:t>
      </w:r>
      <w:r w:rsidR="0092498D">
        <w:rPr>
          <w:rFonts w:ascii="Times New Roman" w:hAnsi="Times New Roman" w:cs="Times New Roman"/>
        </w:rPr>
        <w:t>t</w:t>
      </w:r>
      <w:r w:rsidR="009353AD">
        <w:rPr>
          <w:rFonts w:ascii="Times New Roman" w:hAnsi="Times New Roman" w:cs="Times New Roman"/>
        </w:rPr>
        <w:t xml:space="preserve"> discussion of these activities. </w:t>
      </w:r>
      <w:r w:rsidRPr="00276BD4">
        <w:rPr>
          <w:rFonts w:ascii="Times New Roman" w:hAnsi="Times New Roman" w:cs="Times New Roman"/>
        </w:rPr>
        <w:t xml:space="preserve"> </w:t>
      </w:r>
    </w:p>
    <w:p w14:paraId="5BCDC00C" w14:textId="6368E279" w:rsidR="00677F6E" w:rsidRDefault="00314B97" w:rsidP="00A73422">
      <w:pPr>
        <w:ind w:firstLine="720"/>
        <w:contextualSpacing/>
        <w:rPr>
          <w:rFonts w:ascii="Times New Roman" w:hAnsi="Times New Roman" w:cs="Times New Roman"/>
        </w:rPr>
      </w:pPr>
      <w:r w:rsidRPr="009353AD">
        <w:rPr>
          <w:rFonts w:ascii="Times New Roman" w:hAnsi="Times New Roman" w:cs="Times New Roman"/>
          <w:i/>
        </w:rPr>
        <w:t>Program staff led activity</w:t>
      </w:r>
      <w:r w:rsidR="00677F6E" w:rsidRPr="009353AD">
        <w:rPr>
          <w:rFonts w:ascii="Times New Roman" w:hAnsi="Times New Roman" w:cs="Times New Roman"/>
          <w:i/>
        </w:rPr>
        <w:t>.</w:t>
      </w:r>
      <w:r w:rsidR="00677F6E">
        <w:rPr>
          <w:rFonts w:ascii="Times New Roman" w:hAnsi="Times New Roman" w:cs="Times New Roman"/>
        </w:rPr>
        <w:t xml:space="preserve"> Refers to large group instruction or discussion when an activity leader explains concepts, ideas and presents STEM content. May include lecture, presentation, adult requests for information from students in a direct instruction format, or more open-ended discussion</w:t>
      </w:r>
      <w:r w:rsidR="009353AD">
        <w:rPr>
          <w:rFonts w:ascii="Times New Roman" w:hAnsi="Times New Roman" w:cs="Times New Roman"/>
        </w:rPr>
        <w:t xml:space="preserve"> in which multiple youth perspectives/explanations are solicited in an exchange of thinking that is not </w:t>
      </w:r>
      <w:r w:rsidR="0092498D">
        <w:rPr>
          <w:rFonts w:ascii="Times New Roman" w:hAnsi="Times New Roman" w:cs="Times New Roman"/>
        </w:rPr>
        <w:t xml:space="preserve">simply </w:t>
      </w:r>
      <w:r w:rsidR="009353AD">
        <w:rPr>
          <w:rFonts w:ascii="Times New Roman" w:hAnsi="Times New Roman" w:cs="Times New Roman"/>
        </w:rPr>
        <w:t xml:space="preserve">checking knowledge of facts. </w:t>
      </w:r>
      <w:r w:rsidR="00BF1888" w:rsidRPr="00E12A75">
        <w:rPr>
          <w:rFonts w:ascii="Times New Roman" w:hAnsi="Times New Roman" w:cs="Times New Roman"/>
        </w:rPr>
        <w:t xml:space="preserve"> </w:t>
      </w:r>
    </w:p>
    <w:p w14:paraId="69E1BE27" w14:textId="538B0574" w:rsidR="003A637E" w:rsidRPr="00111E51" w:rsidRDefault="00BF1888" w:rsidP="00A73422">
      <w:pPr>
        <w:ind w:firstLine="720"/>
        <w:contextualSpacing/>
        <w:rPr>
          <w:rFonts w:ascii="Times New Roman" w:hAnsi="Times New Roman" w:cs="Times New Roman"/>
        </w:rPr>
      </w:pPr>
      <w:r w:rsidRPr="006B658D">
        <w:rPr>
          <w:rFonts w:ascii="Times New Roman" w:hAnsi="Times New Roman" w:cs="Times New Roman"/>
          <w:i/>
        </w:rPr>
        <w:t>Non-STEM related activity</w:t>
      </w:r>
      <w:r w:rsidR="0092498D">
        <w:rPr>
          <w:rFonts w:ascii="Times New Roman" w:hAnsi="Times New Roman" w:cs="Times New Roman"/>
        </w:rPr>
        <w:t xml:space="preserve">. </w:t>
      </w:r>
      <w:r w:rsidR="006B658D">
        <w:rPr>
          <w:rFonts w:ascii="Times New Roman" w:hAnsi="Times New Roman" w:cs="Times New Roman"/>
        </w:rPr>
        <w:t xml:space="preserve">Program activities </w:t>
      </w:r>
      <w:r w:rsidR="007B0DCD">
        <w:rPr>
          <w:rFonts w:ascii="Times New Roman" w:hAnsi="Times New Roman" w:cs="Times New Roman"/>
        </w:rPr>
        <w:t>in which</w:t>
      </w:r>
      <w:r w:rsidR="006B658D">
        <w:rPr>
          <w:rFonts w:ascii="Times New Roman" w:hAnsi="Times New Roman" w:cs="Times New Roman"/>
        </w:rPr>
        <w:t xml:space="preserve"> STEM content or practices</w:t>
      </w:r>
      <w:r w:rsidR="007B0DCD">
        <w:rPr>
          <w:rFonts w:ascii="Times New Roman" w:hAnsi="Times New Roman" w:cs="Times New Roman"/>
        </w:rPr>
        <w:t xml:space="preserve"> were not emphasized</w:t>
      </w:r>
      <w:r w:rsidR="006B658D">
        <w:rPr>
          <w:rFonts w:ascii="Times New Roman" w:hAnsi="Times New Roman" w:cs="Times New Roman"/>
        </w:rPr>
        <w:t xml:space="preserve">. </w:t>
      </w:r>
      <w:r w:rsidR="0092498D">
        <w:rPr>
          <w:rFonts w:ascii="Times New Roman" w:hAnsi="Times New Roman" w:cs="Times New Roman"/>
        </w:rPr>
        <w:t xml:space="preserve">Most programs </w:t>
      </w:r>
      <w:r w:rsidR="006B658D">
        <w:rPr>
          <w:rFonts w:ascii="Times New Roman" w:hAnsi="Times New Roman" w:cs="Times New Roman"/>
        </w:rPr>
        <w:t xml:space="preserve">included a variety of “leisure” activities such as </w:t>
      </w:r>
      <w:r w:rsidR="00D35B2D">
        <w:rPr>
          <w:rFonts w:ascii="Times New Roman" w:hAnsi="Times New Roman" w:cs="Times New Roman"/>
        </w:rPr>
        <w:t xml:space="preserve">watching </w:t>
      </w:r>
      <w:r w:rsidR="006B658D">
        <w:rPr>
          <w:rFonts w:ascii="Times New Roman" w:hAnsi="Times New Roman" w:cs="Times New Roman"/>
        </w:rPr>
        <w:t>popular movies, team-building activities like obstacle courses</w:t>
      </w:r>
      <w:r w:rsidR="007B0DCD">
        <w:rPr>
          <w:rFonts w:ascii="Times New Roman" w:hAnsi="Times New Roman" w:cs="Times New Roman"/>
        </w:rPr>
        <w:t xml:space="preserve"> or capture the flag</w:t>
      </w:r>
      <w:r w:rsidR="006B658D">
        <w:rPr>
          <w:rFonts w:ascii="Times New Roman" w:hAnsi="Times New Roman" w:cs="Times New Roman"/>
        </w:rPr>
        <w:t xml:space="preserve">, in which STEM content or practice was not </w:t>
      </w:r>
      <w:r w:rsidR="00D35B2D">
        <w:rPr>
          <w:rFonts w:ascii="Times New Roman" w:hAnsi="Times New Roman" w:cs="Times New Roman"/>
        </w:rPr>
        <w:t xml:space="preserve">explicitly </w:t>
      </w:r>
      <w:r w:rsidR="007B0DCD">
        <w:rPr>
          <w:rFonts w:ascii="Times New Roman" w:hAnsi="Times New Roman" w:cs="Times New Roman"/>
        </w:rPr>
        <w:t>emphasized. Such activities were typically indicated in program planning schedules as “non-STEM time</w:t>
      </w:r>
      <w:r w:rsidR="00D35B2D">
        <w:rPr>
          <w:rFonts w:ascii="Times New Roman" w:hAnsi="Times New Roman" w:cs="Times New Roman"/>
        </w:rPr>
        <w:t>,” and program planning documents were consulted to determine STEM-related intent of any activities whose purpose was not clear.</w:t>
      </w:r>
      <w:r w:rsidR="006B658D">
        <w:rPr>
          <w:rFonts w:ascii="Times New Roman" w:hAnsi="Times New Roman" w:cs="Times New Roman"/>
        </w:rPr>
        <w:t xml:space="preserve">  </w:t>
      </w:r>
    </w:p>
    <w:p w14:paraId="5D234761" w14:textId="78F5D558" w:rsidR="008A2208" w:rsidRPr="00276BD4" w:rsidRDefault="00D36AE2" w:rsidP="00A73422">
      <w:pPr>
        <w:ind w:firstLine="720"/>
        <w:contextualSpacing/>
        <w:rPr>
          <w:rFonts w:ascii="Times New Roman" w:hAnsi="Times New Roman" w:cs="Times New Roman"/>
        </w:rPr>
      </w:pPr>
      <w:r w:rsidRPr="00344954">
        <w:rPr>
          <w:rFonts w:ascii="Times New Roman" w:hAnsi="Times New Roman" w:cs="Times New Roman"/>
          <w:b/>
        </w:rPr>
        <w:t xml:space="preserve">Initial </w:t>
      </w:r>
      <w:r w:rsidRPr="003D3598">
        <w:rPr>
          <w:rFonts w:ascii="Times New Roman" w:hAnsi="Times New Roman" w:cs="Times New Roman"/>
          <w:b/>
        </w:rPr>
        <w:t>p</w:t>
      </w:r>
      <w:r w:rsidR="008A2208" w:rsidRPr="00BF6C34">
        <w:rPr>
          <w:rFonts w:ascii="Times New Roman" w:hAnsi="Times New Roman" w:cs="Times New Roman"/>
          <w:b/>
        </w:rPr>
        <w:t>erc</w:t>
      </w:r>
      <w:r w:rsidR="00BF6C34">
        <w:rPr>
          <w:rFonts w:ascii="Times New Roman" w:hAnsi="Times New Roman" w:cs="Times New Roman"/>
          <w:b/>
        </w:rPr>
        <w:t>eptions of</w:t>
      </w:r>
      <w:r w:rsidR="008A2208" w:rsidRPr="00BF6C34">
        <w:rPr>
          <w:rFonts w:ascii="Times New Roman" w:hAnsi="Times New Roman" w:cs="Times New Roman"/>
          <w:b/>
        </w:rPr>
        <w:t xml:space="preserve"> competence</w:t>
      </w:r>
      <w:r w:rsidR="008A2208" w:rsidRPr="00BF6C34">
        <w:rPr>
          <w:rFonts w:ascii="Times New Roman" w:hAnsi="Times New Roman" w:cs="Times New Roman"/>
        </w:rPr>
        <w:t xml:space="preserve">. </w:t>
      </w:r>
      <w:r w:rsidR="0004026C" w:rsidRPr="00BF6C34">
        <w:rPr>
          <w:rFonts w:ascii="Times New Roman" w:hAnsi="Times New Roman" w:cs="Times New Roman"/>
        </w:rPr>
        <w:t xml:space="preserve">At the outset of each program, a </w:t>
      </w:r>
      <w:r w:rsidR="00931EC8">
        <w:rPr>
          <w:rFonts w:ascii="Times New Roman" w:hAnsi="Times New Roman" w:cs="Times New Roman"/>
        </w:rPr>
        <w:t xml:space="preserve">survey for youths’ </w:t>
      </w:r>
      <w:r w:rsidRPr="00BF6C34">
        <w:rPr>
          <w:rFonts w:ascii="Times New Roman" w:hAnsi="Times New Roman" w:cs="Times New Roman"/>
        </w:rPr>
        <w:t xml:space="preserve">perceived competence </w:t>
      </w:r>
      <w:r w:rsidR="00295DA2" w:rsidRPr="00BF6C34">
        <w:rPr>
          <w:rFonts w:ascii="Times New Roman" w:hAnsi="Times New Roman" w:cs="Times New Roman"/>
        </w:rPr>
        <w:t xml:space="preserve">in </w:t>
      </w:r>
      <w:r w:rsidR="0004026C" w:rsidRPr="00BF6C34">
        <w:rPr>
          <w:rFonts w:ascii="Times New Roman" w:hAnsi="Times New Roman" w:cs="Times New Roman"/>
        </w:rPr>
        <w:t>the STEM area or areas that were an explicit focus of the program</w:t>
      </w:r>
      <w:r w:rsidR="00931EC8">
        <w:rPr>
          <w:rFonts w:ascii="Times New Roman" w:hAnsi="Times New Roman" w:cs="Times New Roman"/>
        </w:rPr>
        <w:t xml:space="preserve"> was </w:t>
      </w:r>
      <w:r w:rsidR="00931EC8">
        <w:rPr>
          <w:rFonts w:ascii="Times New Roman" w:hAnsi="Times New Roman" w:cs="Times New Roman"/>
        </w:rPr>
        <w:lastRenderedPageBreak/>
        <w:t xml:space="preserve">administered. The survey consisted of a </w:t>
      </w:r>
      <w:r w:rsidR="00931EC8" w:rsidRPr="00BF6C34">
        <w:rPr>
          <w:rFonts w:ascii="Times New Roman" w:hAnsi="Times New Roman" w:cs="Times New Roman"/>
        </w:rPr>
        <w:t>4-point rating scale ranging from 1 (not at all true) to 4 (really true)</w:t>
      </w:r>
      <w:r w:rsidR="00931EC8">
        <w:rPr>
          <w:rFonts w:ascii="Times New Roman" w:hAnsi="Times New Roman" w:cs="Times New Roman"/>
        </w:rPr>
        <w:t xml:space="preserve">. </w:t>
      </w:r>
      <w:r w:rsidR="0004026C" w:rsidRPr="00BF6C34">
        <w:rPr>
          <w:rFonts w:ascii="Times New Roman" w:hAnsi="Times New Roman" w:cs="Times New Roman"/>
        </w:rPr>
        <w:t>For each relevant area, y</w:t>
      </w:r>
      <w:r w:rsidR="00295DA2" w:rsidRPr="00931EC8">
        <w:rPr>
          <w:rFonts w:ascii="Times New Roman" w:hAnsi="Times New Roman" w:cs="Times New Roman"/>
        </w:rPr>
        <w:t>outh responded to two questions each about their abilities with regard to mathematics, science, and</w:t>
      </w:r>
      <w:r w:rsidR="0004026C" w:rsidRPr="00931EC8">
        <w:rPr>
          <w:rFonts w:ascii="Times New Roman" w:hAnsi="Times New Roman" w:cs="Times New Roman"/>
        </w:rPr>
        <w:t>/or</w:t>
      </w:r>
      <w:r w:rsidR="00295DA2" w:rsidRPr="00931EC8">
        <w:rPr>
          <w:rFonts w:ascii="Times New Roman" w:hAnsi="Times New Roman" w:cs="Times New Roman"/>
        </w:rPr>
        <w:t xml:space="preserve"> building (i.e., ‘I am good at math/science/building things,’ and ‘at school I expect to do well in math/science/building things</w:t>
      </w:r>
      <w:r w:rsidR="0079648D">
        <w:rPr>
          <w:rFonts w:ascii="Times New Roman" w:hAnsi="Times New Roman" w:cs="Times New Roman"/>
        </w:rPr>
        <w:t>’</w:t>
      </w:r>
      <w:r w:rsidR="00295DA2" w:rsidRPr="00931EC8">
        <w:rPr>
          <w:rFonts w:ascii="Times New Roman" w:hAnsi="Times New Roman" w:cs="Times New Roman"/>
        </w:rPr>
        <w:t>)</w:t>
      </w:r>
      <w:r w:rsidR="0004026C" w:rsidRPr="00931EC8">
        <w:rPr>
          <w:rFonts w:ascii="Times New Roman" w:hAnsi="Times New Roman" w:cs="Times New Roman"/>
        </w:rPr>
        <w:t xml:space="preserve">, and the competence measure represented the mean of competence items across all relevant domains. </w:t>
      </w:r>
      <w:r w:rsidR="00325C79" w:rsidRPr="00931EC8">
        <w:rPr>
          <w:rFonts w:ascii="Times New Roman" w:hAnsi="Times New Roman" w:cs="Times New Roman"/>
        </w:rPr>
        <w:t>Thus,</w:t>
      </w:r>
      <w:r w:rsidR="00D864E8" w:rsidRPr="00931EC8">
        <w:rPr>
          <w:rFonts w:ascii="Times New Roman" w:hAnsi="Times New Roman" w:cs="Times New Roman"/>
        </w:rPr>
        <w:t xml:space="preserve"> for some students, the mean was based on 2 items, while for others it was based on as many as 6 items representing </w:t>
      </w:r>
      <w:r w:rsidR="0059667B" w:rsidRPr="00931EC8">
        <w:rPr>
          <w:rFonts w:ascii="Times New Roman" w:hAnsi="Times New Roman" w:cs="Times New Roman"/>
        </w:rPr>
        <w:t xml:space="preserve">all </w:t>
      </w:r>
      <w:r w:rsidR="00D864E8" w:rsidRPr="00931EC8">
        <w:rPr>
          <w:rFonts w:ascii="Times New Roman" w:hAnsi="Times New Roman" w:cs="Times New Roman"/>
        </w:rPr>
        <w:t>three domains</w:t>
      </w:r>
      <w:r w:rsidR="001D3D37" w:rsidRPr="003D3598">
        <w:rPr>
          <w:rStyle w:val="FootnoteReference"/>
          <w:rFonts w:ascii="Times New Roman" w:hAnsi="Times New Roman" w:cs="Times New Roman"/>
        </w:rPr>
        <w:footnoteReference w:id="3"/>
      </w:r>
      <w:r w:rsidR="00D864E8" w:rsidRPr="003D3598">
        <w:rPr>
          <w:rFonts w:ascii="Times New Roman" w:hAnsi="Times New Roman" w:cs="Times New Roman"/>
        </w:rPr>
        <w:t>.</w:t>
      </w:r>
      <w:r w:rsidR="0059667B" w:rsidRPr="00276BD4">
        <w:rPr>
          <w:rFonts w:ascii="Times New Roman" w:hAnsi="Times New Roman" w:cs="Times New Roman"/>
        </w:rPr>
        <w:t xml:space="preserve"> </w:t>
      </w:r>
    </w:p>
    <w:p w14:paraId="0418026B" w14:textId="77777777" w:rsidR="00D864E8" w:rsidRPr="00DB3561" w:rsidRDefault="00D864E8" w:rsidP="00A73422">
      <w:pPr>
        <w:contextualSpacing/>
        <w:rPr>
          <w:rFonts w:ascii="Times New Roman" w:hAnsi="Times New Roman" w:cs="Times New Roman"/>
        </w:rPr>
      </w:pPr>
      <w:r w:rsidRPr="00DB3561">
        <w:rPr>
          <w:rFonts w:ascii="Times New Roman" w:hAnsi="Times New Roman" w:cs="Times New Roman"/>
          <w:b/>
        </w:rPr>
        <w:t>Analytic Strategy</w:t>
      </w:r>
      <w:r w:rsidR="00BF1888" w:rsidRPr="00DB3561">
        <w:rPr>
          <w:rFonts w:ascii="Times New Roman" w:hAnsi="Times New Roman" w:cs="Times New Roman"/>
        </w:rPr>
        <w:t xml:space="preserve"> </w:t>
      </w:r>
    </w:p>
    <w:p w14:paraId="13915BD3" w14:textId="2998D954" w:rsidR="009552B1" w:rsidRPr="00FA38A0" w:rsidRDefault="00FA38A0" w:rsidP="00A73422">
      <w:pPr>
        <w:ind w:firstLine="720"/>
        <w:contextualSpacing/>
        <w:rPr>
          <w:rFonts w:ascii="Times New Roman" w:hAnsi="Times New Roman" w:cs="Times New Roman"/>
        </w:rPr>
      </w:pPr>
      <w:r>
        <w:rPr>
          <w:rFonts w:ascii="Times New Roman" w:hAnsi="Times New Roman" w:cs="Times New Roman"/>
        </w:rPr>
        <w:t>In order to account for the complex dependencies associated with the data collection approach, the d</w:t>
      </w:r>
      <w:r w:rsidR="00B46351" w:rsidRPr="00DB3561">
        <w:rPr>
          <w:rFonts w:ascii="Times New Roman" w:hAnsi="Times New Roman" w:cs="Times New Roman"/>
        </w:rPr>
        <w:t>ata</w:t>
      </w:r>
      <w:r w:rsidR="001D3D37" w:rsidRPr="00DB3561">
        <w:rPr>
          <w:rFonts w:ascii="Times New Roman" w:hAnsi="Times New Roman" w:cs="Times New Roman"/>
        </w:rPr>
        <w:t xml:space="preserve"> </w:t>
      </w:r>
      <w:r w:rsidR="00BA18A8" w:rsidRPr="00DB3561">
        <w:rPr>
          <w:rFonts w:ascii="Times New Roman" w:hAnsi="Times New Roman" w:cs="Times New Roman"/>
        </w:rPr>
        <w:t>were analyzed using 3-level cross classified</w:t>
      </w:r>
      <w:r>
        <w:rPr>
          <w:rFonts w:ascii="Times New Roman" w:hAnsi="Times New Roman" w:cs="Times New Roman"/>
        </w:rPr>
        <w:t>,</w:t>
      </w:r>
      <w:r w:rsidR="00BA18A8" w:rsidRPr="00DB3561">
        <w:rPr>
          <w:rFonts w:ascii="Times New Roman" w:hAnsi="Times New Roman" w:cs="Times New Roman"/>
        </w:rPr>
        <w:t xml:space="preserve"> random effects models</w:t>
      </w:r>
      <w:r w:rsidR="006520C9">
        <w:rPr>
          <w:rFonts w:ascii="Times New Roman" w:hAnsi="Times New Roman" w:cs="Times New Roman"/>
        </w:rPr>
        <w:t>. In these models,</w:t>
      </w:r>
      <w:r w:rsidR="00BB5726" w:rsidRPr="00DB3561">
        <w:rPr>
          <w:rFonts w:ascii="Times New Roman" w:hAnsi="Times New Roman" w:cs="Times New Roman"/>
        </w:rPr>
        <w:t xml:space="preserve"> </w:t>
      </w:r>
      <w:r w:rsidR="00D864E8" w:rsidRPr="00FA38A0">
        <w:rPr>
          <w:rFonts w:ascii="Times New Roman" w:hAnsi="Times New Roman" w:cs="Times New Roman"/>
        </w:rPr>
        <w:t xml:space="preserve">youths’ </w:t>
      </w:r>
      <w:r w:rsidR="00BA18A8" w:rsidRPr="00FA38A0">
        <w:rPr>
          <w:rFonts w:ascii="Times New Roman" w:hAnsi="Times New Roman" w:cs="Times New Roman"/>
        </w:rPr>
        <w:t>momentary responses</w:t>
      </w:r>
      <w:r w:rsidR="0020192D" w:rsidRPr="00FA38A0">
        <w:rPr>
          <w:rFonts w:ascii="Times New Roman" w:hAnsi="Times New Roman" w:cs="Times New Roman"/>
        </w:rPr>
        <w:t xml:space="preserve"> about engagement, challenge, relevance and learning</w:t>
      </w:r>
      <w:r w:rsidR="00BA18A8" w:rsidRPr="00FA38A0">
        <w:rPr>
          <w:rFonts w:ascii="Times New Roman" w:hAnsi="Times New Roman" w:cs="Times New Roman"/>
        </w:rPr>
        <w:t xml:space="preserve"> were nested within particular </w:t>
      </w:r>
      <w:r w:rsidR="0020192D" w:rsidRPr="00FA38A0">
        <w:rPr>
          <w:rFonts w:ascii="Times New Roman" w:hAnsi="Times New Roman" w:cs="Times New Roman"/>
        </w:rPr>
        <w:t>signaling episodes</w:t>
      </w:r>
      <w:r w:rsidR="003B7B6F" w:rsidRPr="00FA38A0">
        <w:rPr>
          <w:rFonts w:ascii="Times New Roman" w:hAnsi="Times New Roman" w:cs="Times New Roman"/>
        </w:rPr>
        <w:t xml:space="preserve"> </w:t>
      </w:r>
      <w:r w:rsidR="00BA18A8" w:rsidRPr="00FA38A0">
        <w:rPr>
          <w:rFonts w:ascii="Times New Roman" w:hAnsi="Times New Roman" w:cs="Times New Roman"/>
        </w:rPr>
        <w:t xml:space="preserve">and </w:t>
      </w:r>
      <w:r w:rsidR="00BB5726" w:rsidRPr="00FA38A0">
        <w:rPr>
          <w:rFonts w:ascii="Times New Roman" w:hAnsi="Times New Roman" w:cs="Times New Roman"/>
        </w:rPr>
        <w:t xml:space="preserve">youth. The responses were nested within signaling episodes in that multiple responses were generated as a result of each signal, and </w:t>
      </w:r>
      <w:r w:rsidR="00394282">
        <w:rPr>
          <w:rFonts w:ascii="Times New Roman" w:hAnsi="Times New Roman" w:cs="Times New Roman"/>
        </w:rPr>
        <w:t xml:space="preserve">also </w:t>
      </w:r>
      <w:r w:rsidR="00BB5726" w:rsidRPr="00FA38A0">
        <w:rPr>
          <w:rFonts w:ascii="Times New Roman" w:hAnsi="Times New Roman" w:cs="Times New Roman"/>
        </w:rPr>
        <w:t xml:space="preserve">within </w:t>
      </w:r>
      <w:r w:rsidR="00394282">
        <w:rPr>
          <w:rFonts w:ascii="Times New Roman" w:hAnsi="Times New Roman" w:cs="Times New Roman"/>
        </w:rPr>
        <w:t>persons</w:t>
      </w:r>
      <w:r w:rsidR="00BB5726" w:rsidRPr="00FA38A0">
        <w:rPr>
          <w:rFonts w:ascii="Times New Roman" w:hAnsi="Times New Roman" w:cs="Times New Roman"/>
        </w:rPr>
        <w:t xml:space="preserve"> as each youth responded to multiple surveys. Both signal and youth were </w:t>
      </w:r>
      <w:r w:rsidR="00D864E8" w:rsidRPr="00FA38A0">
        <w:rPr>
          <w:rFonts w:ascii="Times New Roman" w:hAnsi="Times New Roman" w:cs="Times New Roman"/>
        </w:rPr>
        <w:t>also</w:t>
      </w:r>
      <w:r w:rsidR="0020192D" w:rsidRPr="00FA38A0">
        <w:rPr>
          <w:rFonts w:ascii="Times New Roman" w:hAnsi="Times New Roman" w:cs="Times New Roman"/>
        </w:rPr>
        <w:t xml:space="preserve"> nested in program</w:t>
      </w:r>
      <w:r w:rsidR="00BA18A8" w:rsidRPr="00FA38A0">
        <w:rPr>
          <w:rFonts w:ascii="Times New Roman" w:hAnsi="Times New Roman" w:cs="Times New Roman"/>
        </w:rPr>
        <w:t xml:space="preserve">. </w:t>
      </w:r>
      <w:r w:rsidR="00D864E8" w:rsidRPr="00FA38A0">
        <w:rPr>
          <w:rFonts w:ascii="Times New Roman" w:hAnsi="Times New Roman" w:cs="Times New Roman"/>
        </w:rPr>
        <w:t>Response-level variables consisted of momentary engagement (outcome),</w:t>
      </w:r>
      <w:r w:rsidR="00394282">
        <w:rPr>
          <w:rFonts w:ascii="Times New Roman" w:hAnsi="Times New Roman" w:cs="Times New Roman"/>
        </w:rPr>
        <w:t xml:space="preserve"> as well as</w:t>
      </w:r>
      <w:r w:rsidR="00D864E8" w:rsidRPr="00FA38A0">
        <w:rPr>
          <w:rFonts w:ascii="Times New Roman" w:hAnsi="Times New Roman" w:cs="Times New Roman"/>
        </w:rPr>
        <w:t xml:space="preserve"> challenge, relevance, and </w:t>
      </w:r>
      <w:r w:rsidR="009335CD" w:rsidRPr="00FA38A0">
        <w:rPr>
          <w:rFonts w:ascii="Times New Roman" w:hAnsi="Times New Roman" w:cs="Times New Roman"/>
        </w:rPr>
        <w:t>learning</w:t>
      </w:r>
      <w:r w:rsidR="00394282">
        <w:rPr>
          <w:rFonts w:ascii="Times New Roman" w:hAnsi="Times New Roman" w:cs="Times New Roman"/>
        </w:rPr>
        <w:t xml:space="preserve"> (predictors)</w:t>
      </w:r>
      <w:r w:rsidR="00D864E8" w:rsidRPr="00FA38A0">
        <w:rPr>
          <w:rFonts w:ascii="Times New Roman" w:hAnsi="Times New Roman" w:cs="Times New Roman"/>
        </w:rPr>
        <w:t xml:space="preserve">. </w:t>
      </w:r>
      <w:r w:rsidR="004B6734" w:rsidRPr="00FA38A0">
        <w:rPr>
          <w:rFonts w:ascii="Times New Roman" w:hAnsi="Times New Roman" w:cs="Times New Roman"/>
        </w:rPr>
        <w:t>Gender and i</w:t>
      </w:r>
      <w:r w:rsidR="009335CD" w:rsidRPr="00FA38A0">
        <w:rPr>
          <w:rFonts w:ascii="Times New Roman" w:hAnsi="Times New Roman" w:cs="Times New Roman"/>
        </w:rPr>
        <w:t xml:space="preserve">nitial perceived competence at program </w:t>
      </w:r>
      <w:r w:rsidR="00AF4CB5" w:rsidRPr="00FA38A0">
        <w:rPr>
          <w:rFonts w:ascii="Times New Roman" w:hAnsi="Times New Roman" w:cs="Times New Roman"/>
        </w:rPr>
        <w:t>outset</w:t>
      </w:r>
      <w:r w:rsidR="009335CD" w:rsidRPr="00FA38A0">
        <w:rPr>
          <w:rFonts w:ascii="Times New Roman" w:hAnsi="Times New Roman" w:cs="Times New Roman"/>
        </w:rPr>
        <w:t xml:space="preserve"> </w:t>
      </w:r>
      <w:r w:rsidR="004B6734" w:rsidRPr="00FA38A0">
        <w:rPr>
          <w:rFonts w:ascii="Times New Roman" w:hAnsi="Times New Roman" w:cs="Times New Roman"/>
        </w:rPr>
        <w:t xml:space="preserve">were </w:t>
      </w:r>
      <w:r w:rsidR="009335CD" w:rsidRPr="00FA38A0">
        <w:rPr>
          <w:rFonts w:ascii="Times New Roman" w:hAnsi="Times New Roman" w:cs="Times New Roman"/>
        </w:rPr>
        <w:t xml:space="preserve">modeled as person level </w:t>
      </w:r>
      <w:r w:rsidR="008A29CA">
        <w:rPr>
          <w:rFonts w:ascii="Times New Roman" w:hAnsi="Times New Roman" w:cs="Times New Roman"/>
        </w:rPr>
        <w:t>predictors of engagement</w:t>
      </w:r>
      <w:r w:rsidR="009335CD" w:rsidRPr="00FA38A0">
        <w:rPr>
          <w:rFonts w:ascii="Times New Roman" w:hAnsi="Times New Roman" w:cs="Times New Roman"/>
        </w:rPr>
        <w:t>, and program activity (i.e., lab, basic skil</w:t>
      </w:r>
      <w:r w:rsidR="001D3D37" w:rsidRPr="00FA38A0">
        <w:rPr>
          <w:rFonts w:ascii="Times New Roman" w:hAnsi="Times New Roman" w:cs="Times New Roman"/>
        </w:rPr>
        <w:t xml:space="preserve">ls, etc.) </w:t>
      </w:r>
      <w:r w:rsidR="00AF4CB5" w:rsidRPr="00FA38A0">
        <w:rPr>
          <w:rFonts w:ascii="Times New Roman" w:hAnsi="Times New Roman" w:cs="Times New Roman"/>
        </w:rPr>
        <w:t>was</w:t>
      </w:r>
      <w:r w:rsidR="009335CD" w:rsidRPr="00FA38A0">
        <w:rPr>
          <w:rFonts w:ascii="Times New Roman" w:hAnsi="Times New Roman" w:cs="Times New Roman"/>
        </w:rPr>
        <w:t xml:space="preserve"> modeled </w:t>
      </w:r>
      <w:r w:rsidR="00B46351" w:rsidRPr="00FA38A0">
        <w:rPr>
          <w:rFonts w:ascii="Times New Roman" w:hAnsi="Times New Roman" w:cs="Times New Roman"/>
        </w:rPr>
        <w:t>at the level of the ESM signal</w:t>
      </w:r>
      <w:r w:rsidR="0020192D" w:rsidRPr="00FA38A0">
        <w:rPr>
          <w:rFonts w:ascii="Times New Roman" w:hAnsi="Times New Roman" w:cs="Times New Roman"/>
        </w:rPr>
        <w:t xml:space="preserve"> episode</w:t>
      </w:r>
      <w:r w:rsidR="00B46351" w:rsidRPr="00FA38A0">
        <w:rPr>
          <w:rFonts w:ascii="Times New Roman" w:hAnsi="Times New Roman" w:cs="Times New Roman"/>
        </w:rPr>
        <w:t xml:space="preserve">. Due to the small number of programs (9) and the limited variance in outcomes at the </w:t>
      </w:r>
      <w:r w:rsidR="00F70A68">
        <w:rPr>
          <w:rFonts w:ascii="Times New Roman" w:hAnsi="Times New Roman" w:cs="Times New Roman"/>
        </w:rPr>
        <w:t xml:space="preserve">program </w:t>
      </w:r>
      <w:r w:rsidR="00B46351" w:rsidRPr="00FA38A0">
        <w:rPr>
          <w:rFonts w:ascii="Times New Roman" w:hAnsi="Times New Roman" w:cs="Times New Roman"/>
        </w:rPr>
        <w:t>level</w:t>
      </w:r>
      <w:r w:rsidR="00AF4CB5" w:rsidRPr="00FA38A0">
        <w:rPr>
          <w:rFonts w:ascii="Times New Roman" w:hAnsi="Times New Roman" w:cs="Times New Roman"/>
        </w:rPr>
        <w:t xml:space="preserve"> (less than 3%)</w:t>
      </w:r>
      <w:r w:rsidR="00B46351" w:rsidRPr="00FA38A0">
        <w:rPr>
          <w:rFonts w:ascii="Times New Roman" w:hAnsi="Times New Roman" w:cs="Times New Roman"/>
        </w:rPr>
        <w:t>, no program level predictors were explored in this analysis.</w:t>
      </w:r>
      <w:r w:rsidR="00F44B6C">
        <w:rPr>
          <w:rFonts w:ascii="Times New Roman" w:hAnsi="Times New Roman" w:cs="Times New Roman"/>
        </w:rPr>
        <w:t xml:space="preserve"> Analyses related to the building of our final model, in which individual variables of interest were added sequentially</w:t>
      </w:r>
      <w:r w:rsidR="00D47739">
        <w:rPr>
          <w:rFonts w:ascii="Times New Roman" w:hAnsi="Times New Roman" w:cs="Times New Roman"/>
        </w:rPr>
        <w:t xml:space="preserve"> are presented in Table S1 in the Online Supplementary Materials. </w:t>
      </w:r>
      <w:r w:rsidR="00F44B6C">
        <w:rPr>
          <w:rFonts w:ascii="Times New Roman" w:hAnsi="Times New Roman" w:cs="Times New Roman"/>
        </w:rPr>
        <w:t xml:space="preserve"> </w:t>
      </w:r>
      <w:r w:rsidR="00B46351" w:rsidRPr="00FA38A0">
        <w:rPr>
          <w:rFonts w:ascii="Times New Roman" w:hAnsi="Times New Roman" w:cs="Times New Roman"/>
        </w:rPr>
        <w:t xml:space="preserve"> </w:t>
      </w:r>
    </w:p>
    <w:p w14:paraId="4A7C615A" w14:textId="77777777" w:rsidR="00E134BA" w:rsidRPr="00510F66" w:rsidRDefault="00E134BA" w:rsidP="00A73422">
      <w:pPr>
        <w:contextualSpacing/>
        <w:jc w:val="center"/>
        <w:rPr>
          <w:rFonts w:ascii="Times New Roman" w:hAnsi="Times New Roman" w:cs="Times New Roman"/>
          <w:b/>
        </w:rPr>
      </w:pPr>
      <w:r w:rsidRPr="00E12A75">
        <w:rPr>
          <w:rFonts w:ascii="Times New Roman" w:hAnsi="Times New Roman" w:cs="Times New Roman"/>
          <w:b/>
        </w:rPr>
        <w:t>Results</w:t>
      </w:r>
    </w:p>
    <w:p w14:paraId="4D4CE353" w14:textId="354DD212" w:rsidR="00C57422" w:rsidRDefault="009335CD" w:rsidP="00A73422">
      <w:pPr>
        <w:contextualSpacing/>
        <w:rPr>
          <w:rFonts w:ascii="Times New Roman" w:hAnsi="Times New Roman" w:cs="Times New Roman"/>
        </w:rPr>
      </w:pPr>
      <w:r w:rsidRPr="00011528">
        <w:rPr>
          <w:rFonts w:ascii="Times New Roman" w:hAnsi="Times New Roman" w:cs="Times New Roman"/>
        </w:rPr>
        <w:tab/>
        <w:t>Means, standard deviations, and Pe</w:t>
      </w:r>
      <w:r w:rsidR="008A29CA">
        <w:rPr>
          <w:rFonts w:ascii="Times New Roman" w:hAnsi="Times New Roman" w:cs="Times New Roman"/>
        </w:rPr>
        <w:t>a</w:t>
      </w:r>
      <w:r w:rsidRPr="00011528">
        <w:rPr>
          <w:rFonts w:ascii="Times New Roman" w:hAnsi="Times New Roman" w:cs="Times New Roman"/>
        </w:rPr>
        <w:t xml:space="preserve">rson correlations of all scaled study variables are displayed in Table </w:t>
      </w:r>
      <w:r w:rsidR="005123E2">
        <w:rPr>
          <w:rFonts w:ascii="Times New Roman" w:hAnsi="Times New Roman" w:cs="Times New Roman"/>
        </w:rPr>
        <w:t>3</w:t>
      </w:r>
      <w:r w:rsidRPr="00011528">
        <w:rPr>
          <w:rFonts w:ascii="Times New Roman" w:hAnsi="Times New Roman" w:cs="Times New Roman"/>
        </w:rPr>
        <w:t>.</w:t>
      </w:r>
    </w:p>
    <w:p w14:paraId="0580D688" w14:textId="77777777" w:rsidR="00C57422" w:rsidRDefault="00C57422" w:rsidP="00A73422">
      <w:pPr>
        <w:contextualSpacing/>
        <w:rPr>
          <w:rFonts w:ascii="Times New Roman" w:hAnsi="Times New Roman" w:cs="Times New Roman"/>
        </w:rPr>
      </w:pPr>
    </w:p>
    <w:p w14:paraId="5B248F58" w14:textId="4282F716" w:rsidR="00C57422" w:rsidRPr="00AA2084" w:rsidRDefault="00C57422" w:rsidP="00A73422">
      <w:pPr>
        <w:outlineLvl w:val="0"/>
        <w:rPr>
          <w:rFonts w:ascii="Times New Roman" w:hAnsi="Times New Roman" w:cs="Times New Roman"/>
        </w:rPr>
      </w:pPr>
      <w:r w:rsidRPr="00AA2084">
        <w:rPr>
          <w:rFonts w:ascii="Times New Roman" w:hAnsi="Times New Roman" w:cs="Times New Roman"/>
        </w:rPr>
        <w:t xml:space="preserve">Table </w:t>
      </w:r>
      <w:r>
        <w:rPr>
          <w:rFonts w:ascii="Times New Roman" w:hAnsi="Times New Roman" w:cs="Times New Roman"/>
        </w:rPr>
        <w:t>3</w:t>
      </w:r>
    </w:p>
    <w:p w14:paraId="249C03DA" w14:textId="77777777" w:rsidR="00C57422" w:rsidRPr="00AA2084" w:rsidRDefault="00C57422" w:rsidP="00A73422">
      <w:pPr>
        <w:rPr>
          <w:rFonts w:ascii="Times New Roman" w:hAnsi="Times New Roman" w:cs="Times New Roman"/>
          <w:i/>
        </w:rPr>
      </w:pPr>
      <w:r w:rsidRPr="00AA2084">
        <w:rPr>
          <w:rFonts w:ascii="Times New Roman" w:hAnsi="Times New Roman" w:cs="Times New Roman"/>
          <w:i/>
        </w:rPr>
        <w:t>Descriptive Statistics and Pearson Correlations</w:t>
      </w:r>
    </w:p>
    <w:tbl>
      <w:tblPr>
        <w:tblW w:w="3679" w:type="pct"/>
        <w:tblLook w:val="04A0" w:firstRow="1" w:lastRow="0" w:firstColumn="1" w:lastColumn="0" w:noHBand="0" w:noVBand="1"/>
      </w:tblPr>
      <w:tblGrid>
        <w:gridCol w:w="2289"/>
        <w:gridCol w:w="919"/>
        <w:gridCol w:w="919"/>
        <w:gridCol w:w="919"/>
        <w:gridCol w:w="920"/>
        <w:gridCol w:w="921"/>
      </w:tblGrid>
      <w:tr w:rsidR="00C57422" w:rsidRPr="003D3598" w14:paraId="1C014A29" w14:textId="77777777" w:rsidTr="00FD613B">
        <w:trPr>
          <w:trHeight w:val="300"/>
        </w:trPr>
        <w:tc>
          <w:tcPr>
            <w:tcW w:w="1521" w:type="pct"/>
            <w:tcBorders>
              <w:top w:val="single" w:sz="4" w:space="0" w:color="auto"/>
              <w:left w:val="nil"/>
              <w:bottom w:val="single" w:sz="4" w:space="0" w:color="auto"/>
              <w:right w:val="nil"/>
            </w:tcBorders>
            <w:shd w:val="clear" w:color="auto" w:fill="auto"/>
            <w:noWrap/>
            <w:vAlign w:val="bottom"/>
            <w:hideMark/>
          </w:tcPr>
          <w:p w14:paraId="104C96B8" w14:textId="77777777" w:rsidR="00C57422" w:rsidRPr="00AA2084" w:rsidRDefault="00C57422" w:rsidP="00A73422">
            <w:pPr>
              <w:jc w:val="center"/>
              <w:rPr>
                <w:rFonts w:ascii="Times New Roman" w:hAnsi="Times New Roman" w:cs="Times New Roman"/>
              </w:rPr>
            </w:pPr>
          </w:p>
        </w:tc>
        <w:tc>
          <w:tcPr>
            <w:tcW w:w="652" w:type="pct"/>
            <w:tcBorders>
              <w:top w:val="single" w:sz="4" w:space="0" w:color="auto"/>
              <w:left w:val="nil"/>
              <w:bottom w:val="single" w:sz="4" w:space="0" w:color="auto"/>
              <w:right w:val="nil"/>
            </w:tcBorders>
            <w:shd w:val="clear" w:color="auto" w:fill="auto"/>
            <w:noWrap/>
            <w:vAlign w:val="center"/>
            <w:hideMark/>
          </w:tcPr>
          <w:p w14:paraId="653EC01F" w14:textId="77777777" w:rsidR="00C57422" w:rsidRPr="00AA2084" w:rsidRDefault="00C57422" w:rsidP="00A73422">
            <w:pPr>
              <w:jc w:val="center"/>
              <w:rPr>
                <w:rFonts w:ascii="Times New Roman" w:hAnsi="Times New Roman" w:cs="Times New Roman"/>
              </w:rPr>
            </w:pPr>
            <w:r w:rsidRPr="00AA2084">
              <w:rPr>
                <w:rFonts w:ascii="Times New Roman" w:hAnsi="Times New Roman" w:cs="Times New Roman"/>
              </w:rPr>
              <w:t>1</w:t>
            </w:r>
          </w:p>
        </w:tc>
        <w:tc>
          <w:tcPr>
            <w:tcW w:w="651" w:type="pct"/>
            <w:tcBorders>
              <w:top w:val="single" w:sz="4" w:space="0" w:color="auto"/>
              <w:left w:val="nil"/>
              <w:bottom w:val="single" w:sz="4" w:space="0" w:color="auto"/>
              <w:right w:val="nil"/>
            </w:tcBorders>
            <w:shd w:val="clear" w:color="auto" w:fill="auto"/>
            <w:noWrap/>
            <w:vAlign w:val="center"/>
            <w:hideMark/>
          </w:tcPr>
          <w:p w14:paraId="335D56B4" w14:textId="77777777" w:rsidR="00C57422" w:rsidRPr="00AA2084" w:rsidRDefault="00C57422" w:rsidP="00A73422">
            <w:pPr>
              <w:jc w:val="center"/>
              <w:rPr>
                <w:rFonts w:ascii="Times New Roman" w:hAnsi="Times New Roman" w:cs="Times New Roman"/>
              </w:rPr>
            </w:pPr>
            <w:r w:rsidRPr="00AA2084">
              <w:rPr>
                <w:rFonts w:ascii="Times New Roman" w:hAnsi="Times New Roman" w:cs="Times New Roman"/>
              </w:rPr>
              <w:t>2</w:t>
            </w:r>
          </w:p>
        </w:tc>
        <w:tc>
          <w:tcPr>
            <w:tcW w:w="651" w:type="pct"/>
            <w:tcBorders>
              <w:top w:val="single" w:sz="4" w:space="0" w:color="auto"/>
              <w:left w:val="nil"/>
              <w:bottom w:val="single" w:sz="4" w:space="0" w:color="auto"/>
              <w:right w:val="nil"/>
            </w:tcBorders>
            <w:shd w:val="clear" w:color="auto" w:fill="auto"/>
            <w:noWrap/>
            <w:vAlign w:val="center"/>
            <w:hideMark/>
          </w:tcPr>
          <w:p w14:paraId="1ED41162" w14:textId="77777777" w:rsidR="00C57422" w:rsidRPr="00AA2084" w:rsidRDefault="00C57422" w:rsidP="00A73422">
            <w:pPr>
              <w:jc w:val="center"/>
              <w:rPr>
                <w:rFonts w:ascii="Times New Roman" w:hAnsi="Times New Roman" w:cs="Times New Roman"/>
              </w:rPr>
            </w:pPr>
            <w:r w:rsidRPr="00AA2084">
              <w:rPr>
                <w:rFonts w:ascii="Times New Roman" w:hAnsi="Times New Roman" w:cs="Times New Roman"/>
              </w:rPr>
              <w:t>3</w:t>
            </w:r>
          </w:p>
        </w:tc>
        <w:tc>
          <w:tcPr>
            <w:tcW w:w="762" w:type="pct"/>
            <w:tcBorders>
              <w:top w:val="single" w:sz="4" w:space="0" w:color="auto"/>
              <w:left w:val="nil"/>
              <w:bottom w:val="single" w:sz="4" w:space="0" w:color="auto"/>
              <w:right w:val="nil"/>
            </w:tcBorders>
            <w:shd w:val="clear" w:color="auto" w:fill="auto"/>
            <w:noWrap/>
            <w:vAlign w:val="center"/>
            <w:hideMark/>
          </w:tcPr>
          <w:p w14:paraId="48AB95D9" w14:textId="77777777" w:rsidR="00C57422" w:rsidRPr="00AA2084" w:rsidRDefault="00C57422" w:rsidP="00A73422">
            <w:pPr>
              <w:jc w:val="center"/>
              <w:rPr>
                <w:rFonts w:ascii="Times New Roman" w:hAnsi="Times New Roman" w:cs="Times New Roman"/>
              </w:rPr>
            </w:pPr>
            <w:r w:rsidRPr="00AA2084">
              <w:rPr>
                <w:rFonts w:ascii="Times New Roman" w:hAnsi="Times New Roman" w:cs="Times New Roman"/>
              </w:rPr>
              <w:t>4</w:t>
            </w:r>
          </w:p>
        </w:tc>
        <w:tc>
          <w:tcPr>
            <w:tcW w:w="762" w:type="pct"/>
            <w:tcBorders>
              <w:top w:val="single" w:sz="4" w:space="0" w:color="auto"/>
              <w:left w:val="nil"/>
              <w:bottom w:val="single" w:sz="4" w:space="0" w:color="auto"/>
              <w:right w:val="nil"/>
            </w:tcBorders>
          </w:tcPr>
          <w:p w14:paraId="79A076FA" w14:textId="77777777" w:rsidR="00C57422" w:rsidRPr="00AA2084" w:rsidRDefault="00C57422" w:rsidP="00A73422">
            <w:pPr>
              <w:jc w:val="center"/>
              <w:rPr>
                <w:rFonts w:ascii="Times New Roman" w:hAnsi="Times New Roman" w:cs="Times New Roman"/>
              </w:rPr>
            </w:pPr>
            <w:r w:rsidRPr="00AA2084">
              <w:rPr>
                <w:rFonts w:ascii="Times New Roman" w:hAnsi="Times New Roman" w:cs="Times New Roman"/>
              </w:rPr>
              <w:t>5</w:t>
            </w:r>
          </w:p>
        </w:tc>
      </w:tr>
      <w:tr w:rsidR="00C57422" w:rsidRPr="003D3598" w14:paraId="07D61E0B" w14:textId="77777777" w:rsidTr="00FD613B">
        <w:trPr>
          <w:trHeight w:val="300"/>
        </w:trPr>
        <w:tc>
          <w:tcPr>
            <w:tcW w:w="1521" w:type="pct"/>
            <w:tcBorders>
              <w:top w:val="nil"/>
              <w:left w:val="nil"/>
              <w:bottom w:val="nil"/>
              <w:right w:val="nil"/>
            </w:tcBorders>
            <w:shd w:val="clear" w:color="auto" w:fill="auto"/>
            <w:noWrap/>
            <w:vAlign w:val="bottom"/>
            <w:hideMark/>
          </w:tcPr>
          <w:p w14:paraId="7886CBC0"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1. Engagement</w:t>
            </w:r>
          </w:p>
        </w:tc>
        <w:tc>
          <w:tcPr>
            <w:tcW w:w="652" w:type="pct"/>
            <w:tcBorders>
              <w:top w:val="nil"/>
              <w:left w:val="nil"/>
              <w:bottom w:val="nil"/>
              <w:right w:val="nil"/>
            </w:tcBorders>
            <w:shd w:val="clear" w:color="auto" w:fill="auto"/>
            <w:noWrap/>
            <w:vAlign w:val="center"/>
            <w:hideMark/>
          </w:tcPr>
          <w:p w14:paraId="6643822E" w14:textId="77777777" w:rsidR="00C57422" w:rsidRPr="00AA2084" w:rsidRDefault="00C57422" w:rsidP="00A73422">
            <w:pPr>
              <w:jc w:val="center"/>
              <w:rPr>
                <w:rFonts w:ascii="Times New Roman" w:hAnsi="Times New Roman" w:cs="Times New Roman"/>
              </w:rPr>
            </w:pPr>
          </w:p>
        </w:tc>
        <w:tc>
          <w:tcPr>
            <w:tcW w:w="651" w:type="pct"/>
            <w:tcBorders>
              <w:top w:val="nil"/>
              <w:left w:val="nil"/>
              <w:bottom w:val="nil"/>
              <w:right w:val="nil"/>
            </w:tcBorders>
            <w:shd w:val="clear" w:color="auto" w:fill="auto"/>
            <w:noWrap/>
            <w:vAlign w:val="center"/>
            <w:hideMark/>
          </w:tcPr>
          <w:p w14:paraId="46E5FB3F" w14:textId="77777777" w:rsidR="00C57422" w:rsidRPr="00AA2084" w:rsidRDefault="00C57422" w:rsidP="00A73422">
            <w:pPr>
              <w:jc w:val="center"/>
              <w:rPr>
                <w:rFonts w:ascii="Times New Roman" w:hAnsi="Times New Roman" w:cs="Times New Roman"/>
              </w:rPr>
            </w:pPr>
          </w:p>
        </w:tc>
        <w:tc>
          <w:tcPr>
            <w:tcW w:w="651" w:type="pct"/>
            <w:tcBorders>
              <w:top w:val="nil"/>
              <w:left w:val="nil"/>
              <w:bottom w:val="nil"/>
              <w:right w:val="nil"/>
            </w:tcBorders>
            <w:shd w:val="clear" w:color="auto" w:fill="auto"/>
            <w:noWrap/>
            <w:vAlign w:val="center"/>
            <w:hideMark/>
          </w:tcPr>
          <w:p w14:paraId="7FE4863C" w14:textId="77777777" w:rsidR="00C57422" w:rsidRPr="00AA2084" w:rsidRDefault="00C57422" w:rsidP="00A73422">
            <w:pPr>
              <w:jc w:val="center"/>
              <w:rPr>
                <w:rFonts w:ascii="Times New Roman" w:hAnsi="Times New Roman" w:cs="Times New Roman"/>
              </w:rPr>
            </w:pPr>
          </w:p>
        </w:tc>
        <w:tc>
          <w:tcPr>
            <w:tcW w:w="762" w:type="pct"/>
            <w:tcBorders>
              <w:top w:val="nil"/>
              <w:left w:val="nil"/>
              <w:bottom w:val="nil"/>
              <w:right w:val="nil"/>
            </w:tcBorders>
            <w:shd w:val="clear" w:color="auto" w:fill="auto"/>
            <w:noWrap/>
            <w:vAlign w:val="center"/>
            <w:hideMark/>
          </w:tcPr>
          <w:p w14:paraId="7CFEB0A4" w14:textId="77777777" w:rsidR="00C57422" w:rsidRPr="00AA2084" w:rsidRDefault="00C57422" w:rsidP="00A73422">
            <w:pPr>
              <w:jc w:val="center"/>
              <w:rPr>
                <w:rFonts w:ascii="Times New Roman" w:hAnsi="Times New Roman" w:cs="Times New Roman"/>
              </w:rPr>
            </w:pPr>
          </w:p>
        </w:tc>
        <w:tc>
          <w:tcPr>
            <w:tcW w:w="762" w:type="pct"/>
            <w:tcBorders>
              <w:top w:val="nil"/>
              <w:left w:val="nil"/>
              <w:bottom w:val="nil"/>
              <w:right w:val="nil"/>
            </w:tcBorders>
          </w:tcPr>
          <w:p w14:paraId="51CB85BA" w14:textId="77777777" w:rsidR="00C57422" w:rsidRPr="00AA2084" w:rsidRDefault="00C57422" w:rsidP="00A73422">
            <w:pPr>
              <w:jc w:val="center"/>
              <w:rPr>
                <w:rFonts w:ascii="Times New Roman" w:hAnsi="Times New Roman" w:cs="Times New Roman"/>
              </w:rPr>
            </w:pPr>
          </w:p>
        </w:tc>
      </w:tr>
      <w:tr w:rsidR="00C57422" w:rsidRPr="003D3598" w14:paraId="634068DF" w14:textId="77777777" w:rsidTr="00FD613B">
        <w:trPr>
          <w:trHeight w:val="300"/>
        </w:trPr>
        <w:tc>
          <w:tcPr>
            <w:tcW w:w="1521" w:type="pct"/>
            <w:tcBorders>
              <w:top w:val="nil"/>
              <w:left w:val="nil"/>
              <w:bottom w:val="nil"/>
              <w:right w:val="nil"/>
            </w:tcBorders>
            <w:shd w:val="clear" w:color="auto" w:fill="auto"/>
            <w:noWrap/>
            <w:vAlign w:val="bottom"/>
            <w:hideMark/>
          </w:tcPr>
          <w:p w14:paraId="3C4B4DEF"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2. Challenge</w:t>
            </w:r>
          </w:p>
        </w:tc>
        <w:tc>
          <w:tcPr>
            <w:tcW w:w="652" w:type="pct"/>
            <w:tcBorders>
              <w:top w:val="nil"/>
              <w:left w:val="nil"/>
              <w:bottom w:val="nil"/>
              <w:right w:val="nil"/>
            </w:tcBorders>
            <w:shd w:val="clear" w:color="auto" w:fill="auto"/>
            <w:noWrap/>
            <w:vAlign w:val="center"/>
            <w:hideMark/>
          </w:tcPr>
          <w:p w14:paraId="2FF99DAC"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.32</w:t>
            </w:r>
            <w:r w:rsidRPr="00AA2084">
              <w:rPr>
                <w:rFonts w:ascii="Times New Roman" w:hAnsi="Times New Roman" w:cs="Times New Roman"/>
                <w:vertAlign w:val="superscript"/>
              </w:rPr>
              <w:t>***</w:t>
            </w:r>
          </w:p>
        </w:tc>
        <w:tc>
          <w:tcPr>
            <w:tcW w:w="651" w:type="pct"/>
            <w:tcBorders>
              <w:top w:val="nil"/>
              <w:left w:val="nil"/>
              <w:bottom w:val="nil"/>
              <w:right w:val="nil"/>
            </w:tcBorders>
            <w:shd w:val="clear" w:color="auto" w:fill="auto"/>
            <w:noWrap/>
            <w:vAlign w:val="center"/>
            <w:hideMark/>
          </w:tcPr>
          <w:p w14:paraId="16228CC7" w14:textId="77777777" w:rsidR="00C57422" w:rsidRPr="00AA2084" w:rsidRDefault="00C57422" w:rsidP="00A73422">
            <w:pPr>
              <w:tabs>
                <w:tab w:val="decimal" w:pos="162"/>
              </w:tabs>
              <w:jc w:val="center"/>
              <w:rPr>
                <w:rFonts w:ascii="Times New Roman" w:hAnsi="Times New Roman" w:cs="Times New Roman"/>
              </w:rPr>
            </w:pPr>
          </w:p>
        </w:tc>
        <w:tc>
          <w:tcPr>
            <w:tcW w:w="651" w:type="pct"/>
            <w:tcBorders>
              <w:top w:val="nil"/>
              <w:left w:val="nil"/>
              <w:bottom w:val="nil"/>
              <w:right w:val="nil"/>
            </w:tcBorders>
            <w:shd w:val="clear" w:color="auto" w:fill="auto"/>
            <w:noWrap/>
            <w:vAlign w:val="center"/>
            <w:hideMark/>
          </w:tcPr>
          <w:p w14:paraId="467F7819" w14:textId="77777777" w:rsidR="00C57422" w:rsidRPr="00AA2084" w:rsidRDefault="00C57422" w:rsidP="00A73422">
            <w:pPr>
              <w:tabs>
                <w:tab w:val="decimal" w:pos="162"/>
              </w:tabs>
              <w:jc w:val="center"/>
              <w:rPr>
                <w:rFonts w:ascii="Times New Roman" w:hAnsi="Times New Roman" w:cs="Times New Roman"/>
              </w:rPr>
            </w:pPr>
          </w:p>
        </w:tc>
        <w:tc>
          <w:tcPr>
            <w:tcW w:w="762" w:type="pct"/>
            <w:tcBorders>
              <w:top w:val="nil"/>
              <w:left w:val="nil"/>
              <w:bottom w:val="nil"/>
              <w:right w:val="nil"/>
            </w:tcBorders>
            <w:shd w:val="clear" w:color="auto" w:fill="auto"/>
            <w:noWrap/>
            <w:vAlign w:val="center"/>
            <w:hideMark/>
          </w:tcPr>
          <w:p w14:paraId="232F2DB4" w14:textId="77777777" w:rsidR="00C57422" w:rsidRPr="00AA2084" w:rsidRDefault="00C57422" w:rsidP="00A73422">
            <w:pPr>
              <w:tabs>
                <w:tab w:val="decimal" w:pos="162"/>
              </w:tabs>
              <w:jc w:val="center"/>
              <w:rPr>
                <w:rFonts w:ascii="Times New Roman" w:hAnsi="Times New Roman" w:cs="Times New Roman"/>
              </w:rPr>
            </w:pPr>
          </w:p>
        </w:tc>
        <w:tc>
          <w:tcPr>
            <w:tcW w:w="762" w:type="pct"/>
            <w:tcBorders>
              <w:top w:val="nil"/>
              <w:left w:val="nil"/>
              <w:bottom w:val="nil"/>
              <w:right w:val="nil"/>
            </w:tcBorders>
          </w:tcPr>
          <w:p w14:paraId="63F904F7" w14:textId="77777777" w:rsidR="00C57422" w:rsidRPr="00AA2084" w:rsidRDefault="00C57422" w:rsidP="00A73422">
            <w:pPr>
              <w:tabs>
                <w:tab w:val="decimal" w:pos="162"/>
              </w:tabs>
              <w:jc w:val="center"/>
              <w:rPr>
                <w:rFonts w:ascii="Times New Roman" w:hAnsi="Times New Roman" w:cs="Times New Roman"/>
              </w:rPr>
            </w:pPr>
          </w:p>
        </w:tc>
      </w:tr>
      <w:tr w:rsidR="00C57422" w:rsidRPr="003D3598" w14:paraId="35BA4FBF" w14:textId="77777777" w:rsidTr="00FD613B">
        <w:trPr>
          <w:trHeight w:val="300"/>
        </w:trPr>
        <w:tc>
          <w:tcPr>
            <w:tcW w:w="1521" w:type="pct"/>
            <w:tcBorders>
              <w:top w:val="nil"/>
              <w:left w:val="nil"/>
              <w:bottom w:val="nil"/>
              <w:right w:val="nil"/>
            </w:tcBorders>
            <w:shd w:val="clear" w:color="auto" w:fill="auto"/>
            <w:noWrap/>
            <w:vAlign w:val="bottom"/>
            <w:hideMark/>
          </w:tcPr>
          <w:p w14:paraId="3904177E"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3. Relevance</w:t>
            </w:r>
          </w:p>
        </w:tc>
        <w:tc>
          <w:tcPr>
            <w:tcW w:w="652" w:type="pct"/>
            <w:tcBorders>
              <w:top w:val="nil"/>
              <w:left w:val="nil"/>
              <w:bottom w:val="nil"/>
              <w:right w:val="nil"/>
            </w:tcBorders>
            <w:shd w:val="clear" w:color="auto" w:fill="auto"/>
            <w:noWrap/>
            <w:vAlign w:val="center"/>
            <w:hideMark/>
          </w:tcPr>
          <w:p w14:paraId="6D060680"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.68</w:t>
            </w:r>
            <w:r w:rsidRPr="00AA2084">
              <w:rPr>
                <w:rFonts w:ascii="Times New Roman" w:hAnsi="Times New Roman" w:cs="Times New Roman"/>
                <w:vertAlign w:val="superscript"/>
              </w:rPr>
              <w:t>***</w:t>
            </w:r>
          </w:p>
        </w:tc>
        <w:tc>
          <w:tcPr>
            <w:tcW w:w="651" w:type="pct"/>
            <w:tcBorders>
              <w:top w:val="nil"/>
              <w:left w:val="nil"/>
              <w:bottom w:val="nil"/>
              <w:right w:val="nil"/>
            </w:tcBorders>
            <w:shd w:val="clear" w:color="auto" w:fill="auto"/>
            <w:noWrap/>
            <w:vAlign w:val="center"/>
            <w:hideMark/>
          </w:tcPr>
          <w:p w14:paraId="1B345284"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.39</w:t>
            </w:r>
            <w:r w:rsidRPr="00AA2084">
              <w:rPr>
                <w:rFonts w:ascii="Times New Roman" w:hAnsi="Times New Roman" w:cs="Times New Roman"/>
                <w:vertAlign w:val="superscript"/>
              </w:rPr>
              <w:t>***</w:t>
            </w:r>
          </w:p>
        </w:tc>
        <w:tc>
          <w:tcPr>
            <w:tcW w:w="651" w:type="pct"/>
            <w:tcBorders>
              <w:top w:val="nil"/>
              <w:left w:val="nil"/>
              <w:bottom w:val="nil"/>
              <w:right w:val="nil"/>
            </w:tcBorders>
            <w:shd w:val="clear" w:color="auto" w:fill="auto"/>
            <w:noWrap/>
            <w:vAlign w:val="center"/>
            <w:hideMark/>
          </w:tcPr>
          <w:p w14:paraId="414E48BA" w14:textId="77777777" w:rsidR="00C57422" w:rsidRPr="00AA2084" w:rsidRDefault="00C57422" w:rsidP="00A73422">
            <w:pPr>
              <w:tabs>
                <w:tab w:val="decimal" w:pos="162"/>
              </w:tabs>
              <w:jc w:val="center"/>
              <w:rPr>
                <w:rFonts w:ascii="Times New Roman" w:hAnsi="Times New Roman" w:cs="Times New Roman"/>
              </w:rPr>
            </w:pPr>
          </w:p>
        </w:tc>
        <w:tc>
          <w:tcPr>
            <w:tcW w:w="762" w:type="pct"/>
            <w:tcBorders>
              <w:top w:val="nil"/>
              <w:left w:val="nil"/>
              <w:bottom w:val="nil"/>
              <w:right w:val="nil"/>
            </w:tcBorders>
            <w:shd w:val="clear" w:color="auto" w:fill="auto"/>
            <w:noWrap/>
            <w:vAlign w:val="center"/>
            <w:hideMark/>
          </w:tcPr>
          <w:p w14:paraId="7348D8F1" w14:textId="77777777" w:rsidR="00C57422" w:rsidRPr="00AA2084" w:rsidRDefault="00C57422" w:rsidP="00A73422">
            <w:pPr>
              <w:tabs>
                <w:tab w:val="decimal" w:pos="162"/>
              </w:tabs>
              <w:jc w:val="center"/>
              <w:rPr>
                <w:rFonts w:ascii="Times New Roman" w:hAnsi="Times New Roman" w:cs="Times New Roman"/>
              </w:rPr>
            </w:pPr>
          </w:p>
        </w:tc>
        <w:tc>
          <w:tcPr>
            <w:tcW w:w="762" w:type="pct"/>
            <w:tcBorders>
              <w:top w:val="nil"/>
              <w:left w:val="nil"/>
              <w:bottom w:val="nil"/>
              <w:right w:val="nil"/>
            </w:tcBorders>
          </w:tcPr>
          <w:p w14:paraId="4CB7796E" w14:textId="77777777" w:rsidR="00C57422" w:rsidRPr="00AA2084" w:rsidRDefault="00C57422" w:rsidP="00A73422">
            <w:pPr>
              <w:tabs>
                <w:tab w:val="decimal" w:pos="162"/>
              </w:tabs>
              <w:jc w:val="center"/>
              <w:rPr>
                <w:rFonts w:ascii="Times New Roman" w:hAnsi="Times New Roman" w:cs="Times New Roman"/>
              </w:rPr>
            </w:pPr>
          </w:p>
        </w:tc>
      </w:tr>
      <w:tr w:rsidR="00C57422" w:rsidRPr="003D3598" w14:paraId="54D82839" w14:textId="77777777" w:rsidTr="00FD613B">
        <w:trPr>
          <w:trHeight w:val="300"/>
        </w:trPr>
        <w:tc>
          <w:tcPr>
            <w:tcW w:w="1521" w:type="pct"/>
            <w:tcBorders>
              <w:top w:val="nil"/>
              <w:left w:val="nil"/>
              <w:right w:val="nil"/>
            </w:tcBorders>
            <w:shd w:val="clear" w:color="auto" w:fill="auto"/>
            <w:noWrap/>
            <w:vAlign w:val="bottom"/>
          </w:tcPr>
          <w:p w14:paraId="4792239C"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4. Learning</w:t>
            </w:r>
          </w:p>
        </w:tc>
        <w:tc>
          <w:tcPr>
            <w:tcW w:w="652" w:type="pct"/>
            <w:tcBorders>
              <w:top w:val="nil"/>
              <w:left w:val="nil"/>
              <w:right w:val="nil"/>
            </w:tcBorders>
            <w:shd w:val="clear" w:color="auto" w:fill="auto"/>
            <w:noWrap/>
            <w:vAlign w:val="center"/>
          </w:tcPr>
          <w:p w14:paraId="4C6CED9D"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.69</w:t>
            </w:r>
            <w:r w:rsidRPr="00AA2084">
              <w:rPr>
                <w:rFonts w:ascii="Times New Roman" w:hAnsi="Times New Roman" w:cs="Times New Roman"/>
                <w:vertAlign w:val="superscript"/>
              </w:rPr>
              <w:t>***</w:t>
            </w:r>
          </w:p>
        </w:tc>
        <w:tc>
          <w:tcPr>
            <w:tcW w:w="651" w:type="pct"/>
            <w:tcBorders>
              <w:top w:val="nil"/>
              <w:left w:val="nil"/>
              <w:right w:val="nil"/>
            </w:tcBorders>
            <w:shd w:val="clear" w:color="auto" w:fill="auto"/>
            <w:noWrap/>
            <w:vAlign w:val="center"/>
          </w:tcPr>
          <w:p w14:paraId="09E486FE"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.30</w:t>
            </w:r>
            <w:r w:rsidRPr="00AA2084">
              <w:rPr>
                <w:rFonts w:ascii="Times New Roman" w:hAnsi="Times New Roman" w:cs="Times New Roman"/>
                <w:vertAlign w:val="superscript"/>
              </w:rPr>
              <w:t>***</w:t>
            </w:r>
          </w:p>
        </w:tc>
        <w:tc>
          <w:tcPr>
            <w:tcW w:w="651" w:type="pct"/>
            <w:tcBorders>
              <w:top w:val="nil"/>
              <w:left w:val="nil"/>
              <w:right w:val="nil"/>
            </w:tcBorders>
            <w:shd w:val="clear" w:color="auto" w:fill="auto"/>
            <w:noWrap/>
            <w:vAlign w:val="center"/>
          </w:tcPr>
          <w:p w14:paraId="1F1B616B"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.65</w:t>
            </w:r>
            <w:r w:rsidRPr="00AA2084">
              <w:rPr>
                <w:rFonts w:ascii="Times New Roman" w:hAnsi="Times New Roman" w:cs="Times New Roman"/>
                <w:vertAlign w:val="superscript"/>
              </w:rPr>
              <w:t>***</w:t>
            </w:r>
          </w:p>
        </w:tc>
        <w:tc>
          <w:tcPr>
            <w:tcW w:w="762" w:type="pct"/>
            <w:tcBorders>
              <w:top w:val="nil"/>
              <w:left w:val="nil"/>
              <w:right w:val="nil"/>
            </w:tcBorders>
            <w:shd w:val="clear" w:color="auto" w:fill="auto"/>
            <w:noWrap/>
            <w:vAlign w:val="center"/>
          </w:tcPr>
          <w:p w14:paraId="7875009D" w14:textId="77777777" w:rsidR="00C57422" w:rsidRPr="00AA2084" w:rsidRDefault="00C57422" w:rsidP="00A73422">
            <w:pPr>
              <w:tabs>
                <w:tab w:val="decimal" w:pos="162"/>
              </w:tabs>
              <w:jc w:val="center"/>
              <w:rPr>
                <w:rFonts w:ascii="Times New Roman" w:hAnsi="Times New Roman" w:cs="Times New Roman"/>
              </w:rPr>
            </w:pPr>
          </w:p>
        </w:tc>
        <w:tc>
          <w:tcPr>
            <w:tcW w:w="762" w:type="pct"/>
            <w:tcBorders>
              <w:top w:val="nil"/>
              <w:left w:val="nil"/>
              <w:right w:val="nil"/>
            </w:tcBorders>
          </w:tcPr>
          <w:p w14:paraId="3BA57076" w14:textId="77777777" w:rsidR="00C57422" w:rsidRPr="00AA2084" w:rsidRDefault="00C57422" w:rsidP="00A73422">
            <w:pPr>
              <w:tabs>
                <w:tab w:val="decimal" w:pos="162"/>
              </w:tabs>
              <w:jc w:val="center"/>
              <w:rPr>
                <w:rFonts w:ascii="Times New Roman" w:hAnsi="Times New Roman" w:cs="Times New Roman"/>
              </w:rPr>
            </w:pPr>
          </w:p>
        </w:tc>
      </w:tr>
      <w:tr w:rsidR="00C57422" w:rsidRPr="003D3598" w14:paraId="5F34143E" w14:textId="77777777" w:rsidTr="00FD613B">
        <w:trPr>
          <w:trHeight w:val="300"/>
        </w:trPr>
        <w:tc>
          <w:tcPr>
            <w:tcW w:w="1521" w:type="pct"/>
            <w:tcBorders>
              <w:top w:val="nil"/>
              <w:left w:val="nil"/>
              <w:bottom w:val="single" w:sz="4" w:space="0" w:color="auto"/>
              <w:right w:val="nil"/>
            </w:tcBorders>
            <w:shd w:val="clear" w:color="auto" w:fill="auto"/>
            <w:noWrap/>
            <w:vAlign w:val="bottom"/>
          </w:tcPr>
          <w:p w14:paraId="038BE5E2"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5. Initial Competence</w:t>
            </w:r>
          </w:p>
        </w:tc>
        <w:tc>
          <w:tcPr>
            <w:tcW w:w="652" w:type="pct"/>
            <w:tcBorders>
              <w:top w:val="nil"/>
              <w:left w:val="nil"/>
              <w:bottom w:val="single" w:sz="4" w:space="0" w:color="auto"/>
              <w:right w:val="nil"/>
            </w:tcBorders>
            <w:shd w:val="clear" w:color="auto" w:fill="auto"/>
            <w:noWrap/>
            <w:vAlign w:val="center"/>
          </w:tcPr>
          <w:p w14:paraId="28FEB40B"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.08</w:t>
            </w:r>
            <w:r w:rsidRPr="00AA2084">
              <w:rPr>
                <w:rFonts w:ascii="Times New Roman" w:hAnsi="Times New Roman" w:cs="Times New Roman"/>
                <w:vertAlign w:val="superscript"/>
              </w:rPr>
              <w:t>***</w:t>
            </w:r>
          </w:p>
        </w:tc>
        <w:tc>
          <w:tcPr>
            <w:tcW w:w="651" w:type="pct"/>
            <w:tcBorders>
              <w:top w:val="nil"/>
              <w:left w:val="nil"/>
              <w:bottom w:val="single" w:sz="4" w:space="0" w:color="auto"/>
              <w:right w:val="nil"/>
            </w:tcBorders>
            <w:shd w:val="clear" w:color="auto" w:fill="auto"/>
            <w:noWrap/>
            <w:vAlign w:val="center"/>
          </w:tcPr>
          <w:p w14:paraId="4E4DD287"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-.12</w:t>
            </w:r>
            <w:r w:rsidRPr="00AA2084">
              <w:rPr>
                <w:rFonts w:ascii="Times New Roman" w:hAnsi="Times New Roman" w:cs="Times New Roman"/>
                <w:vertAlign w:val="superscript"/>
              </w:rPr>
              <w:t>***</w:t>
            </w:r>
          </w:p>
        </w:tc>
        <w:tc>
          <w:tcPr>
            <w:tcW w:w="651" w:type="pct"/>
            <w:tcBorders>
              <w:top w:val="nil"/>
              <w:left w:val="nil"/>
              <w:bottom w:val="single" w:sz="4" w:space="0" w:color="auto"/>
              <w:right w:val="nil"/>
            </w:tcBorders>
            <w:shd w:val="clear" w:color="auto" w:fill="auto"/>
            <w:noWrap/>
            <w:vAlign w:val="center"/>
          </w:tcPr>
          <w:p w14:paraId="1A92584A"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.03</w:t>
            </w:r>
          </w:p>
        </w:tc>
        <w:tc>
          <w:tcPr>
            <w:tcW w:w="762" w:type="pct"/>
            <w:tcBorders>
              <w:top w:val="nil"/>
              <w:left w:val="nil"/>
              <w:bottom w:val="single" w:sz="4" w:space="0" w:color="auto"/>
              <w:right w:val="nil"/>
            </w:tcBorders>
            <w:shd w:val="clear" w:color="auto" w:fill="auto"/>
            <w:noWrap/>
            <w:vAlign w:val="center"/>
          </w:tcPr>
          <w:p w14:paraId="7B51E127"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.09</w:t>
            </w:r>
            <w:r w:rsidRPr="00AA2084">
              <w:rPr>
                <w:rFonts w:ascii="Times New Roman" w:hAnsi="Times New Roman" w:cs="Times New Roman"/>
                <w:vertAlign w:val="superscript"/>
              </w:rPr>
              <w:t>***</w:t>
            </w:r>
          </w:p>
        </w:tc>
        <w:tc>
          <w:tcPr>
            <w:tcW w:w="762" w:type="pct"/>
            <w:tcBorders>
              <w:top w:val="nil"/>
              <w:left w:val="nil"/>
              <w:bottom w:val="single" w:sz="4" w:space="0" w:color="auto"/>
              <w:right w:val="nil"/>
            </w:tcBorders>
          </w:tcPr>
          <w:p w14:paraId="0F377FF2" w14:textId="77777777" w:rsidR="00C57422" w:rsidRPr="00AA2084" w:rsidRDefault="00C57422" w:rsidP="00A73422">
            <w:pPr>
              <w:tabs>
                <w:tab w:val="decimal" w:pos="162"/>
              </w:tabs>
              <w:jc w:val="center"/>
              <w:rPr>
                <w:rFonts w:ascii="Times New Roman" w:hAnsi="Times New Roman" w:cs="Times New Roman"/>
              </w:rPr>
            </w:pPr>
          </w:p>
        </w:tc>
      </w:tr>
      <w:tr w:rsidR="00C57422" w:rsidRPr="003D3598" w14:paraId="6EF6A748" w14:textId="77777777" w:rsidTr="00FD613B">
        <w:trPr>
          <w:trHeight w:val="300"/>
        </w:trPr>
        <w:tc>
          <w:tcPr>
            <w:tcW w:w="1521" w:type="pct"/>
            <w:tcBorders>
              <w:top w:val="single" w:sz="4" w:space="0" w:color="auto"/>
              <w:left w:val="nil"/>
              <w:bottom w:val="nil"/>
              <w:right w:val="nil"/>
            </w:tcBorders>
            <w:shd w:val="clear" w:color="auto" w:fill="auto"/>
            <w:noWrap/>
            <w:vAlign w:val="bottom"/>
            <w:hideMark/>
          </w:tcPr>
          <w:p w14:paraId="6BF98A9A"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Mean</w:t>
            </w:r>
          </w:p>
        </w:tc>
        <w:tc>
          <w:tcPr>
            <w:tcW w:w="652" w:type="pct"/>
            <w:tcBorders>
              <w:top w:val="single" w:sz="4" w:space="0" w:color="auto"/>
              <w:left w:val="nil"/>
              <w:bottom w:val="nil"/>
              <w:right w:val="nil"/>
            </w:tcBorders>
            <w:shd w:val="clear" w:color="auto" w:fill="auto"/>
            <w:noWrap/>
            <w:vAlign w:val="center"/>
            <w:hideMark/>
          </w:tcPr>
          <w:p w14:paraId="5F472E5A"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2.87</w:t>
            </w:r>
          </w:p>
        </w:tc>
        <w:tc>
          <w:tcPr>
            <w:tcW w:w="651" w:type="pct"/>
            <w:tcBorders>
              <w:top w:val="single" w:sz="4" w:space="0" w:color="auto"/>
              <w:left w:val="nil"/>
              <w:bottom w:val="nil"/>
              <w:right w:val="nil"/>
            </w:tcBorders>
            <w:shd w:val="clear" w:color="auto" w:fill="auto"/>
            <w:noWrap/>
            <w:vAlign w:val="center"/>
            <w:hideMark/>
          </w:tcPr>
          <w:p w14:paraId="48CA2F00"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2.27</w:t>
            </w:r>
          </w:p>
        </w:tc>
        <w:tc>
          <w:tcPr>
            <w:tcW w:w="651" w:type="pct"/>
            <w:tcBorders>
              <w:top w:val="single" w:sz="4" w:space="0" w:color="auto"/>
              <w:left w:val="nil"/>
              <w:bottom w:val="nil"/>
              <w:right w:val="nil"/>
            </w:tcBorders>
            <w:shd w:val="clear" w:color="auto" w:fill="auto"/>
            <w:noWrap/>
            <w:vAlign w:val="center"/>
            <w:hideMark/>
          </w:tcPr>
          <w:p w14:paraId="0F79F9F4"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2.58</w:t>
            </w:r>
          </w:p>
        </w:tc>
        <w:tc>
          <w:tcPr>
            <w:tcW w:w="762" w:type="pct"/>
            <w:tcBorders>
              <w:top w:val="single" w:sz="4" w:space="0" w:color="auto"/>
              <w:left w:val="nil"/>
              <w:bottom w:val="nil"/>
              <w:right w:val="nil"/>
            </w:tcBorders>
            <w:shd w:val="clear" w:color="auto" w:fill="auto"/>
            <w:noWrap/>
            <w:vAlign w:val="center"/>
            <w:hideMark/>
          </w:tcPr>
          <w:p w14:paraId="5576CF25"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2.77</w:t>
            </w:r>
          </w:p>
        </w:tc>
        <w:tc>
          <w:tcPr>
            <w:tcW w:w="762" w:type="pct"/>
            <w:tcBorders>
              <w:top w:val="single" w:sz="4" w:space="0" w:color="auto"/>
              <w:left w:val="nil"/>
              <w:bottom w:val="nil"/>
              <w:right w:val="nil"/>
            </w:tcBorders>
          </w:tcPr>
          <w:p w14:paraId="49F59F8C"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3.13</w:t>
            </w:r>
          </w:p>
        </w:tc>
      </w:tr>
      <w:tr w:rsidR="00C57422" w:rsidRPr="003D3598" w14:paraId="1F03E1E9" w14:textId="77777777" w:rsidTr="00FD613B">
        <w:trPr>
          <w:trHeight w:val="300"/>
        </w:trPr>
        <w:tc>
          <w:tcPr>
            <w:tcW w:w="1521" w:type="pct"/>
            <w:tcBorders>
              <w:top w:val="nil"/>
              <w:left w:val="nil"/>
              <w:bottom w:val="nil"/>
              <w:right w:val="nil"/>
            </w:tcBorders>
            <w:shd w:val="clear" w:color="auto" w:fill="auto"/>
            <w:noWrap/>
            <w:vAlign w:val="bottom"/>
            <w:hideMark/>
          </w:tcPr>
          <w:p w14:paraId="077C64CE"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SD</w:t>
            </w:r>
          </w:p>
        </w:tc>
        <w:tc>
          <w:tcPr>
            <w:tcW w:w="652" w:type="pct"/>
            <w:tcBorders>
              <w:top w:val="nil"/>
              <w:left w:val="nil"/>
              <w:bottom w:val="nil"/>
              <w:right w:val="nil"/>
            </w:tcBorders>
            <w:shd w:val="clear" w:color="auto" w:fill="auto"/>
            <w:noWrap/>
            <w:vAlign w:val="center"/>
            <w:hideMark/>
          </w:tcPr>
          <w:p w14:paraId="4A33D8D3"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0.87</w:t>
            </w:r>
          </w:p>
        </w:tc>
        <w:tc>
          <w:tcPr>
            <w:tcW w:w="651" w:type="pct"/>
            <w:tcBorders>
              <w:top w:val="nil"/>
              <w:left w:val="nil"/>
              <w:bottom w:val="nil"/>
              <w:right w:val="nil"/>
            </w:tcBorders>
            <w:shd w:val="clear" w:color="auto" w:fill="auto"/>
            <w:noWrap/>
            <w:vAlign w:val="center"/>
            <w:hideMark/>
          </w:tcPr>
          <w:p w14:paraId="4211F403"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1.12</w:t>
            </w:r>
          </w:p>
        </w:tc>
        <w:tc>
          <w:tcPr>
            <w:tcW w:w="651" w:type="pct"/>
            <w:tcBorders>
              <w:top w:val="nil"/>
              <w:left w:val="nil"/>
              <w:bottom w:val="nil"/>
              <w:right w:val="nil"/>
            </w:tcBorders>
            <w:shd w:val="clear" w:color="auto" w:fill="auto"/>
            <w:noWrap/>
            <w:vAlign w:val="center"/>
            <w:hideMark/>
          </w:tcPr>
          <w:p w14:paraId="45CAFD5E"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0.96</w:t>
            </w:r>
          </w:p>
        </w:tc>
        <w:tc>
          <w:tcPr>
            <w:tcW w:w="762" w:type="pct"/>
            <w:tcBorders>
              <w:top w:val="nil"/>
              <w:left w:val="nil"/>
              <w:bottom w:val="nil"/>
              <w:right w:val="nil"/>
            </w:tcBorders>
            <w:shd w:val="clear" w:color="auto" w:fill="auto"/>
            <w:noWrap/>
            <w:vAlign w:val="center"/>
            <w:hideMark/>
          </w:tcPr>
          <w:p w14:paraId="1766D6AB"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1.06</w:t>
            </w:r>
          </w:p>
        </w:tc>
        <w:tc>
          <w:tcPr>
            <w:tcW w:w="762" w:type="pct"/>
            <w:tcBorders>
              <w:top w:val="nil"/>
              <w:left w:val="nil"/>
              <w:bottom w:val="nil"/>
              <w:right w:val="nil"/>
            </w:tcBorders>
          </w:tcPr>
          <w:p w14:paraId="5F461797"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0.81</w:t>
            </w:r>
          </w:p>
        </w:tc>
      </w:tr>
      <w:tr w:rsidR="00C57422" w:rsidRPr="003D3598" w14:paraId="3A309D6B" w14:textId="77777777" w:rsidTr="00FD613B">
        <w:trPr>
          <w:trHeight w:val="300"/>
        </w:trPr>
        <w:tc>
          <w:tcPr>
            <w:tcW w:w="1521" w:type="pct"/>
            <w:tcBorders>
              <w:top w:val="nil"/>
              <w:left w:val="nil"/>
              <w:bottom w:val="nil"/>
              <w:right w:val="nil"/>
            </w:tcBorders>
            <w:shd w:val="clear" w:color="auto" w:fill="auto"/>
            <w:noWrap/>
            <w:vAlign w:val="bottom"/>
            <w:hideMark/>
          </w:tcPr>
          <w:p w14:paraId="72FE6A41"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Minimum</w:t>
            </w:r>
          </w:p>
        </w:tc>
        <w:tc>
          <w:tcPr>
            <w:tcW w:w="652" w:type="pct"/>
            <w:tcBorders>
              <w:top w:val="nil"/>
              <w:left w:val="nil"/>
              <w:bottom w:val="nil"/>
              <w:right w:val="nil"/>
            </w:tcBorders>
            <w:shd w:val="clear" w:color="auto" w:fill="auto"/>
            <w:noWrap/>
            <w:vAlign w:val="center"/>
            <w:hideMark/>
          </w:tcPr>
          <w:p w14:paraId="253F2BD0"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1.00</w:t>
            </w:r>
          </w:p>
        </w:tc>
        <w:tc>
          <w:tcPr>
            <w:tcW w:w="651" w:type="pct"/>
            <w:tcBorders>
              <w:top w:val="nil"/>
              <w:left w:val="nil"/>
              <w:bottom w:val="nil"/>
              <w:right w:val="nil"/>
            </w:tcBorders>
            <w:shd w:val="clear" w:color="auto" w:fill="auto"/>
            <w:noWrap/>
            <w:vAlign w:val="center"/>
            <w:hideMark/>
          </w:tcPr>
          <w:p w14:paraId="03808922"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1.00</w:t>
            </w:r>
          </w:p>
        </w:tc>
        <w:tc>
          <w:tcPr>
            <w:tcW w:w="651" w:type="pct"/>
            <w:tcBorders>
              <w:top w:val="nil"/>
              <w:left w:val="nil"/>
              <w:bottom w:val="nil"/>
              <w:right w:val="nil"/>
            </w:tcBorders>
            <w:shd w:val="clear" w:color="auto" w:fill="auto"/>
            <w:noWrap/>
            <w:vAlign w:val="center"/>
            <w:hideMark/>
          </w:tcPr>
          <w:p w14:paraId="75198429"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1.00</w:t>
            </w:r>
          </w:p>
        </w:tc>
        <w:tc>
          <w:tcPr>
            <w:tcW w:w="762" w:type="pct"/>
            <w:tcBorders>
              <w:top w:val="nil"/>
              <w:left w:val="nil"/>
              <w:bottom w:val="nil"/>
              <w:right w:val="nil"/>
            </w:tcBorders>
            <w:shd w:val="clear" w:color="auto" w:fill="auto"/>
            <w:noWrap/>
            <w:vAlign w:val="center"/>
            <w:hideMark/>
          </w:tcPr>
          <w:p w14:paraId="6EF01C8A"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1.00</w:t>
            </w:r>
          </w:p>
        </w:tc>
        <w:tc>
          <w:tcPr>
            <w:tcW w:w="762" w:type="pct"/>
            <w:tcBorders>
              <w:top w:val="nil"/>
              <w:left w:val="nil"/>
              <w:bottom w:val="nil"/>
              <w:right w:val="nil"/>
            </w:tcBorders>
          </w:tcPr>
          <w:p w14:paraId="0C83DFE2"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1.00</w:t>
            </w:r>
          </w:p>
        </w:tc>
      </w:tr>
      <w:tr w:rsidR="00C57422" w:rsidRPr="003D3598" w14:paraId="3EF2A5C9" w14:textId="77777777" w:rsidTr="00FD613B">
        <w:trPr>
          <w:trHeight w:val="300"/>
        </w:trPr>
        <w:tc>
          <w:tcPr>
            <w:tcW w:w="1521" w:type="pct"/>
            <w:tcBorders>
              <w:top w:val="nil"/>
              <w:left w:val="nil"/>
              <w:bottom w:val="single" w:sz="4" w:space="0" w:color="auto"/>
              <w:right w:val="nil"/>
            </w:tcBorders>
            <w:shd w:val="clear" w:color="auto" w:fill="auto"/>
            <w:noWrap/>
            <w:vAlign w:val="bottom"/>
            <w:hideMark/>
          </w:tcPr>
          <w:p w14:paraId="7613F42D" w14:textId="77777777" w:rsidR="00C57422" w:rsidRPr="00AA2084" w:rsidRDefault="00C57422" w:rsidP="00A73422">
            <w:pPr>
              <w:rPr>
                <w:rFonts w:ascii="Times New Roman" w:hAnsi="Times New Roman" w:cs="Times New Roman"/>
              </w:rPr>
            </w:pPr>
            <w:r w:rsidRPr="00AA2084">
              <w:rPr>
                <w:rFonts w:ascii="Times New Roman" w:hAnsi="Times New Roman" w:cs="Times New Roman"/>
              </w:rPr>
              <w:t>Maximum</w:t>
            </w:r>
          </w:p>
        </w:tc>
        <w:tc>
          <w:tcPr>
            <w:tcW w:w="652" w:type="pct"/>
            <w:tcBorders>
              <w:top w:val="nil"/>
              <w:left w:val="nil"/>
              <w:bottom w:val="single" w:sz="4" w:space="0" w:color="auto"/>
              <w:right w:val="nil"/>
            </w:tcBorders>
            <w:shd w:val="clear" w:color="auto" w:fill="auto"/>
            <w:noWrap/>
            <w:vAlign w:val="center"/>
            <w:hideMark/>
          </w:tcPr>
          <w:p w14:paraId="768B482C"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4.00</w:t>
            </w:r>
          </w:p>
        </w:tc>
        <w:tc>
          <w:tcPr>
            <w:tcW w:w="651" w:type="pct"/>
            <w:tcBorders>
              <w:top w:val="nil"/>
              <w:left w:val="nil"/>
              <w:bottom w:val="single" w:sz="4" w:space="0" w:color="auto"/>
              <w:right w:val="nil"/>
            </w:tcBorders>
            <w:shd w:val="clear" w:color="auto" w:fill="auto"/>
            <w:noWrap/>
            <w:vAlign w:val="center"/>
            <w:hideMark/>
          </w:tcPr>
          <w:p w14:paraId="585CBA7E"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4.00</w:t>
            </w:r>
          </w:p>
        </w:tc>
        <w:tc>
          <w:tcPr>
            <w:tcW w:w="651" w:type="pct"/>
            <w:tcBorders>
              <w:top w:val="nil"/>
              <w:left w:val="nil"/>
              <w:bottom w:val="single" w:sz="4" w:space="0" w:color="auto"/>
              <w:right w:val="nil"/>
            </w:tcBorders>
            <w:shd w:val="clear" w:color="auto" w:fill="auto"/>
            <w:noWrap/>
            <w:vAlign w:val="center"/>
            <w:hideMark/>
          </w:tcPr>
          <w:p w14:paraId="786B4D03"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4.00</w:t>
            </w:r>
          </w:p>
        </w:tc>
        <w:tc>
          <w:tcPr>
            <w:tcW w:w="762" w:type="pct"/>
            <w:tcBorders>
              <w:top w:val="nil"/>
              <w:left w:val="nil"/>
              <w:bottom w:val="single" w:sz="4" w:space="0" w:color="auto"/>
              <w:right w:val="nil"/>
            </w:tcBorders>
            <w:shd w:val="clear" w:color="auto" w:fill="auto"/>
            <w:noWrap/>
            <w:vAlign w:val="center"/>
            <w:hideMark/>
          </w:tcPr>
          <w:p w14:paraId="477652BE"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4.00</w:t>
            </w:r>
          </w:p>
        </w:tc>
        <w:tc>
          <w:tcPr>
            <w:tcW w:w="762" w:type="pct"/>
            <w:tcBorders>
              <w:top w:val="nil"/>
              <w:left w:val="nil"/>
              <w:bottom w:val="single" w:sz="4" w:space="0" w:color="auto"/>
              <w:right w:val="nil"/>
            </w:tcBorders>
          </w:tcPr>
          <w:p w14:paraId="2151172C" w14:textId="77777777" w:rsidR="00C57422" w:rsidRPr="00AA2084" w:rsidRDefault="00C57422" w:rsidP="00A73422">
            <w:pPr>
              <w:tabs>
                <w:tab w:val="decimal" w:pos="162"/>
              </w:tabs>
              <w:jc w:val="center"/>
              <w:rPr>
                <w:rFonts w:ascii="Times New Roman" w:hAnsi="Times New Roman" w:cs="Times New Roman"/>
              </w:rPr>
            </w:pPr>
            <w:r w:rsidRPr="00AA2084">
              <w:rPr>
                <w:rFonts w:ascii="Times New Roman" w:hAnsi="Times New Roman" w:cs="Times New Roman"/>
              </w:rPr>
              <w:t>4.00</w:t>
            </w:r>
          </w:p>
        </w:tc>
      </w:tr>
    </w:tbl>
    <w:p w14:paraId="061C62BA" w14:textId="28586861" w:rsidR="00C57422" w:rsidRDefault="00C57422" w:rsidP="00A73422">
      <w:pPr>
        <w:rPr>
          <w:rFonts w:ascii="Times New Roman" w:hAnsi="Times New Roman" w:cs="Times New Roman"/>
        </w:rPr>
      </w:pPr>
      <w:r w:rsidRPr="00AA2084">
        <w:rPr>
          <w:rFonts w:ascii="Times New Roman" w:hAnsi="Times New Roman" w:cs="Times New Roman"/>
        </w:rPr>
        <w:t xml:space="preserve">*** </w:t>
      </w:r>
      <w:r w:rsidRPr="00AA2084">
        <w:rPr>
          <w:rFonts w:ascii="Times New Roman" w:hAnsi="Times New Roman" w:cs="Times New Roman"/>
          <w:i/>
        </w:rPr>
        <w:t>p &lt;</w:t>
      </w:r>
      <w:r w:rsidRPr="00AA2084">
        <w:rPr>
          <w:rFonts w:ascii="Times New Roman" w:hAnsi="Times New Roman" w:cs="Times New Roman"/>
        </w:rPr>
        <w:t xml:space="preserve"> .001</w:t>
      </w:r>
    </w:p>
    <w:p w14:paraId="4586E661" w14:textId="4460A960" w:rsidR="009335CD" w:rsidRDefault="00782A8B" w:rsidP="00A73422">
      <w:pPr>
        <w:contextualSpacing/>
        <w:rPr>
          <w:rFonts w:ascii="Times New Roman" w:hAnsi="Times New Roman" w:cs="Times New Roman"/>
        </w:rPr>
      </w:pPr>
      <w:r>
        <w:rPr>
          <w:rFonts w:ascii="Times New Roman" w:hAnsi="Times New Roman" w:cs="Times New Roman"/>
        </w:rPr>
        <w:t xml:space="preserve">Intraclass </w:t>
      </w:r>
      <w:r w:rsidR="00325C79">
        <w:rPr>
          <w:rFonts w:ascii="Times New Roman" w:hAnsi="Times New Roman" w:cs="Times New Roman"/>
        </w:rPr>
        <w:t>Correlations</w:t>
      </w:r>
      <w:r>
        <w:rPr>
          <w:rFonts w:ascii="Times New Roman" w:hAnsi="Times New Roman" w:cs="Times New Roman"/>
        </w:rPr>
        <w:t xml:space="preserve"> (ICCs) from fully unconditional multilevel models predicting the engagement, challenge, relevance, and learning outcomes, suggest that 35 – 52% of the variance </w:t>
      </w:r>
      <w:r>
        <w:rPr>
          <w:rFonts w:ascii="Times New Roman" w:hAnsi="Times New Roman" w:cs="Times New Roman"/>
        </w:rPr>
        <w:lastRenderedPageBreak/>
        <w:t xml:space="preserve">in these outcomes is attributed to differences across persons, while 2% - 7% is attributable to differences across situations. Less than 3% of the variance in these outcomes is due to differences between programs (See Table </w:t>
      </w:r>
      <w:r w:rsidR="001F12F1">
        <w:rPr>
          <w:rFonts w:ascii="Times New Roman" w:hAnsi="Times New Roman" w:cs="Times New Roman"/>
        </w:rPr>
        <w:t>4</w:t>
      </w:r>
      <w:r>
        <w:rPr>
          <w:rFonts w:ascii="Times New Roman" w:hAnsi="Times New Roman" w:cs="Times New Roman"/>
        </w:rPr>
        <w:t>).</w:t>
      </w:r>
    </w:p>
    <w:p w14:paraId="34F0849B" w14:textId="77777777" w:rsidR="00161876" w:rsidRDefault="00161876" w:rsidP="00A73422">
      <w:pPr>
        <w:rPr>
          <w:rFonts w:ascii="Times New Roman" w:hAnsi="Times New Roman" w:cs="Times New Roman"/>
        </w:rPr>
      </w:pPr>
    </w:p>
    <w:p w14:paraId="229072CE" w14:textId="7391A193" w:rsidR="00C57422" w:rsidRDefault="00C57422" w:rsidP="00A73422">
      <w:pPr>
        <w:rPr>
          <w:rFonts w:ascii="Times New Roman" w:hAnsi="Times New Roman" w:cs="Times New Roman"/>
        </w:rPr>
      </w:pPr>
      <w:r>
        <w:rPr>
          <w:rFonts w:ascii="Times New Roman" w:hAnsi="Times New Roman" w:cs="Times New Roman"/>
        </w:rPr>
        <w:t>Table 4</w:t>
      </w:r>
    </w:p>
    <w:p w14:paraId="1A910767" w14:textId="77777777" w:rsidR="00C57422" w:rsidRDefault="00C57422" w:rsidP="00A73422">
      <w:pPr>
        <w:rPr>
          <w:rFonts w:ascii="Times New Roman" w:hAnsi="Times New Roman" w:cs="Times New Roman"/>
          <w:i/>
          <w:iCs/>
        </w:rPr>
      </w:pPr>
      <w:r w:rsidRPr="00AA2084">
        <w:rPr>
          <w:rFonts w:ascii="Times New Roman" w:hAnsi="Times New Roman" w:cs="Times New Roman"/>
          <w:i/>
          <w:iCs/>
        </w:rPr>
        <w:t>Intraclass correlations (ICCs) for all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2333"/>
        <w:gridCol w:w="2311"/>
        <w:gridCol w:w="2326"/>
      </w:tblGrid>
      <w:tr w:rsidR="00C57422" w14:paraId="3E2F072C" w14:textId="77777777" w:rsidTr="00FD613B">
        <w:tc>
          <w:tcPr>
            <w:tcW w:w="2590" w:type="dxa"/>
            <w:tcBorders>
              <w:top w:val="single" w:sz="4" w:space="0" w:color="auto"/>
              <w:bottom w:val="single" w:sz="4" w:space="0" w:color="auto"/>
            </w:tcBorders>
          </w:tcPr>
          <w:p w14:paraId="48D5C798" w14:textId="77777777" w:rsidR="00C57422" w:rsidRDefault="00C57422" w:rsidP="00A73422">
            <w:pPr>
              <w:rPr>
                <w:rFonts w:ascii="Times New Roman" w:hAnsi="Times New Roman" w:cs="Times New Roman"/>
              </w:rPr>
            </w:pPr>
            <w:r>
              <w:rPr>
                <w:rFonts w:ascii="Times New Roman" w:hAnsi="Times New Roman" w:cs="Times New Roman"/>
              </w:rPr>
              <w:t>Item</w:t>
            </w:r>
          </w:p>
        </w:tc>
        <w:tc>
          <w:tcPr>
            <w:tcW w:w="7770" w:type="dxa"/>
            <w:gridSpan w:val="3"/>
            <w:tcBorders>
              <w:top w:val="single" w:sz="4" w:space="0" w:color="auto"/>
              <w:bottom w:val="single" w:sz="4" w:space="0" w:color="auto"/>
            </w:tcBorders>
          </w:tcPr>
          <w:p w14:paraId="4C56EF81" w14:textId="77777777" w:rsidR="00C57422" w:rsidRDefault="00C57422" w:rsidP="00A73422">
            <w:pPr>
              <w:jc w:val="center"/>
              <w:rPr>
                <w:rFonts w:ascii="Times New Roman" w:hAnsi="Times New Roman" w:cs="Times New Roman"/>
              </w:rPr>
            </w:pPr>
            <w:r>
              <w:rPr>
                <w:rFonts w:ascii="Times New Roman" w:hAnsi="Times New Roman" w:cs="Times New Roman"/>
              </w:rPr>
              <w:t>ICCs</w:t>
            </w:r>
          </w:p>
        </w:tc>
      </w:tr>
      <w:tr w:rsidR="00C57422" w14:paraId="75A1CCD0" w14:textId="77777777" w:rsidTr="00FD613B">
        <w:tc>
          <w:tcPr>
            <w:tcW w:w="2590" w:type="dxa"/>
            <w:tcBorders>
              <w:top w:val="single" w:sz="4" w:space="0" w:color="auto"/>
              <w:bottom w:val="single" w:sz="4" w:space="0" w:color="auto"/>
            </w:tcBorders>
          </w:tcPr>
          <w:p w14:paraId="2D32FEA0" w14:textId="77777777" w:rsidR="00C57422" w:rsidRPr="00452D50" w:rsidRDefault="00C57422" w:rsidP="00A73422">
            <w:pPr>
              <w:rPr>
                <w:rFonts w:ascii="Times New Roman" w:hAnsi="Times New Roman" w:cs="Times New Roman"/>
              </w:rPr>
            </w:pPr>
          </w:p>
        </w:tc>
        <w:tc>
          <w:tcPr>
            <w:tcW w:w="2590" w:type="dxa"/>
            <w:tcBorders>
              <w:top w:val="single" w:sz="4" w:space="0" w:color="auto"/>
              <w:bottom w:val="single" w:sz="4" w:space="0" w:color="auto"/>
            </w:tcBorders>
          </w:tcPr>
          <w:p w14:paraId="185EF939" w14:textId="77777777" w:rsidR="00C57422" w:rsidRDefault="00C57422" w:rsidP="00A73422">
            <w:pPr>
              <w:rPr>
                <w:rFonts w:ascii="Times New Roman" w:hAnsi="Times New Roman" w:cs="Times New Roman"/>
              </w:rPr>
            </w:pPr>
            <w:r>
              <w:rPr>
                <w:rFonts w:ascii="Times New Roman" w:hAnsi="Times New Roman" w:cs="Times New Roman"/>
              </w:rPr>
              <w:t>Situation</w:t>
            </w:r>
          </w:p>
        </w:tc>
        <w:tc>
          <w:tcPr>
            <w:tcW w:w="2590" w:type="dxa"/>
            <w:tcBorders>
              <w:top w:val="single" w:sz="4" w:space="0" w:color="auto"/>
              <w:bottom w:val="single" w:sz="4" w:space="0" w:color="auto"/>
            </w:tcBorders>
          </w:tcPr>
          <w:p w14:paraId="0E8BC2EC" w14:textId="77777777" w:rsidR="00C57422" w:rsidRDefault="00C57422" w:rsidP="00A73422">
            <w:pPr>
              <w:rPr>
                <w:rFonts w:ascii="Times New Roman" w:hAnsi="Times New Roman" w:cs="Times New Roman"/>
              </w:rPr>
            </w:pPr>
            <w:r>
              <w:rPr>
                <w:rFonts w:ascii="Times New Roman" w:hAnsi="Times New Roman" w:cs="Times New Roman"/>
              </w:rPr>
              <w:t>Student</w:t>
            </w:r>
          </w:p>
        </w:tc>
        <w:tc>
          <w:tcPr>
            <w:tcW w:w="2590" w:type="dxa"/>
            <w:tcBorders>
              <w:top w:val="single" w:sz="4" w:space="0" w:color="auto"/>
              <w:bottom w:val="single" w:sz="4" w:space="0" w:color="auto"/>
            </w:tcBorders>
          </w:tcPr>
          <w:p w14:paraId="22C18897" w14:textId="77777777" w:rsidR="00C57422" w:rsidRDefault="00C57422" w:rsidP="00A73422">
            <w:pPr>
              <w:rPr>
                <w:rFonts w:ascii="Times New Roman" w:hAnsi="Times New Roman" w:cs="Times New Roman"/>
              </w:rPr>
            </w:pPr>
            <w:r>
              <w:rPr>
                <w:rFonts w:ascii="Times New Roman" w:hAnsi="Times New Roman" w:cs="Times New Roman"/>
              </w:rPr>
              <w:t>Program</w:t>
            </w:r>
          </w:p>
        </w:tc>
      </w:tr>
      <w:tr w:rsidR="00C57422" w14:paraId="5FA5DB84" w14:textId="77777777" w:rsidTr="00FD613B">
        <w:tc>
          <w:tcPr>
            <w:tcW w:w="2590" w:type="dxa"/>
            <w:tcBorders>
              <w:top w:val="single" w:sz="4" w:space="0" w:color="auto"/>
            </w:tcBorders>
          </w:tcPr>
          <w:p w14:paraId="5B3B3E19" w14:textId="77777777" w:rsidR="00C57422" w:rsidRPr="00452D50" w:rsidRDefault="00C57422" w:rsidP="00A73422">
            <w:pPr>
              <w:rPr>
                <w:rFonts w:ascii="Times New Roman" w:hAnsi="Times New Roman" w:cs="Times New Roman"/>
              </w:rPr>
            </w:pPr>
            <w:r w:rsidRPr="00452D50">
              <w:rPr>
                <w:rFonts w:ascii="Times New Roman" w:hAnsi="Times New Roman" w:cs="Times New Roman"/>
                <w:szCs w:val="20"/>
              </w:rPr>
              <w:t>Engagement</w:t>
            </w:r>
          </w:p>
        </w:tc>
        <w:tc>
          <w:tcPr>
            <w:tcW w:w="2590" w:type="dxa"/>
            <w:tcBorders>
              <w:top w:val="single" w:sz="4" w:space="0" w:color="auto"/>
            </w:tcBorders>
          </w:tcPr>
          <w:p w14:paraId="0ACA2CB6" w14:textId="77777777" w:rsidR="00C57422" w:rsidRDefault="00C57422" w:rsidP="00A73422">
            <w:pPr>
              <w:rPr>
                <w:rFonts w:ascii="Times New Roman" w:hAnsi="Times New Roman" w:cs="Times New Roman"/>
              </w:rPr>
            </w:pPr>
            <w:r>
              <w:rPr>
                <w:rFonts w:ascii="Times New Roman" w:hAnsi="Times New Roman" w:cs="Times New Roman"/>
              </w:rPr>
              <w:t>0.04</w:t>
            </w:r>
          </w:p>
        </w:tc>
        <w:tc>
          <w:tcPr>
            <w:tcW w:w="2590" w:type="dxa"/>
            <w:tcBorders>
              <w:top w:val="single" w:sz="4" w:space="0" w:color="auto"/>
            </w:tcBorders>
          </w:tcPr>
          <w:p w14:paraId="0921FD9D" w14:textId="77777777" w:rsidR="00C57422" w:rsidRDefault="00C57422" w:rsidP="00A73422">
            <w:pPr>
              <w:rPr>
                <w:rFonts w:ascii="Times New Roman" w:hAnsi="Times New Roman" w:cs="Times New Roman"/>
              </w:rPr>
            </w:pPr>
            <w:r>
              <w:rPr>
                <w:rFonts w:ascii="Times New Roman" w:hAnsi="Times New Roman" w:cs="Times New Roman"/>
              </w:rPr>
              <w:t>0.44</w:t>
            </w:r>
          </w:p>
        </w:tc>
        <w:tc>
          <w:tcPr>
            <w:tcW w:w="2590" w:type="dxa"/>
            <w:tcBorders>
              <w:top w:val="single" w:sz="4" w:space="0" w:color="auto"/>
            </w:tcBorders>
          </w:tcPr>
          <w:p w14:paraId="780B2C0D" w14:textId="77777777" w:rsidR="00C57422" w:rsidRDefault="00C57422" w:rsidP="00A73422">
            <w:pPr>
              <w:rPr>
                <w:rFonts w:ascii="Times New Roman" w:hAnsi="Times New Roman" w:cs="Times New Roman"/>
              </w:rPr>
            </w:pPr>
            <w:r>
              <w:rPr>
                <w:rFonts w:ascii="Times New Roman" w:hAnsi="Times New Roman" w:cs="Times New Roman"/>
              </w:rPr>
              <w:t>0.01</w:t>
            </w:r>
          </w:p>
        </w:tc>
      </w:tr>
      <w:tr w:rsidR="00C57422" w14:paraId="749D556D" w14:textId="77777777" w:rsidTr="00FD613B">
        <w:tc>
          <w:tcPr>
            <w:tcW w:w="2590" w:type="dxa"/>
          </w:tcPr>
          <w:p w14:paraId="78E34D43" w14:textId="77777777" w:rsidR="00C57422" w:rsidRPr="00452D50" w:rsidRDefault="00C57422" w:rsidP="00A73422">
            <w:pPr>
              <w:rPr>
                <w:rFonts w:ascii="Times New Roman" w:hAnsi="Times New Roman" w:cs="Times New Roman"/>
              </w:rPr>
            </w:pPr>
            <w:r>
              <w:rPr>
                <w:rFonts w:ascii="Times New Roman" w:hAnsi="Times New Roman" w:cs="Times New Roman"/>
                <w:szCs w:val="20"/>
              </w:rPr>
              <w:t>Challenge</w:t>
            </w:r>
          </w:p>
        </w:tc>
        <w:tc>
          <w:tcPr>
            <w:tcW w:w="2590" w:type="dxa"/>
          </w:tcPr>
          <w:p w14:paraId="4317FC46" w14:textId="77777777" w:rsidR="00C57422" w:rsidRDefault="00C57422" w:rsidP="00A73422">
            <w:pPr>
              <w:rPr>
                <w:rFonts w:ascii="Times New Roman" w:hAnsi="Times New Roman" w:cs="Times New Roman"/>
              </w:rPr>
            </w:pPr>
            <w:r>
              <w:rPr>
                <w:rFonts w:ascii="Times New Roman" w:hAnsi="Times New Roman" w:cs="Times New Roman"/>
              </w:rPr>
              <w:t>0.07</w:t>
            </w:r>
          </w:p>
        </w:tc>
        <w:tc>
          <w:tcPr>
            <w:tcW w:w="2590" w:type="dxa"/>
          </w:tcPr>
          <w:p w14:paraId="0A35E9DE" w14:textId="77777777" w:rsidR="00C57422" w:rsidRDefault="00C57422" w:rsidP="00A73422">
            <w:pPr>
              <w:rPr>
                <w:rFonts w:ascii="Times New Roman" w:hAnsi="Times New Roman" w:cs="Times New Roman"/>
              </w:rPr>
            </w:pPr>
            <w:r>
              <w:rPr>
                <w:rFonts w:ascii="Times New Roman" w:hAnsi="Times New Roman" w:cs="Times New Roman"/>
              </w:rPr>
              <w:t>0.37</w:t>
            </w:r>
          </w:p>
        </w:tc>
        <w:tc>
          <w:tcPr>
            <w:tcW w:w="2590" w:type="dxa"/>
          </w:tcPr>
          <w:p w14:paraId="5159945B" w14:textId="77777777" w:rsidR="00C57422" w:rsidRDefault="00C57422" w:rsidP="00A73422">
            <w:pPr>
              <w:rPr>
                <w:rFonts w:ascii="Times New Roman" w:hAnsi="Times New Roman" w:cs="Times New Roman"/>
              </w:rPr>
            </w:pPr>
            <w:r>
              <w:rPr>
                <w:rFonts w:ascii="Times New Roman" w:hAnsi="Times New Roman" w:cs="Times New Roman"/>
              </w:rPr>
              <w:t>0.03</w:t>
            </w:r>
          </w:p>
        </w:tc>
      </w:tr>
      <w:tr w:rsidR="00C57422" w14:paraId="4E674E0A" w14:textId="77777777" w:rsidTr="00FD613B">
        <w:tc>
          <w:tcPr>
            <w:tcW w:w="2590" w:type="dxa"/>
          </w:tcPr>
          <w:p w14:paraId="52E325CA" w14:textId="77777777" w:rsidR="00C57422" w:rsidRPr="00452D50" w:rsidRDefault="00C57422" w:rsidP="00A73422">
            <w:pPr>
              <w:rPr>
                <w:rFonts w:ascii="Times New Roman" w:hAnsi="Times New Roman" w:cs="Times New Roman"/>
              </w:rPr>
            </w:pPr>
            <w:r>
              <w:rPr>
                <w:rFonts w:ascii="Times New Roman" w:hAnsi="Times New Roman" w:cs="Times New Roman"/>
                <w:szCs w:val="20"/>
              </w:rPr>
              <w:t>Relevance</w:t>
            </w:r>
          </w:p>
        </w:tc>
        <w:tc>
          <w:tcPr>
            <w:tcW w:w="2590" w:type="dxa"/>
          </w:tcPr>
          <w:p w14:paraId="6F2DA580" w14:textId="77777777" w:rsidR="00C57422" w:rsidRDefault="00C57422" w:rsidP="00A73422">
            <w:pPr>
              <w:rPr>
                <w:rFonts w:ascii="Times New Roman" w:hAnsi="Times New Roman" w:cs="Times New Roman"/>
              </w:rPr>
            </w:pPr>
            <w:r>
              <w:rPr>
                <w:rFonts w:ascii="Times New Roman" w:hAnsi="Times New Roman" w:cs="Times New Roman"/>
              </w:rPr>
              <w:t>0.02</w:t>
            </w:r>
          </w:p>
        </w:tc>
        <w:tc>
          <w:tcPr>
            <w:tcW w:w="2590" w:type="dxa"/>
          </w:tcPr>
          <w:p w14:paraId="453307A6" w14:textId="77777777" w:rsidR="00C57422" w:rsidRDefault="00C57422" w:rsidP="00A73422">
            <w:pPr>
              <w:rPr>
                <w:rFonts w:ascii="Times New Roman" w:hAnsi="Times New Roman" w:cs="Times New Roman"/>
              </w:rPr>
            </w:pPr>
            <w:r>
              <w:rPr>
                <w:rFonts w:ascii="Times New Roman" w:hAnsi="Times New Roman" w:cs="Times New Roman"/>
              </w:rPr>
              <w:t>0.52</w:t>
            </w:r>
          </w:p>
        </w:tc>
        <w:tc>
          <w:tcPr>
            <w:tcW w:w="2590" w:type="dxa"/>
          </w:tcPr>
          <w:p w14:paraId="51B957BA" w14:textId="77777777" w:rsidR="00C57422" w:rsidRDefault="00C57422" w:rsidP="00A73422">
            <w:pPr>
              <w:rPr>
                <w:rFonts w:ascii="Times New Roman" w:hAnsi="Times New Roman" w:cs="Times New Roman"/>
              </w:rPr>
            </w:pPr>
            <w:r>
              <w:rPr>
                <w:rFonts w:ascii="Times New Roman" w:hAnsi="Times New Roman" w:cs="Times New Roman"/>
              </w:rPr>
              <w:t>0.01</w:t>
            </w:r>
          </w:p>
        </w:tc>
      </w:tr>
      <w:tr w:rsidR="00C57422" w14:paraId="536BFF50" w14:textId="77777777" w:rsidTr="00FD613B">
        <w:tc>
          <w:tcPr>
            <w:tcW w:w="2590" w:type="dxa"/>
          </w:tcPr>
          <w:p w14:paraId="6C29BCCF" w14:textId="77777777" w:rsidR="00C57422" w:rsidRPr="00452D50" w:rsidRDefault="00C57422" w:rsidP="00A73422">
            <w:pPr>
              <w:rPr>
                <w:rFonts w:ascii="Times New Roman" w:hAnsi="Times New Roman" w:cs="Times New Roman"/>
              </w:rPr>
            </w:pPr>
            <w:r>
              <w:rPr>
                <w:rFonts w:ascii="Times New Roman" w:hAnsi="Times New Roman" w:cs="Times New Roman"/>
                <w:szCs w:val="20"/>
              </w:rPr>
              <w:t>Learning</w:t>
            </w:r>
          </w:p>
        </w:tc>
        <w:tc>
          <w:tcPr>
            <w:tcW w:w="2590" w:type="dxa"/>
          </w:tcPr>
          <w:p w14:paraId="183D2F9D" w14:textId="77777777" w:rsidR="00C57422" w:rsidRDefault="00C57422" w:rsidP="00A73422">
            <w:pPr>
              <w:rPr>
                <w:rFonts w:ascii="Times New Roman" w:hAnsi="Times New Roman" w:cs="Times New Roman"/>
              </w:rPr>
            </w:pPr>
            <w:r>
              <w:rPr>
                <w:rFonts w:ascii="Times New Roman" w:hAnsi="Times New Roman" w:cs="Times New Roman"/>
              </w:rPr>
              <w:t>0.02</w:t>
            </w:r>
          </w:p>
        </w:tc>
        <w:tc>
          <w:tcPr>
            <w:tcW w:w="2590" w:type="dxa"/>
          </w:tcPr>
          <w:p w14:paraId="7E58486A" w14:textId="77777777" w:rsidR="00C57422" w:rsidRDefault="00C57422" w:rsidP="00A73422">
            <w:pPr>
              <w:rPr>
                <w:rFonts w:ascii="Times New Roman" w:hAnsi="Times New Roman" w:cs="Times New Roman"/>
              </w:rPr>
            </w:pPr>
            <w:r>
              <w:rPr>
                <w:rFonts w:ascii="Times New Roman" w:hAnsi="Times New Roman" w:cs="Times New Roman"/>
              </w:rPr>
              <w:t>0.35</w:t>
            </w:r>
          </w:p>
        </w:tc>
        <w:tc>
          <w:tcPr>
            <w:tcW w:w="2590" w:type="dxa"/>
          </w:tcPr>
          <w:p w14:paraId="1BDEF50F" w14:textId="77777777" w:rsidR="00C57422" w:rsidRDefault="00C57422" w:rsidP="00A73422">
            <w:pPr>
              <w:rPr>
                <w:rFonts w:ascii="Times New Roman" w:hAnsi="Times New Roman" w:cs="Times New Roman"/>
              </w:rPr>
            </w:pPr>
            <w:r>
              <w:rPr>
                <w:rFonts w:ascii="Times New Roman" w:hAnsi="Times New Roman" w:cs="Times New Roman"/>
              </w:rPr>
              <w:t>&lt; 0.001</w:t>
            </w:r>
          </w:p>
        </w:tc>
      </w:tr>
    </w:tbl>
    <w:p w14:paraId="4B4EA157" w14:textId="77777777" w:rsidR="00C57422" w:rsidRPr="00111E51" w:rsidRDefault="00C57422" w:rsidP="00A73422">
      <w:pPr>
        <w:contextualSpacing/>
        <w:rPr>
          <w:rFonts w:ascii="Times New Roman" w:hAnsi="Times New Roman" w:cs="Times New Roman"/>
        </w:rPr>
      </w:pPr>
    </w:p>
    <w:p w14:paraId="272FD508" w14:textId="4910433D" w:rsidR="00E65E8E" w:rsidRPr="00E65E8E" w:rsidRDefault="001460E9" w:rsidP="00A73422">
      <w:pPr>
        <w:rPr>
          <w:rFonts w:ascii="Times New Roman" w:hAnsi="Times New Roman" w:cs="Times New Roman"/>
          <w:b/>
        </w:rPr>
      </w:pPr>
      <w:r>
        <w:rPr>
          <w:rFonts w:ascii="Times New Roman" w:hAnsi="Times New Roman" w:cs="Times New Roman"/>
          <w:b/>
        </w:rPr>
        <w:t>How</w:t>
      </w:r>
      <w:r w:rsidR="00E65E8E" w:rsidRPr="00E65E8E">
        <w:rPr>
          <w:rFonts w:ascii="Times New Roman" w:hAnsi="Times New Roman" w:cs="Times New Roman"/>
          <w:b/>
        </w:rPr>
        <w:t xml:space="preserve"> </w:t>
      </w:r>
      <w:r>
        <w:rPr>
          <w:rFonts w:ascii="Times New Roman" w:hAnsi="Times New Roman" w:cs="Times New Roman"/>
          <w:b/>
        </w:rPr>
        <w:t>Y</w:t>
      </w:r>
      <w:r w:rsidR="00E65E8E" w:rsidRPr="00E65E8E">
        <w:rPr>
          <w:rFonts w:ascii="Times New Roman" w:hAnsi="Times New Roman" w:cs="Times New Roman"/>
          <w:b/>
        </w:rPr>
        <w:t xml:space="preserve">outh </w:t>
      </w:r>
      <w:r>
        <w:rPr>
          <w:rFonts w:ascii="Times New Roman" w:hAnsi="Times New Roman" w:cs="Times New Roman"/>
          <w:b/>
        </w:rPr>
        <w:t>E</w:t>
      </w:r>
      <w:r w:rsidR="00E65E8E" w:rsidRPr="00E65E8E">
        <w:rPr>
          <w:rFonts w:ascii="Times New Roman" w:hAnsi="Times New Roman" w:cs="Times New Roman"/>
          <w:b/>
        </w:rPr>
        <w:t xml:space="preserve">xperiences of </w:t>
      </w:r>
      <w:r>
        <w:rPr>
          <w:rFonts w:ascii="Times New Roman" w:hAnsi="Times New Roman" w:cs="Times New Roman"/>
          <w:b/>
        </w:rPr>
        <w:t>C</w:t>
      </w:r>
      <w:r w:rsidR="00E65E8E" w:rsidRPr="00E65E8E">
        <w:rPr>
          <w:rFonts w:ascii="Times New Roman" w:hAnsi="Times New Roman" w:cs="Times New Roman"/>
          <w:b/>
        </w:rPr>
        <w:t xml:space="preserve">hallenge, </w:t>
      </w:r>
      <w:r>
        <w:rPr>
          <w:rFonts w:ascii="Times New Roman" w:hAnsi="Times New Roman" w:cs="Times New Roman"/>
          <w:b/>
        </w:rPr>
        <w:t>R</w:t>
      </w:r>
      <w:r w:rsidR="00E65E8E" w:rsidRPr="00E65E8E">
        <w:rPr>
          <w:rFonts w:ascii="Times New Roman" w:hAnsi="Times New Roman" w:cs="Times New Roman"/>
          <w:b/>
        </w:rPr>
        <w:t xml:space="preserve">elevance, and </w:t>
      </w:r>
      <w:r>
        <w:rPr>
          <w:rFonts w:ascii="Times New Roman" w:hAnsi="Times New Roman" w:cs="Times New Roman"/>
          <w:b/>
        </w:rPr>
        <w:t>L</w:t>
      </w:r>
      <w:r w:rsidR="00E65E8E" w:rsidRPr="00E65E8E">
        <w:rPr>
          <w:rFonts w:ascii="Times New Roman" w:hAnsi="Times New Roman" w:cs="Times New Roman"/>
          <w:b/>
        </w:rPr>
        <w:t xml:space="preserve">earning </w:t>
      </w:r>
      <w:r>
        <w:rPr>
          <w:rFonts w:ascii="Times New Roman" w:hAnsi="Times New Roman" w:cs="Times New Roman"/>
          <w:b/>
        </w:rPr>
        <w:t>are</w:t>
      </w:r>
      <w:r w:rsidR="00E65E8E" w:rsidRPr="00E65E8E">
        <w:rPr>
          <w:rFonts w:ascii="Times New Roman" w:hAnsi="Times New Roman" w:cs="Times New Roman"/>
          <w:b/>
        </w:rPr>
        <w:t xml:space="preserve"> </w:t>
      </w:r>
      <w:r>
        <w:rPr>
          <w:rFonts w:ascii="Times New Roman" w:hAnsi="Times New Roman" w:cs="Times New Roman"/>
          <w:b/>
        </w:rPr>
        <w:t>R</w:t>
      </w:r>
      <w:r w:rsidR="00E65E8E" w:rsidRPr="00E65E8E">
        <w:rPr>
          <w:rFonts w:ascii="Times New Roman" w:hAnsi="Times New Roman" w:cs="Times New Roman"/>
          <w:b/>
        </w:rPr>
        <w:t xml:space="preserve">elated to </w:t>
      </w:r>
      <w:r>
        <w:rPr>
          <w:rFonts w:ascii="Times New Roman" w:hAnsi="Times New Roman" w:cs="Times New Roman"/>
          <w:b/>
        </w:rPr>
        <w:t>E</w:t>
      </w:r>
      <w:r w:rsidR="00E65E8E" w:rsidRPr="00E65E8E">
        <w:rPr>
          <w:rFonts w:ascii="Times New Roman" w:hAnsi="Times New Roman" w:cs="Times New Roman"/>
          <w:b/>
        </w:rPr>
        <w:t>ngagement</w:t>
      </w:r>
      <w:r w:rsidR="00840BCC">
        <w:rPr>
          <w:rFonts w:ascii="Times New Roman" w:hAnsi="Times New Roman" w:cs="Times New Roman"/>
          <w:b/>
        </w:rPr>
        <w:t>,</w:t>
      </w:r>
      <w:r w:rsidR="00E65E8E" w:rsidRPr="00E65E8E">
        <w:rPr>
          <w:rFonts w:ascii="Times New Roman" w:hAnsi="Times New Roman" w:cs="Times New Roman"/>
          <w:b/>
        </w:rPr>
        <w:t xml:space="preserve"> and the </w:t>
      </w:r>
      <w:r w:rsidR="00840BCC">
        <w:rPr>
          <w:rFonts w:ascii="Times New Roman" w:hAnsi="Times New Roman" w:cs="Times New Roman"/>
          <w:b/>
        </w:rPr>
        <w:t>R</w:t>
      </w:r>
      <w:r w:rsidR="00E65E8E" w:rsidRPr="00E65E8E">
        <w:rPr>
          <w:rFonts w:ascii="Times New Roman" w:hAnsi="Times New Roman" w:cs="Times New Roman"/>
          <w:b/>
        </w:rPr>
        <w:t xml:space="preserve">ole of </w:t>
      </w:r>
      <w:r w:rsidR="00F84719">
        <w:rPr>
          <w:rFonts w:ascii="Times New Roman" w:hAnsi="Times New Roman" w:cs="Times New Roman"/>
          <w:b/>
        </w:rPr>
        <w:t>Gender and Perceived Competence</w:t>
      </w:r>
      <w:r w:rsidR="00E65E8E" w:rsidRPr="00E65E8E">
        <w:rPr>
          <w:rFonts w:ascii="Times New Roman" w:hAnsi="Times New Roman" w:cs="Times New Roman"/>
          <w:b/>
        </w:rPr>
        <w:t xml:space="preserve"> </w:t>
      </w:r>
    </w:p>
    <w:p w14:paraId="64FF6279" w14:textId="77777777" w:rsidR="001869E0" w:rsidRDefault="00B46351" w:rsidP="00A73422">
      <w:pPr>
        <w:ind w:firstLine="720"/>
        <w:contextualSpacing/>
        <w:rPr>
          <w:rFonts w:ascii="Times New Roman" w:hAnsi="Times New Roman" w:cs="Times New Roman"/>
        </w:rPr>
      </w:pPr>
      <w:r w:rsidRPr="003D3598">
        <w:rPr>
          <w:rFonts w:ascii="Times New Roman" w:hAnsi="Times New Roman" w:cs="Times New Roman"/>
        </w:rPr>
        <w:t xml:space="preserve">Table </w:t>
      </w:r>
      <w:r w:rsidR="001F12F1">
        <w:rPr>
          <w:rFonts w:ascii="Times New Roman" w:hAnsi="Times New Roman" w:cs="Times New Roman"/>
        </w:rPr>
        <w:t>5</w:t>
      </w:r>
      <w:r w:rsidRPr="003D3598">
        <w:rPr>
          <w:rFonts w:ascii="Times New Roman" w:hAnsi="Times New Roman" w:cs="Times New Roman"/>
        </w:rPr>
        <w:t xml:space="preserve"> presents results of the </w:t>
      </w:r>
      <w:r w:rsidR="00D47739">
        <w:rPr>
          <w:rFonts w:ascii="Times New Roman" w:hAnsi="Times New Roman" w:cs="Times New Roman"/>
        </w:rPr>
        <w:t xml:space="preserve">final </w:t>
      </w:r>
      <w:r w:rsidR="004468DD" w:rsidRPr="003D3598">
        <w:rPr>
          <w:rFonts w:ascii="Times New Roman" w:hAnsi="Times New Roman" w:cs="Times New Roman"/>
        </w:rPr>
        <w:t>cross-classified random effects</w:t>
      </w:r>
      <w:r w:rsidRPr="003D3598">
        <w:rPr>
          <w:rFonts w:ascii="Times New Roman" w:hAnsi="Times New Roman" w:cs="Times New Roman"/>
        </w:rPr>
        <w:t xml:space="preserve"> model examining associations between youth characteristics (gender, initial competence beliefs), momentary conditions (challenge, relevance, learning), and momentary engagement</w:t>
      </w:r>
      <w:r w:rsidR="00D47739">
        <w:rPr>
          <w:rFonts w:ascii="Times New Roman" w:hAnsi="Times New Roman" w:cs="Times New Roman"/>
        </w:rPr>
        <w:t xml:space="preserve"> (see Table S1for results model building that resulted in this final model)</w:t>
      </w:r>
      <w:r w:rsidR="00F0443F" w:rsidRPr="003D3598">
        <w:rPr>
          <w:rFonts w:ascii="Times New Roman" w:hAnsi="Times New Roman" w:cs="Times New Roman"/>
        </w:rPr>
        <w:t>.</w:t>
      </w:r>
    </w:p>
    <w:p w14:paraId="2479E6A2" w14:textId="77777777" w:rsidR="00161876" w:rsidRDefault="00161876" w:rsidP="00A73422">
      <w:pPr>
        <w:rPr>
          <w:rFonts w:ascii="Times New Roman" w:hAnsi="Times New Roman" w:cs="Times New Roman"/>
        </w:rPr>
      </w:pPr>
    </w:p>
    <w:p w14:paraId="2393044E" w14:textId="28035FAB" w:rsidR="001869E0" w:rsidRPr="00DB3561" w:rsidRDefault="001869E0" w:rsidP="00A73422">
      <w:pPr>
        <w:rPr>
          <w:rFonts w:ascii="Times New Roman" w:hAnsi="Times New Roman" w:cs="Times New Roman"/>
        </w:rPr>
      </w:pPr>
      <w:r w:rsidRPr="003D3598">
        <w:rPr>
          <w:rFonts w:ascii="Times New Roman" w:hAnsi="Times New Roman" w:cs="Times New Roman"/>
        </w:rPr>
        <w:t xml:space="preserve">Table </w:t>
      </w:r>
      <w:r>
        <w:rPr>
          <w:rFonts w:ascii="Times New Roman" w:hAnsi="Times New Roman" w:cs="Times New Roman"/>
        </w:rPr>
        <w:t>5</w:t>
      </w:r>
    </w:p>
    <w:p w14:paraId="5A18EA18" w14:textId="77777777" w:rsidR="001869E0" w:rsidRPr="003D3598" w:rsidRDefault="001869E0" w:rsidP="00A73422">
      <w:pPr>
        <w:rPr>
          <w:rFonts w:ascii="Times New Roman" w:hAnsi="Times New Roman" w:cs="Times New Roman"/>
          <w:i/>
        </w:rPr>
      </w:pPr>
      <w:r w:rsidRPr="00B62186">
        <w:rPr>
          <w:rFonts w:ascii="Times New Roman" w:hAnsi="Times New Roman" w:cs="Times New Roman"/>
          <w:i/>
        </w:rPr>
        <w:t>Results of Cross-</w:t>
      </w:r>
      <w:r w:rsidRPr="00EE39D7">
        <w:rPr>
          <w:rFonts w:ascii="Times New Roman" w:hAnsi="Times New Roman" w:cs="Times New Roman"/>
          <w:i/>
        </w:rPr>
        <w:t xml:space="preserve">Classified, Random Effects Model </w:t>
      </w:r>
      <w:r>
        <w:rPr>
          <w:rFonts w:ascii="Times New Roman" w:hAnsi="Times New Roman" w:cs="Times New Roman"/>
          <w:i/>
        </w:rPr>
        <w:t>Examining</w:t>
      </w:r>
      <w:r w:rsidRPr="00EE39D7">
        <w:rPr>
          <w:rFonts w:ascii="Times New Roman" w:hAnsi="Times New Roman" w:cs="Times New Roman"/>
          <w:i/>
        </w:rPr>
        <w:t xml:space="preserve"> Relatio</w:t>
      </w:r>
      <w:r w:rsidRPr="00011528">
        <w:rPr>
          <w:rFonts w:ascii="Times New Roman" w:hAnsi="Times New Roman" w:cs="Times New Roman"/>
          <w:i/>
        </w:rPr>
        <w:t>n</w:t>
      </w:r>
      <w:r w:rsidRPr="0053704D">
        <w:rPr>
          <w:rFonts w:ascii="Times New Roman" w:hAnsi="Times New Roman" w:cs="Times New Roman"/>
          <w:i/>
        </w:rPr>
        <w:t xml:space="preserve">s </w:t>
      </w:r>
      <w:r w:rsidRPr="00111E51">
        <w:rPr>
          <w:rFonts w:ascii="Times New Roman" w:hAnsi="Times New Roman" w:cs="Times New Roman"/>
          <w:i/>
        </w:rPr>
        <w:t>Between</w:t>
      </w:r>
      <w:r w:rsidRPr="00921F21">
        <w:rPr>
          <w:rFonts w:ascii="Times New Roman" w:hAnsi="Times New Roman" w:cs="Times New Roman"/>
          <w:i/>
        </w:rPr>
        <w:t xml:space="preserve"> </w:t>
      </w:r>
      <w:r w:rsidRPr="003D3598">
        <w:rPr>
          <w:rFonts w:ascii="Times New Roman" w:hAnsi="Times New Roman" w:cs="Times New Roman"/>
          <w:i/>
        </w:rPr>
        <w:t>Perceptions of Challenge, Relevance, Learning and Engagement</w:t>
      </w:r>
    </w:p>
    <w:tbl>
      <w:tblPr>
        <w:tblStyle w:val="TableGrid"/>
        <w:tblpPr w:leftFromText="180" w:rightFromText="180" w:vertAnchor="text" w:tblpY="1"/>
        <w:tblOverlap w:val="never"/>
        <w:tblW w:w="0" w:type="auto"/>
        <w:tblLook w:val="04A0" w:firstRow="1" w:lastRow="0" w:firstColumn="1" w:lastColumn="0" w:noHBand="0" w:noVBand="1"/>
      </w:tblPr>
      <w:tblGrid>
        <w:gridCol w:w="3618"/>
        <w:gridCol w:w="876"/>
        <w:gridCol w:w="1902"/>
      </w:tblGrid>
      <w:tr w:rsidR="001869E0" w:rsidRPr="003D3598" w14:paraId="46706423" w14:textId="77777777" w:rsidTr="00FD613B">
        <w:tc>
          <w:tcPr>
            <w:tcW w:w="3618" w:type="dxa"/>
            <w:tcBorders>
              <w:top w:val="single" w:sz="12" w:space="0" w:color="auto"/>
              <w:left w:val="nil"/>
              <w:bottom w:val="nil"/>
              <w:right w:val="nil"/>
            </w:tcBorders>
          </w:tcPr>
          <w:p w14:paraId="08D978AF" w14:textId="77777777" w:rsidR="001869E0" w:rsidRPr="003D3598" w:rsidRDefault="001869E0" w:rsidP="00A73422">
            <w:pPr>
              <w:rPr>
                <w:rFonts w:ascii="Times New Roman" w:hAnsi="Times New Roman" w:cs="Times New Roman"/>
              </w:rPr>
            </w:pPr>
          </w:p>
        </w:tc>
        <w:tc>
          <w:tcPr>
            <w:tcW w:w="2778" w:type="dxa"/>
            <w:gridSpan w:val="2"/>
            <w:tcBorders>
              <w:top w:val="single" w:sz="12" w:space="0" w:color="auto"/>
              <w:left w:val="nil"/>
              <w:bottom w:val="single" w:sz="12" w:space="0" w:color="auto"/>
              <w:right w:val="nil"/>
            </w:tcBorders>
          </w:tcPr>
          <w:p w14:paraId="19F77C83"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Model 1</w:t>
            </w:r>
          </w:p>
        </w:tc>
      </w:tr>
      <w:tr w:rsidR="001869E0" w:rsidRPr="003D3598" w14:paraId="5670413F" w14:textId="77777777" w:rsidTr="00FD613B">
        <w:tc>
          <w:tcPr>
            <w:tcW w:w="3618" w:type="dxa"/>
            <w:tcBorders>
              <w:top w:val="single" w:sz="12" w:space="0" w:color="auto"/>
              <w:left w:val="nil"/>
              <w:bottom w:val="nil"/>
              <w:right w:val="nil"/>
            </w:tcBorders>
          </w:tcPr>
          <w:p w14:paraId="60BE758B" w14:textId="77777777" w:rsidR="001869E0" w:rsidRPr="003D3598" w:rsidRDefault="001869E0" w:rsidP="00A73422">
            <w:pPr>
              <w:rPr>
                <w:rFonts w:ascii="Times New Roman" w:hAnsi="Times New Roman" w:cs="Times New Roman"/>
              </w:rPr>
            </w:pPr>
          </w:p>
        </w:tc>
        <w:tc>
          <w:tcPr>
            <w:tcW w:w="2778" w:type="dxa"/>
            <w:gridSpan w:val="2"/>
            <w:tcBorders>
              <w:top w:val="single" w:sz="12" w:space="0" w:color="auto"/>
              <w:left w:val="nil"/>
              <w:bottom w:val="single" w:sz="12" w:space="0" w:color="auto"/>
              <w:right w:val="nil"/>
            </w:tcBorders>
          </w:tcPr>
          <w:p w14:paraId="05B045BE" w14:textId="77777777" w:rsidR="001869E0" w:rsidRPr="003D0A5C" w:rsidRDefault="001869E0" w:rsidP="00A73422">
            <w:pPr>
              <w:jc w:val="center"/>
              <w:rPr>
                <w:rFonts w:ascii="Times New Roman" w:hAnsi="Times New Roman" w:cs="Times New Roman"/>
              </w:rPr>
            </w:pPr>
            <w:r>
              <w:rPr>
                <w:rFonts w:ascii="Times New Roman" w:hAnsi="Times New Roman" w:cs="Times New Roman"/>
              </w:rPr>
              <w:t xml:space="preserve">Outcome: </w:t>
            </w:r>
            <w:r w:rsidRPr="003D0A5C">
              <w:rPr>
                <w:rFonts w:ascii="Times New Roman" w:hAnsi="Times New Roman" w:cs="Times New Roman"/>
              </w:rPr>
              <w:t>Engagement</w:t>
            </w:r>
          </w:p>
        </w:tc>
      </w:tr>
      <w:tr w:rsidR="001869E0" w:rsidRPr="003D3598" w14:paraId="161F14CD" w14:textId="77777777" w:rsidTr="00FD613B">
        <w:tc>
          <w:tcPr>
            <w:tcW w:w="3618" w:type="dxa"/>
            <w:tcBorders>
              <w:top w:val="nil"/>
              <w:left w:val="nil"/>
              <w:bottom w:val="single" w:sz="12" w:space="0" w:color="000000"/>
              <w:right w:val="nil"/>
            </w:tcBorders>
          </w:tcPr>
          <w:p w14:paraId="2B83E2B5" w14:textId="77777777" w:rsidR="001869E0" w:rsidRPr="003D0A5C" w:rsidRDefault="001869E0" w:rsidP="00A73422">
            <w:pPr>
              <w:rPr>
                <w:rFonts w:ascii="Times New Roman" w:hAnsi="Times New Roman" w:cs="Times New Roman"/>
                <w:i/>
              </w:rPr>
            </w:pPr>
            <w:r w:rsidRPr="003D3598">
              <w:rPr>
                <w:rFonts w:ascii="Times New Roman" w:hAnsi="Times New Roman" w:cs="Times New Roman"/>
                <w:i/>
              </w:rPr>
              <w:t>Fixed Effects</w:t>
            </w:r>
          </w:p>
        </w:tc>
        <w:tc>
          <w:tcPr>
            <w:tcW w:w="876" w:type="dxa"/>
            <w:tcBorders>
              <w:top w:val="single" w:sz="12" w:space="0" w:color="auto"/>
              <w:left w:val="nil"/>
              <w:bottom w:val="single" w:sz="12" w:space="0" w:color="000000"/>
              <w:right w:val="nil"/>
            </w:tcBorders>
          </w:tcPr>
          <w:p w14:paraId="7D9D04E7" w14:textId="77777777" w:rsidR="001869E0" w:rsidRPr="00E12A75" w:rsidRDefault="001869E0" w:rsidP="00A73422">
            <w:pPr>
              <w:jc w:val="center"/>
              <w:rPr>
                <w:rFonts w:ascii="Times New Roman" w:hAnsi="Times New Roman" w:cs="Times New Roman"/>
                <w:i/>
              </w:rPr>
            </w:pPr>
            <w:r w:rsidRPr="00DB3561">
              <w:rPr>
                <w:rFonts w:ascii="Times New Roman" w:hAnsi="Times New Roman" w:cs="Times New Roman"/>
                <w:i/>
              </w:rPr>
              <w:t>B</w:t>
            </w:r>
            <w:r>
              <w:rPr>
                <w:rFonts w:ascii="Times New Roman" w:hAnsi="Times New Roman" w:cs="Times New Roman"/>
                <w:i/>
              </w:rPr>
              <w:t xml:space="preserve"> (SE)</w:t>
            </w:r>
          </w:p>
        </w:tc>
        <w:tc>
          <w:tcPr>
            <w:tcW w:w="1902" w:type="dxa"/>
            <w:tcBorders>
              <w:top w:val="single" w:sz="12" w:space="0" w:color="auto"/>
              <w:left w:val="nil"/>
              <w:bottom w:val="single" w:sz="12" w:space="0" w:color="000000"/>
              <w:right w:val="nil"/>
            </w:tcBorders>
          </w:tcPr>
          <w:p w14:paraId="0BD2193E" w14:textId="77777777" w:rsidR="001869E0" w:rsidRPr="00B62186" w:rsidRDefault="001869E0" w:rsidP="00A73422">
            <w:pPr>
              <w:jc w:val="center"/>
              <w:rPr>
                <w:rFonts w:ascii="Times New Roman" w:hAnsi="Times New Roman" w:cs="Times New Roman"/>
                <w:i/>
              </w:rPr>
            </w:pPr>
            <w:r>
              <w:rPr>
                <w:rFonts w:ascii="Times New Roman" w:hAnsi="Times New Roman" w:cs="Times New Roman"/>
                <w:i/>
              </w:rPr>
              <w:t>d</w:t>
            </w:r>
          </w:p>
        </w:tc>
      </w:tr>
      <w:tr w:rsidR="001869E0" w:rsidRPr="003D3598" w14:paraId="2F6C028E" w14:textId="77777777" w:rsidTr="00FD613B">
        <w:trPr>
          <w:trHeight w:val="234"/>
        </w:trPr>
        <w:tc>
          <w:tcPr>
            <w:tcW w:w="3618" w:type="dxa"/>
            <w:tcBorders>
              <w:top w:val="single" w:sz="12" w:space="0" w:color="000000"/>
              <w:left w:val="nil"/>
              <w:bottom w:val="nil"/>
              <w:right w:val="nil"/>
            </w:tcBorders>
          </w:tcPr>
          <w:p w14:paraId="416DB591" w14:textId="77777777" w:rsidR="001869E0" w:rsidRPr="003D3598" w:rsidRDefault="001869E0" w:rsidP="00A73422">
            <w:pPr>
              <w:rPr>
                <w:rFonts w:ascii="Times New Roman" w:hAnsi="Times New Roman" w:cs="Times New Roman"/>
              </w:rPr>
            </w:pPr>
            <w:r w:rsidRPr="003D3598">
              <w:rPr>
                <w:rFonts w:ascii="Times New Roman" w:hAnsi="Times New Roman" w:cs="Times New Roman"/>
              </w:rPr>
              <w:t xml:space="preserve">Intercept, </w:t>
            </w:r>
            <m:oMath>
              <m:r>
                <w:rPr>
                  <w:rFonts w:ascii="Cambria Math" w:hAnsi="Cambria Math" w:cs="Times New Roman"/>
                </w:rPr>
                <m:t>β</m:t>
              </m:r>
            </m:oMath>
            <w:r w:rsidRPr="003D3598">
              <w:rPr>
                <w:rFonts w:ascii="Times New Roman" w:hAnsi="Times New Roman" w:cs="Times New Roman"/>
                <w:vertAlign w:val="subscript"/>
              </w:rPr>
              <w:t>00</w:t>
            </w:r>
          </w:p>
        </w:tc>
        <w:tc>
          <w:tcPr>
            <w:tcW w:w="876" w:type="dxa"/>
            <w:tcBorders>
              <w:top w:val="single" w:sz="12" w:space="0" w:color="000000"/>
              <w:left w:val="nil"/>
              <w:bottom w:val="nil"/>
              <w:right w:val="nil"/>
            </w:tcBorders>
          </w:tcPr>
          <w:p w14:paraId="28DB6540"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2.89</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.07</w:t>
            </w:r>
            <w:r>
              <w:rPr>
                <w:rFonts w:ascii="Times New Roman" w:hAnsi="Times New Roman" w:cs="Times New Roman"/>
              </w:rPr>
              <w:t>)</w:t>
            </w:r>
          </w:p>
        </w:tc>
        <w:tc>
          <w:tcPr>
            <w:tcW w:w="1902" w:type="dxa"/>
            <w:tcBorders>
              <w:top w:val="single" w:sz="12" w:space="0" w:color="000000"/>
              <w:left w:val="nil"/>
              <w:bottom w:val="nil"/>
              <w:right w:val="nil"/>
            </w:tcBorders>
          </w:tcPr>
          <w:p w14:paraId="03C81F78" w14:textId="77777777" w:rsidR="001869E0" w:rsidRPr="003D3598" w:rsidRDefault="001869E0" w:rsidP="00A73422">
            <w:pPr>
              <w:jc w:val="center"/>
              <w:rPr>
                <w:rFonts w:ascii="Times New Roman" w:hAnsi="Times New Roman" w:cs="Times New Roman"/>
              </w:rPr>
            </w:pPr>
          </w:p>
        </w:tc>
      </w:tr>
      <w:tr w:rsidR="001869E0" w:rsidRPr="003D3598" w14:paraId="73534292" w14:textId="77777777" w:rsidTr="00FD613B">
        <w:trPr>
          <w:trHeight w:val="396"/>
        </w:trPr>
        <w:tc>
          <w:tcPr>
            <w:tcW w:w="3618" w:type="dxa"/>
            <w:tcBorders>
              <w:top w:val="nil"/>
              <w:left w:val="nil"/>
              <w:bottom w:val="nil"/>
              <w:right w:val="nil"/>
            </w:tcBorders>
          </w:tcPr>
          <w:p w14:paraId="5DAAD1C2" w14:textId="77777777" w:rsidR="001869E0" w:rsidRPr="003D3598" w:rsidRDefault="001869E0" w:rsidP="00A73422">
            <w:pPr>
              <w:ind w:firstLine="360"/>
              <w:rPr>
                <w:rFonts w:ascii="Times New Roman" w:hAnsi="Times New Roman" w:cs="Times New Roman"/>
              </w:rPr>
            </w:pPr>
            <w:r w:rsidRPr="003D3598">
              <w:rPr>
                <w:rFonts w:ascii="Times New Roman" w:hAnsi="Times New Roman" w:cs="Times New Roman"/>
              </w:rPr>
              <w:t xml:space="preserve">Initial </w:t>
            </w:r>
            <w:r w:rsidRPr="003D0A5C">
              <w:rPr>
                <w:rFonts w:ascii="Times New Roman" w:hAnsi="Times New Roman" w:cs="Times New Roman"/>
              </w:rPr>
              <w:t xml:space="preserve">Competence Beliefs, </w:t>
            </w:r>
            <m:oMath>
              <m:r>
                <w:rPr>
                  <w:rFonts w:ascii="Cambria Math" w:hAnsi="Cambria Math" w:cs="Times New Roman"/>
                </w:rPr>
                <m:t>β</m:t>
              </m:r>
            </m:oMath>
            <w:r w:rsidRPr="003D3598">
              <w:rPr>
                <w:rFonts w:ascii="Times New Roman" w:hAnsi="Times New Roman" w:cs="Times New Roman"/>
                <w:vertAlign w:val="subscript"/>
              </w:rPr>
              <w:t>01</w:t>
            </w:r>
          </w:p>
        </w:tc>
        <w:tc>
          <w:tcPr>
            <w:tcW w:w="876" w:type="dxa"/>
            <w:tcBorders>
              <w:top w:val="nil"/>
              <w:left w:val="nil"/>
              <w:bottom w:val="nil"/>
              <w:right w:val="nil"/>
            </w:tcBorders>
          </w:tcPr>
          <w:p w14:paraId="7D3DE6F3"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6)</w:t>
            </w:r>
          </w:p>
        </w:tc>
        <w:tc>
          <w:tcPr>
            <w:tcW w:w="1902" w:type="dxa"/>
            <w:tcBorders>
              <w:top w:val="nil"/>
              <w:left w:val="nil"/>
              <w:bottom w:val="nil"/>
              <w:right w:val="nil"/>
            </w:tcBorders>
          </w:tcPr>
          <w:p w14:paraId="4AD1F28F"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0.26</w:t>
            </w:r>
          </w:p>
        </w:tc>
      </w:tr>
      <w:tr w:rsidR="001869E0" w:rsidRPr="003D3598" w14:paraId="77D1810C" w14:textId="77777777" w:rsidTr="00FD613B">
        <w:trPr>
          <w:trHeight w:val="432"/>
        </w:trPr>
        <w:tc>
          <w:tcPr>
            <w:tcW w:w="3618" w:type="dxa"/>
            <w:tcBorders>
              <w:top w:val="nil"/>
              <w:left w:val="nil"/>
              <w:bottom w:val="nil"/>
              <w:right w:val="nil"/>
            </w:tcBorders>
          </w:tcPr>
          <w:p w14:paraId="5C2DC716" w14:textId="77777777" w:rsidR="001869E0" w:rsidRPr="003D3598" w:rsidRDefault="001869E0" w:rsidP="00A73422">
            <w:pPr>
              <w:ind w:firstLine="360"/>
              <w:rPr>
                <w:rFonts w:ascii="Times New Roman" w:eastAsiaTheme="majorEastAsia" w:hAnsi="Times New Roman" w:cs="Times New Roman"/>
                <w:b/>
                <w:bCs/>
                <w:color w:val="4F81BD" w:themeColor="accent1"/>
              </w:rPr>
            </w:pPr>
            <w:r w:rsidRPr="003D3598">
              <w:rPr>
                <w:rFonts w:ascii="Times New Roman" w:hAnsi="Times New Roman" w:cs="Times New Roman"/>
              </w:rPr>
              <w:t xml:space="preserve">Female, </w:t>
            </w:r>
            <m:oMath>
              <m:r>
                <w:rPr>
                  <w:rFonts w:ascii="Cambria Math" w:hAnsi="Cambria Math" w:cs="Times New Roman"/>
                </w:rPr>
                <m:t>β</m:t>
              </m:r>
            </m:oMath>
            <w:r w:rsidRPr="003D3598">
              <w:rPr>
                <w:rFonts w:ascii="Times New Roman" w:hAnsi="Times New Roman" w:cs="Times New Roman"/>
                <w:vertAlign w:val="subscript"/>
              </w:rPr>
              <w:t>02</w:t>
            </w:r>
          </w:p>
        </w:tc>
        <w:tc>
          <w:tcPr>
            <w:tcW w:w="876" w:type="dxa"/>
            <w:tcBorders>
              <w:top w:val="nil"/>
              <w:left w:val="nil"/>
              <w:bottom w:val="nil"/>
              <w:right w:val="nil"/>
            </w:tcBorders>
          </w:tcPr>
          <w:p w14:paraId="633B6E22"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9)</w:t>
            </w:r>
          </w:p>
        </w:tc>
        <w:tc>
          <w:tcPr>
            <w:tcW w:w="1902" w:type="dxa"/>
            <w:tcBorders>
              <w:top w:val="nil"/>
              <w:left w:val="nil"/>
              <w:bottom w:val="nil"/>
              <w:right w:val="nil"/>
            </w:tcBorders>
          </w:tcPr>
          <w:p w14:paraId="79FCF1B4"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0.13</w:t>
            </w:r>
          </w:p>
        </w:tc>
      </w:tr>
      <w:tr w:rsidR="001869E0" w:rsidRPr="003D3598" w14:paraId="259ED195" w14:textId="77777777" w:rsidTr="00FD613B">
        <w:trPr>
          <w:trHeight w:val="207"/>
        </w:trPr>
        <w:tc>
          <w:tcPr>
            <w:tcW w:w="3618" w:type="dxa"/>
            <w:tcBorders>
              <w:top w:val="nil"/>
              <w:left w:val="nil"/>
              <w:bottom w:val="nil"/>
              <w:right w:val="nil"/>
            </w:tcBorders>
          </w:tcPr>
          <w:p w14:paraId="3B509089" w14:textId="77777777" w:rsidR="001869E0" w:rsidRPr="003D3598" w:rsidRDefault="001869E0" w:rsidP="00A73422">
            <w:pPr>
              <w:rPr>
                <w:rFonts w:ascii="Times New Roman" w:hAnsi="Times New Roman" w:cs="Times New Roman"/>
              </w:rPr>
            </w:pPr>
            <w:r w:rsidRPr="003D3598">
              <w:rPr>
                <w:rFonts w:ascii="Times New Roman" w:hAnsi="Times New Roman" w:cs="Times New Roman"/>
              </w:rPr>
              <w:t>Challenge</w:t>
            </w:r>
            <w:r w:rsidRPr="003D0A5C">
              <w:rPr>
                <w:rFonts w:ascii="Times New Roman" w:hAnsi="Times New Roman" w:cs="Times New Roman"/>
              </w:rPr>
              <w:t xml:space="preserve"> Slope, </w:t>
            </w:r>
            <m:oMath>
              <m:r>
                <w:rPr>
                  <w:rFonts w:ascii="Cambria Math" w:hAnsi="Cambria Math" w:cs="Times New Roman"/>
                </w:rPr>
                <m:t>β</m:t>
              </m:r>
            </m:oMath>
            <w:r w:rsidRPr="003D3598">
              <w:rPr>
                <w:rFonts w:ascii="Times New Roman" w:hAnsi="Times New Roman" w:cs="Times New Roman"/>
                <w:vertAlign w:val="subscript"/>
              </w:rPr>
              <w:t>10</w:t>
            </w:r>
          </w:p>
        </w:tc>
        <w:tc>
          <w:tcPr>
            <w:tcW w:w="876" w:type="dxa"/>
            <w:tcBorders>
              <w:top w:val="nil"/>
              <w:left w:val="nil"/>
              <w:bottom w:val="nil"/>
              <w:right w:val="nil"/>
            </w:tcBorders>
          </w:tcPr>
          <w:p w14:paraId="1CC5B642"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0.07</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c>
          <w:tcPr>
            <w:tcW w:w="1902" w:type="dxa"/>
            <w:tcBorders>
              <w:top w:val="nil"/>
              <w:left w:val="nil"/>
              <w:bottom w:val="nil"/>
              <w:right w:val="nil"/>
            </w:tcBorders>
          </w:tcPr>
          <w:p w14:paraId="67EDB753"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0.16</w:t>
            </w:r>
          </w:p>
        </w:tc>
      </w:tr>
      <w:tr w:rsidR="001869E0" w:rsidRPr="003D3598" w14:paraId="0082AA0F" w14:textId="77777777" w:rsidTr="00FD613B">
        <w:trPr>
          <w:trHeight w:val="235"/>
        </w:trPr>
        <w:tc>
          <w:tcPr>
            <w:tcW w:w="3618" w:type="dxa"/>
            <w:tcBorders>
              <w:top w:val="nil"/>
              <w:left w:val="nil"/>
              <w:bottom w:val="nil"/>
              <w:right w:val="nil"/>
            </w:tcBorders>
          </w:tcPr>
          <w:p w14:paraId="58DB0038" w14:textId="77777777" w:rsidR="001869E0" w:rsidRPr="003D3598" w:rsidRDefault="001869E0" w:rsidP="00A73422">
            <w:pPr>
              <w:ind w:firstLine="360"/>
              <w:rPr>
                <w:rFonts w:ascii="Times New Roman" w:eastAsiaTheme="majorEastAsia" w:hAnsi="Times New Roman" w:cs="Times New Roman"/>
                <w:b/>
                <w:bCs/>
                <w:color w:val="4F81BD" w:themeColor="accent1"/>
              </w:rPr>
            </w:pPr>
            <w:r w:rsidRPr="003D3598">
              <w:rPr>
                <w:rFonts w:ascii="Times New Roman" w:hAnsi="Times New Roman" w:cs="Times New Roman"/>
              </w:rPr>
              <w:t xml:space="preserve">Female, </w:t>
            </w:r>
            <m:oMath>
              <m:r>
                <w:rPr>
                  <w:rFonts w:ascii="Cambria Math" w:hAnsi="Cambria Math" w:cs="Times New Roman"/>
                </w:rPr>
                <m:t>β</m:t>
              </m:r>
            </m:oMath>
            <w:r w:rsidRPr="003D3598">
              <w:rPr>
                <w:rFonts w:ascii="Times New Roman" w:hAnsi="Times New Roman" w:cs="Times New Roman"/>
                <w:vertAlign w:val="subscript"/>
              </w:rPr>
              <w:t>11</w:t>
            </w:r>
          </w:p>
        </w:tc>
        <w:tc>
          <w:tcPr>
            <w:tcW w:w="876" w:type="dxa"/>
            <w:tcBorders>
              <w:top w:val="nil"/>
              <w:left w:val="nil"/>
              <w:bottom w:val="nil"/>
              <w:right w:val="nil"/>
            </w:tcBorders>
          </w:tcPr>
          <w:p w14:paraId="64A43BEF"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-0.05</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c>
          <w:tcPr>
            <w:tcW w:w="1902" w:type="dxa"/>
            <w:tcBorders>
              <w:top w:val="nil"/>
              <w:left w:val="nil"/>
              <w:bottom w:val="nil"/>
              <w:right w:val="nil"/>
            </w:tcBorders>
          </w:tcPr>
          <w:p w14:paraId="0B9C26A1"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0.08</w:t>
            </w:r>
          </w:p>
        </w:tc>
      </w:tr>
      <w:tr w:rsidR="001869E0" w:rsidRPr="003D3598" w14:paraId="4A190250" w14:textId="77777777" w:rsidTr="00FD613B">
        <w:trPr>
          <w:trHeight w:val="234"/>
        </w:trPr>
        <w:tc>
          <w:tcPr>
            <w:tcW w:w="3618" w:type="dxa"/>
            <w:tcBorders>
              <w:top w:val="nil"/>
              <w:left w:val="nil"/>
              <w:bottom w:val="nil"/>
              <w:right w:val="nil"/>
            </w:tcBorders>
          </w:tcPr>
          <w:p w14:paraId="2FC2C470" w14:textId="77777777" w:rsidR="001869E0" w:rsidRPr="003D3598" w:rsidRDefault="001869E0" w:rsidP="00A73422">
            <w:pPr>
              <w:rPr>
                <w:rFonts w:ascii="Times New Roman" w:hAnsi="Times New Roman" w:cs="Times New Roman"/>
              </w:rPr>
            </w:pPr>
            <w:r w:rsidRPr="003D3598">
              <w:rPr>
                <w:rFonts w:ascii="Times New Roman" w:hAnsi="Times New Roman" w:cs="Times New Roman"/>
              </w:rPr>
              <w:t>Relevance</w:t>
            </w:r>
            <w:r w:rsidRPr="003D0A5C">
              <w:rPr>
                <w:rFonts w:ascii="Times New Roman" w:hAnsi="Times New Roman" w:cs="Times New Roman"/>
              </w:rPr>
              <w:t xml:space="preserve"> Slope,</w:t>
            </w:r>
            <m:oMath>
              <m:r>
                <m:rPr>
                  <m:sty m:val="p"/>
                </m:rPr>
                <w:rPr>
                  <w:rFonts w:ascii="Cambria Math" w:hAnsi="Cambria Math" w:cs="Times New Roman"/>
                </w:rPr>
                <m:t xml:space="preserve"> </m:t>
              </m:r>
              <m:r>
                <w:rPr>
                  <w:rFonts w:ascii="Cambria Math" w:hAnsi="Cambria Math" w:cs="Times New Roman"/>
                </w:rPr>
                <m:t>β</m:t>
              </m:r>
            </m:oMath>
            <w:r w:rsidRPr="003D3598">
              <w:rPr>
                <w:rFonts w:ascii="Times New Roman" w:hAnsi="Times New Roman" w:cs="Times New Roman"/>
                <w:vertAlign w:val="subscript"/>
              </w:rPr>
              <w:t>20</w:t>
            </w:r>
          </w:p>
        </w:tc>
        <w:tc>
          <w:tcPr>
            <w:tcW w:w="876" w:type="dxa"/>
            <w:tcBorders>
              <w:top w:val="nil"/>
              <w:left w:val="nil"/>
              <w:bottom w:val="nil"/>
              <w:right w:val="nil"/>
            </w:tcBorders>
          </w:tcPr>
          <w:p w14:paraId="5DF6BF00"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0.39</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c>
          <w:tcPr>
            <w:tcW w:w="1902" w:type="dxa"/>
            <w:tcBorders>
              <w:top w:val="nil"/>
              <w:left w:val="nil"/>
              <w:bottom w:val="nil"/>
              <w:right w:val="nil"/>
            </w:tcBorders>
          </w:tcPr>
          <w:p w14:paraId="5E0A3ED3"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0.65</w:t>
            </w:r>
          </w:p>
        </w:tc>
      </w:tr>
      <w:tr w:rsidR="001869E0" w:rsidRPr="003D3598" w14:paraId="5DEBAD62" w14:textId="77777777" w:rsidTr="00FD613B">
        <w:trPr>
          <w:trHeight w:val="234"/>
        </w:trPr>
        <w:tc>
          <w:tcPr>
            <w:tcW w:w="3618" w:type="dxa"/>
            <w:tcBorders>
              <w:top w:val="nil"/>
              <w:left w:val="nil"/>
              <w:bottom w:val="nil"/>
              <w:right w:val="nil"/>
            </w:tcBorders>
          </w:tcPr>
          <w:p w14:paraId="3C7A92DA" w14:textId="77777777" w:rsidR="001869E0" w:rsidRPr="003D3598" w:rsidRDefault="001869E0" w:rsidP="00A73422">
            <w:pPr>
              <w:ind w:firstLine="360"/>
              <w:rPr>
                <w:rFonts w:ascii="Times New Roman" w:eastAsiaTheme="majorEastAsia" w:hAnsi="Times New Roman" w:cs="Times New Roman"/>
                <w:b/>
                <w:bCs/>
                <w:color w:val="4F81BD" w:themeColor="accent1"/>
              </w:rPr>
            </w:pPr>
            <w:r w:rsidRPr="003D3598">
              <w:rPr>
                <w:rFonts w:ascii="Times New Roman" w:hAnsi="Times New Roman" w:cs="Times New Roman"/>
              </w:rPr>
              <w:t xml:space="preserve">Female, </w:t>
            </w:r>
            <m:oMath>
              <m:r>
                <w:rPr>
                  <w:rFonts w:ascii="Cambria Math" w:hAnsi="Cambria Math" w:cs="Times New Roman"/>
                </w:rPr>
                <m:t>β</m:t>
              </m:r>
            </m:oMath>
            <w:r w:rsidRPr="003D3598">
              <w:rPr>
                <w:rFonts w:ascii="Times New Roman" w:hAnsi="Times New Roman" w:cs="Times New Roman"/>
                <w:vertAlign w:val="subscript"/>
              </w:rPr>
              <w:t>21</w:t>
            </w:r>
          </w:p>
        </w:tc>
        <w:tc>
          <w:tcPr>
            <w:tcW w:w="876" w:type="dxa"/>
            <w:tcBorders>
              <w:top w:val="nil"/>
              <w:left w:val="nil"/>
              <w:bottom w:val="nil"/>
              <w:right w:val="nil"/>
            </w:tcBorders>
          </w:tcPr>
          <w:p w14:paraId="45607C3A"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-0.08</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3)</w:t>
            </w:r>
          </w:p>
        </w:tc>
        <w:tc>
          <w:tcPr>
            <w:tcW w:w="1902" w:type="dxa"/>
            <w:tcBorders>
              <w:top w:val="nil"/>
              <w:left w:val="nil"/>
              <w:bottom w:val="nil"/>
              <w:right w:val="nil"/>
            </w:tcBorders>
          </w:tcPr>
          <w:p w14:paraId="218A9E68"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0.10</w:t>
            </w:r>
          </w:p>
        </w:tc>
      </w:tr>
      <w:tr w:rsidR="001869E0" w:rsidRPr="003D3598" w14:paraId="34CCE95B" w14:textId="77777777" w:rsidTr="00FD613B">
        <w:trPr>
          <w:trHeight w:val="235"/>
        </w:trPr>
        <w:tc>
          <w:tcPr>
            <w:tcW w:w="3618" w:type="dxa"/>
            <w:tcBorders>
              <w:top w:val="nil"/>
              <w:left w:val="nil"/>
              <w:bottom w:val="nil"/>
              <w:right w:val="nil"/>
            </w:tcBorders>
          </w:tcPr>
          <w:p w14:paraId="35676BE2" w14:textId="77777777" w:rsidR="001869E0" w:rsidRPr="003D3598" w:rsidRDefault="001869E0" w:rsidP="00A73422">
            <w:pPr>
              <w:rPr>
                <w:rFonts w:ascii="Times New Roman" w:hAnsi="Times New Roman" w:cs="Times New Roman"/>
              </w:rPr>
            </w:pPr>
            <w:r w:rsidRPr="003D3598">
              <w:rPr>
                <w:rFonts w:ascii="Times New Roman" w:hAnsi="Times New Roman" w:cs="Times New Roman"/>
              </w:rPr>
              <w:t>Learning</w:t>
            </w:r>
            <w:r w:rsidRPr="003D0A5C">
              <w:rPr>
                <w:rFonts w:ascii="Times New Roman" w:hAnsi="Times New Roman" w:cs="Times New Roman"/>
              </w:rPr>
              <w:t xml:space="preserve"> Slope,</w:t>
            </w:r>
            <m:oMath>
              <m:r>
                <m:rPr>
                  <m:sty m:val="p"/>
                </m:rPr>
                <w:rPr>
                  <w:rFonts w:ascii="Cambria Math" w:hAnsi="Cambria Math" w:cs="Times New Roman"/>
                </w:rPr>
                <m:t xml:space="preserve"> </m:t>
              </m:r>
              <m:r>
                <w:rPr>
                  <w:rFonts w:ascii="Cambria Math" w:hAnsi="Cambria Math" w:cs="Times New Roman"/>
                </w:rPr>
                <m:t>β</m:t>
              </m:r>
            </m:oMath>
            <w:r w:rsidRPr="003D3598">
              <w:rPr>
                <w:rFonts w:ascii="Times New Roman" w:hAnsi="Times New Roman" w:cs="Times New Roman"/>
                <w:vertAlign w:val="subscript"/>
              </w:rPr>
              <w:t>30</w:t>
            </w:r>
          </w:p>
        </w:tc>
        <w:tc>
          <w:tcPr>
            <w:tcW w:w="876" w:type="dxa"/>
            <w:tcBorders>
              <w:top w:val="nil"/>
              <w:left w:val="nil"/>
              <w:bottom w:val="nil"/>
              <w:right w:val="nil"/>
            </w:tcBorders>
          </w:tcPr>
          <w:p w14:paraId="5BA28A6D"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0.27</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c>
          <w:tcPr>
            <w:tcW w:w="1902" w:type="dxa"/>
            <w:tcBorders>
              <w:top w:val="nil"/>
              <w:left w:val="nil"/>
              <w:bottom w:val="nil"/>
              <w:right w:val="nil"/>
            </w:tcBorders>
          </w:tcPr>
          <w:p w14:paraId="05A562D3"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0.56</w:t>
            </w:r>
          </w:p>
        </w:tc>
      </w:tr>
      <w:tr w:rsidR="001869E0" w:rsidRPr="003D3598" w14:paraId="66033C0F" w14:textId="77777777" w:rsidTr="00FD613B">
        <w:trPr>
          <w:trHeight w:val="234"/>
        </w:trPr>
        <w:tc>
          <w:tcPr>
            <w:tcW w:w="3618" w:type="dxa"/>
            <w:tcBorders>
              <w:top w:val="nil"/>
              <w:left w:val="nil"/>
              <w:bottom w:val="nil"/>
              <w:right w:val="nil"/>
            </w:tcBorders>
          </w:tcPr>
          <w:p w14:paraId="34212472" w14:textId="77777777" w:rsidR="001869E0" w:rsidRPr="003D3598" w:rsidRDefault="001869E0" w:rsidP="00A73422">
            <w:pPr>
              <w:ind w:firstLine="360"/>
              <w:rPr>
                <w:rFonts w:ascii="Times New Roman" w:eastAsiaTheme="majorEastAsia" w:hAnsi="Times New Roman" w:cs="Times New Roman"/>
                <w:b/>
                <w:bCs/>
                <w:color w:val="4F81BD" w:themeColor="accent1"/>
              </w:rPr>
            </w:pPr>
            <w:r w:rsidRPr="003D3598">
              <w:rPr>
                <w:rFonts w:ascii="Times New Roman" w:hAnsi="Times New Roman" w:cs="Times New Roman"/>
              </w:rPr>
              <w:t xml:space="preserve">Female, </w:t>
            </w:r>
            <m:oMath>
              <m:r>
                <w:rPr>
                  <w:rFonts w:ascii="Cambria Math" w:hAnsi="Cambria Math" w:cs="Times New Roman"/>
                </w:rPr>
                <m:t>β</m:t>
              </m:r>
            </m:oMath>
            <w:r w:rsidRPr="003D3598">
              <w:rPr>
                <w:rFonts w:ascii="Times New Roman" w:hAnsi="Times New Roman" w:cs="Times New Roman"/>
                <w:vertAlign w:val="subscript"/>
              </w:rPr>
              <w:t>31</w:t>
            </w:r>
          </w:p>
        </w:tc>
        <w:tc>
          <w:tcPr>
            <w:tcW w:w="876" w:type="dxa"/>
            <w:tcBorders>
              <w:top w:val="nil"/>
              <w:left w:val="nil"/>
              <w:bottom w:val="nil"/>
              <w:right w:val="nil"/>
            </w:tcBorders>
          </w:tcPr>
          <w:p w14:paraId="768001D4" w14:textId="77777777" w:rsidR="001869E0" w:rsidRPr="003D3598" w:rsidRDefault="001869E0" w:rsidP="00A73422">
            <w:pPr>
              <w:jc w:val="center"/>
              <w:rPr>
                <w:rFonts w:ascii="Times New Roman" w:hAnsi="Times New Roman" w:cs="Times New Roman"/>
              </w:rPr>
            </w:pPr>
            <w:r w:rsidRPr="003D3598">
              <w:rPr>
                <w:rFonts w:ascii="Times New Roman" w:hAnsi="Times New Roman" w:cs="Times New Roman"/>
              </w:rPr>
              <w:t>0.01</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2)</w:t>
            </w:r>
          </w:p>
        </w:tc>
        <w:tc>
          <w:tcPr>
            <w:tcW w:w="1902" w:type="dxa"/>
            <w:tcBorders>
              <w:top w:val="nil"/>
              <w:left w:val="nil"/>
              <w:bottom w:val="nil"/>
              <w:right w:val="nil"/>
            </w:tcBorders>
          </w:tcPr>
          <w:p w14:paraId="27D308BE" w14:textId="77777777" w:rsidR="001869E0" w:rsidRPr="003D3598" w:rsidRDefault="001869E0" w:rsidP="00A73422">
            <w:pPr>
              <w:jc w:val="center"/>
              <w:rPr>
                <w:rFonts w:ascii="Times New Roman" w:hAnsi="Times New Roman" w:cs="Times New Roman"/>
              </w:rPr>
            </w:pPr>
            <w:r>
              <w:rPr>
                <w:rFonts w:ascii="Times New Roman" w:hAnsi="Times New Roman" w:cs="Times New Roman"/>
              </w:rPr>
              <w:t>0.02</w:t>
            </w:r>
          </w:p>
        </w:tc>
      </w:tr>
      <w:tr w:rsidR="001869E0" w:rsidRPr="003D3598" w14:paraId="6F260D29" w14:textId="77777777" w:rsidTr="00FD613B">
        <w:trPr>
          <w:trHeight w:val="235"/>
        </w:trPr>
        <w:tc>
          <w:tcPr>
            <w:tcW w:w="3618" w:type="dxa"/>
            <w:tcBorders>
              <w:top w:val="nil"/>
              <w:left w:val="nil"/>
              <w:bottom w:val="single" w:sz="12" w:space="0" w:color="000000"/>
              <w:right w:val="nil"/>
            </w:tcBorders>
          </w:tcPr>
          <w:p w14:paraId="2523FFE4" w14:textId="77777777" w:rsidR="001869E0" w:rsidRPr="003D3598" w:rsidRDefault="001869E0" w:rsidP="00A73422">
            <w:pPr>
              <w:rPr>
                <w:rFonts w:ascii="Times New Roman" w:hAnsi="Times New Roman" w:cs="Times New Roman"/>
              </w:rPr>
            </w:pPr>
          </w:p>
        </w:tc>
        <w:tc>
          <w:tcPr>
            <w:tcW w:w="2778" w:type="dxa"/>
            <w:gridSpan w:val="2"/>
            <w:tcBorders>
              <w:top w:val="nil"/>
              <w:left w:val="nil"/>
              <w:bottom w:val="single" w:sz="12" w:space="0" w:color="000000"/>
              <w:right w:val="nil"/>
            </w:tcBorders>
          </w:tcPr>
          <w:p w14:paraId="711C8BA4" w14:textId="77777777" w:rsidR="001869E0" w:rsidRPr="00DB3561" w:rsidRDefault="001869E0" w:rsidP="00A73422">
            <w:pPr>
              <w:jc w:val="center"/>
              <w:rPr>
                <w:rFonts w:ascii="Times New Roman" w:hAnsi="Times New Roman" w:cs="Times New Roman"/>
              </w:rPr>
            </w:pPr>
          </w:p>
        </w:tc>
      </w:tr>
      <w:tr w:rsidR="001869E0" w:rsidRPr="003D3598" w14:paraId="24173A2C" w14:textId="77777777" w:rsidTr="00FD613B">
        <w:tc>
          <w:tcPr>
            <w:tcW w:w="3618" w:type="dxa"/>
            <w:tcBorders>
              <w:top w:val="single" w:sz="12" w:space="0" w:color="000000"/>
              <w:left w:val="nil"/>
              <w:bottom w:val="single" w:sz="12" w:space="0" w:color="auto"/>
              <w:right w:val="nil"/>
            </w:tcBorders>
          </w:tcPr>
          <w:p w14:paraId="21D3BE08" w14:textId="77777777" w:rsidR="001869E0" w:rsidRPr="003D0A5C" w:rsidRDefault="001869E0" w:rsidP="00A73422">
            <w:pPr>
              <w:rPr>
                <w:rFonts w:ascii="Times New Roman" w:hAnsi="Times New Roman" w:cs="Times New Roman"/>
                <w:i/>
              </w:rPr>
            </w:pPr>
            <w:r w:rsidRPr="003D3598">
              <w:rPr>
                <w:rFonts w:ascii="Times New Roman" w:hAnsi="Times New Roman" w:cs="Times New Roman"/>
                <w:i/>
              </w:rPr>
              <w:t>Random Effects</w:t>
            </w:r>
          </w:p>
        </w:tc>
        <w:tc>
          <w:tcPr>
            <w:tcW w:w="2778" w:type="dxa"/>
            <w:gridSpan w:val="2"/>
            <w:tcBorders>
              <w:top w:val="single" w:sz="12" w:space="0" w:color="000000"/>
              <w:left w:val="nil"/>
              <w:bottom w:val="single" w:sz="12" w:space="0" w:color="auto"/>
              <w:right w:val="nil"/>
            </w:tcBorders>
          </w:tcPr>
          <w:p w14:paraId="532DEE2E" w14:textId="77777777" w:rsidR="001869E0" w:rsidRPr="003D3598" w:rsidRDefault="001869E0" w:rsidP="00A73422">
            <w:pPr>
              <w:jc w:val="center"/>
              <w:rPr>
                <w:rFonts w:ascii="Times New Roman" w:hAnsi="Times New Roman" w:cs="Times New Roman"/>
              </w:rPr>
            </w:pPr>
            <m:oMath>
              <m:r>
                <w:rPr>
                  <w:rFonts w:ascii="Cambria Math" w:hAnsi="Cambria Math" w:cs="Times New Roman"/>
                </w:rPr>
                <m:t>σ</m:t>
              </m:r>
            </m:oMath>
            <w:r w:rsidRPr="003D3598">
              <w:rPr>
                <w:rFonts w:ascii="Times New Roman" w:hAnsi="Times New Roman" w:cs="Times New Roman"/>
                <w:vertAlign w:val="superscript"/>
              </w:rPr>
              <w:t>2</w:t>
            </w:r>
          </w:p>
        </w:tc>
      </w:tr>
      <w:tr w:rsidR="001869E0" w:rsidRPr="003D3598" w14:paraId="0F41E991" w14:textId="77777777" w:rsidTr="00FD613B">
        <w:tc>
          <w:tcPr>
            <w:tcW w:w="3618" w:type="dxa"/>
            <w:tcBorders>
              <w:top w:val="single" w:sz="12" w:space="0" w:color="auto"/>
              <w:left w:val="nil"/>
              <w:bottom w:val="nil"/>
              <w:right w:val="nil"/>
            </w:tcBorders>
          </w:tcPr>
          <w:p w14:paraId="2A1F6D32" w14:textId="77777777" w:rsidR="001869E0" w:rsidRPr="003D0A5C" w:rsidRDefault="001869E0" w:rsidP="00A73422">
            <w:pPr>
              <w:rPr>
                <w:rFonts w:ascii="Times New Roman" w:hAnsi="Times New Roman" w:cs="Times New Roman"/>
              </w:rPr>
            </w:pPr>
            <w:r w:rsidRPr="003D3598">
              <w:rPr>
                <w:rFonts w:ascii="Times New Roman" w:hAnsi="Times New Roman" w:cs="Times New Roman"/>
              </w:rPr>
              <w:lastRenderedPageBreak/>
              <w:t>Beep, r</w:t>
            </w:r>
            <w:r w:rsidRPr="003D0A5C">
              <w:rPr>
                <w:rFonts w:ascii="Times New Roman" w:hAnsi="Times New Roman" w:cs="Times New Roman"/>
                <w:vertAlign w:val="subscript"/>
              </w:rPr>
              <w:t>0</w:t>
            </w:r>
          </w:p>
        </w:tc>
        <w:tc>
          <w:tcPr>
            <w:tcW w:w="2778" w:type="dxa"/>
            <w:gridSpan w:val="2"/>
            <w:tcBorders>
              <w:top w:val="single" w:sz="12" w:space="0" w:color="auto"/>
              <w:left w:val="nil"/>
              <w:bottom w:val="nil"/>
              <w:right w:val="nil"/>
            </w:tcBorders>
          </w:tcPr>
          <w:p w14:paraId="12ACEE62" w14:textId="77777777" w:rsidR="001869E0" w:rsidRPr="00B62186" w:rsidRDefault="001869E0" w:rsidP="00A73422">
            <w:pPr>
              <w:jc w:val="center"/>
              <w:rPr>
                <w:rFonts w:ascii="Times New Roman" w:hAnsi="Times New Roman" w:cs="Times New Roman"/>
              </w:rPr>
            </w:pPr>
            <w:r w:rsidRPr="00DB3561">
              <w:rPr>
                <w:rFonts w:ascii="Times New Roman" w:hAnsi="Times New Roman" w:cs="Times New Roman"/>
              </w:rPr>
              <w:t>0.02</w:t>
            </w:r>
            <w:r w:rsidRPr="00E12A75">
              <w:rPr>
                <w:rFonts w:ascii="Times New Roman" w:hAnsi="Times New Roman" w:cs="Times New Roman"/>
                <w:vertAlign w:val="superscript"/>
              </w:rPr>
              <w:t>***</w:t>
            </w:r>
          </w:p>
        </w:tc>
      </w:tr>
      <w:tr w:rsidR="001869E0" w:rsidRPr="003D3598" w14:paraId="451F05AD" w14:textId="77777777" w:rsidTr="00FD613B">
        <w:tc>
          <w:tcPr>
            <w:tcW w:w="3618" w:type="dxa"/>
            <w:tcBorders>
              <w:top w:val="nil"/>
              <w:left w:val="nil"/>
              <w:bottom w:val="nil"/>
              <w:right w:val="nil"/>
            </w:tcBorders>
          </w:tcPr>
          <w:p w14:paraId="6EAA097C" w14:textId="77777777" w:rsidR="001869E0" w:rsidRPr="003D0A5C" w:rsidRDefault="001869E0" w:rsidP="00A73422">
            <w:pPr>
              <w:rPr>
                <w:rFonts w:ascii="Times New Roman" w:hAnsi="Times New Roman" w:cs="Times New Roman"/>
              </w:rPr>
            </w:pPr>
            <w:r w:rsidRPr="003D3598">
              <w:rPr>
                <w:rFonts w:ascii="Times New Roman" w:hAnsi="Times New Roman" w:cs="Times New Roman"/>
              </w:rPr>
              <w:t>Person, r</w:t>
            </w:r>
            <w:r w:rsidRPr="003D0A5C">
              <w:rPr>
                <w:rFonts w:ascii="Times New Roman" w:hAnsi="Times New Roman" w:cs="Times New Roman"/>
                <w:vertAlign w:val="subscript"/>
              </w:rPr>
              <w:t>1</w:t>
            </w:r>
          </w:p>
        </w:tc>
        <w:tc>
          <w:tcPr>
            <w:tcW w:w="2778" w:type="dxa"/>
            <w:gridSpan w:val="2"/>
            <w:tcBorders>
              <w:top w:val="nil"/>
              <w:left w:val="nil"/>
              <w:bottom w:val="nil"/>
              <w:right w:val="nil"/>
            </w:tcBorders>
          </w:tcPr>
          <w:p w14:paraId="0C3AC187" w14:textId="77777777" w:rsidR="001869E0" w:rsidRPr="00B62186" w:rsidRDefault="001869E0" w:rsidP="00A73422">
            <w:pPr>
              <w:jc w:val="center"/>
              <w:rPr>
                <w:rFonts w:ascii="Times New Roman" w:hAnsi="Times New Roman" w:cs="Times New Roman"/>
              </w:rPr>
            </w:pPr>
            <w:r w:rsidRPr="00DB3561">
              <w:rPr>
                <w:rFonts w:ascii="Times New Roman" w:hAnsi="Times New Roman" w:cs="Times New Roman"/>
              </w:rPr>
              <w:t>0.35</w:t>
            </w:r>
            <w:r w:rsidRPr="00E12A75">
              <w:rPr>
                <w:rFonts w:ascii="Times New Roman" w:hAnsi="Times New Roman" w:cs="Times New Roman"/>
                <w:vertAlign w:val="superscript"/>
              </w:rPr>
              <w:t>***</w:t>
            </w:r>
          </w:p>
        </w:tc>
      </w:tr>
      <w:tr w:rsidR="001869E0" w:rsidRPr="003D3598" w14:paraId="2A26ED62" w14:textId="77777777" w:rsidTr="00FD613B">
        <w:tc>
          <w:tcPr>
            <w:tcW w:w="3618" w:type="dxa"/>
            <w:tcBorders>
              <w:top w:val="nil"/>
              <w:left w:val="nil"/>
              <w:bottom w:val="nil"/>
              <w:right w:val="nil"/>
            </w:tcBorders>
          </w:tcPr>
          <w:p w14:paraId="52298913" w14:textId="77777777" w:rsidR="001869E0" w:rsidRPr="003D0A5C" w:rsidRDefault="001869E0" w:rsidP="00A73422">
            <w:pPr>
              <w:rPr>
                <w:rFonts w:ascii="Times New Roman" w:hAnsi="Times New Roman" w:cs="Times New Roman"/>
              </w:rPr>
            </w:pPr>
            <w:r w:rsidRPr="003D3598">
              <w:rPr>
                <w:rFonts w:ascii="Times New Roman" w:hAnsi="Times New Roman" w:cs="Times New Roman"/>
              </w:rPr>
              <w:t>Program,</w:t>
            </w:r>
            <w:r w:rsidRPr="003D0A5C">
              <w:rPr>
                <w:rFonts w:ascii="Times New Roman" w:hAnsi="Times New Roman" w:cs="Times New Roman"/>
              </w:rPr>
              <w:t xml:space="preserve"> r</w:t>
            </w:r>
            <w:r w:rsidRPr="003D0A5C">
              <w:rPr>
                <w:rFonts w:ascii="Times New Roman" w:hAnsi="Times New Roman" w:cs="Times New Roman"/>
                <w:vertAlign w:val="subscript"/>
              </w:rPr>
              <w:t>2</w:t>
            </w:r>
          </w:p>
        </w:tc>
        <w:tc>
          <w:tcPr>
            <w:tcW w:w="2778" w:type="dxa"/>
            <w:gridSpan w:val="2"/>
            <w:tcBorders>
              <w:top w:val="nil"/>
              <w:left w:val="nil"/>
              <w:bottom w:val="nil"/>
              <w:right w:val="nil"/>
            </w:tcBorders>
          </w:tcPr>
          <w:p w14:paraId="1E7C85D5" w14:textId="77777777" w:rsidR="001869E0" w:rsidRPr="00E12A75" w:rsidRDefault="001869E0" w:rsidP="00A73422">
            <w:pPr>
              <w:jc w:val="center"/>
              <w:rPr>
                <w:rFonts w:ascii="Times New Roman" w:hAnsi="Times New Roman" w:cs="Times New Roman"/>
              </w:rPr>
            </w:pPr>
            <w:r w:rsidRPr="00DB3561">
              <w:rPr>
                <w:rFonts w:ascii="Times New Roman" w:hAnsi="Times New Roman" w:cs="Times New Roman"/>
              </w:rPr>
              <w:t>0.01</w:t>
            </w:r>
          </w:p>
        </w:tc>
      </w:tr>
      <w:tr w:rsidR="001869E0" w:rsidRPr="003D3598" w14:paraId="1CFDAC30" w14:textId="77777777" w:rsidTr="00FD613B">
        <w:trPr>
          <w:trHeight w:val="252"/>
        </w:trPr>
        <w:tc>
          <w:tcPr>
            <w:tcW w:w="3618" w:type="dxa"/>
            <w:tcBorders>
              <w:top w:val="nil"/>
              <w:left w:val="nil"/>
              <w:bottom w:val="single" w:sz="12" w:space="0" w:color="auto"/>
              <w:right w:val="nil"/>
            </w:tcBorders>
          </w:tcPr>
          <w:p w14:paraId="326D9A80" w14:textId="77777777" w:rsidR="001869E0" w:rsidRPr="003D0A5C" w:rsidRDefault="001869E0" w:rsidP="00A73422">
            <w:pPr>
              <w:rPr>
                <w:rFonts w:ascii="Times New Roman" w:hAnsi="Times New Roman" w:cs="Times New Roman"/>
              </w:rPr>
            </w:pPr>
            <w:r w:rsidRPr="003D3598">
              <w:rPr>
                <w:rFonts w:ascii="Times New Roman" w:hAnsi="Times New Roman" w:cs="Times New Roman"/>
              </w:rPr>
              <w:t>Level-1 error, e</w:t>
            </w:r>
          </w:p>
        </w:tc>
        <w:tc>
          <w:tcPr>
            <w:tcW w:w="2778" w:type="dxa"/>
            <w:gridSpan w:val="2"/>
            <w:tcBorders>
              <w:top w:val="nil"/>
              <w:left w:val="nil"/>
              <w:bottom w:val="single" w:sz="12" w:space="0" w:color="auto"/>
              <w:right w:val="nil"/>
            </w:tcBorders>
          </w:tcPr>
          <w:p w14:paraId="31CCE86F" w14:textId="77777777" w:rsidR="001869E0" w:rsidRPr="00E12A75" w:rsidRDefault="001869E0" w:rsidP="00A73422">
            <w:pPr>
              <w:jc w:val="center"/>
              <w:rPr>
                <w:rFonts w:ascii="Times New Roman" w:hAnsi="Times New Roman" w:cs="Times New Roman"/>
              </w:rPr>
            </w:pPr>
            <w:r w:rsidRPr="00DB3561">
              <w:rPr>
                <w:rFonts w:ascii="Times New Roman" w:hAnsi="Times New Roman" w:cs="Times New Roman"/>
              </w:rPr>
              <w:t>0.22</w:t>
            </w:r>
          </w:p>
        </w:tc>
      </w:tr>
    </w:tbl>
    <w:p w14:paraId="4AC37A50" w14:textId="77777777" w:rsidR="001869E0" w:rsidRPr="003D3598" w:rsidRDefault="001869E0" w:rsidP="00A73422">
      <w:pPr>
        <w:rPr>
          <w:rFonts w:ascii="Times New Roman" w:hAnsi="Times New Roman" w:cs="Times New Roman"/>
        </w:rPr>
      </w:pPr>
    </w:p>
    <w:p w14:paraId="483836D7" w14:textId="77777777" w:rsidR="001869E0" w:rsidRPr="00DB3561" w:rsidRDefault="001869E0" w:rsidP="00A73422">
      <w:pPr>
        <w:rPr>
          <w:rFonts w:ascii="Times New Roman" w:hAnsi="Times New Roman" w:cs="Times New Roman"/>
        </w:rPr>
      </w:pPr>
    </w:p>
    <w:p w14:paraId="2F9C9F89" w14:textId="77777777" w:rsidR="001869E0" w:rsidRPr="00E12A75" w:rsidRDefault="001869E0" w:rsidP="00A73422">
      <w:pPr>
        <w:rPr>
          <w:rFonts w:ascii="Times New Roman" w:hAnsi="Times New Roman" w:cs="Times New Roman"/>
        </w:rPr>
      </w:pPr>
    </w:p>
    <w:p w14:paraId="2204AD67" w14:textId="77777777" w:rsidR="001869E0" w:rsidRDefault="001869E0" w:rsidP="00A73422">
      <w:pPr>
        <w:rPr>
          <w:rFonts w:ascii="Times New Roman" w:hAnsi="Times New Roman" w:cs="Times New Roman"/>
        </w:rPr>
      </w:pPr>
    </w:p>
    <w:p w14:paraId="1E870105" w14:textId="3388CBF1" w:rsidR="001869E0" w:rsidRPr="00276BD4" w:rsidRDefault="001869E0" w:rsidP="00A73422">
      <w:pPr>
        <w:rPr>
          <w:rFonts w:ascii="Times New Roman" w:hAnsi="Times New Roman" w:cs="Times New Roman"/>
        </w:rPr>
      </w:pPr>
      <w:r w:rsidRPr="00AA2084">
        <w:rPr>
          <w:rFonts w:ascii="Times New Roman" w:hAnsi="Times New Roman" w:cs="Times New Roman"/>
          <w:i/>
        </w:rPr>
        <w:t>Note</w:t>
      </w:r>
      <w:r w:rsidRPr="003D3598">
        <w:rPr>
          <w:rFonts w:ascii="Times New Roman" w:hAnsi="Times New Roman" w:cs="Times New Roman"/>
        </w:rPr>
        <w:t xml:space="preserve">. </w:t>
      </w:r>
      <w:r w:rsidRPr="003D0A5C">
        <w:rPr>
          <w:rFonts w:ascii="Times New Roman" w:hAnsi="Times New Roman" w:cs="Times New Roman"/>
        </w:rPr>
        <w:t>*</w:t>
      </w:r>
      <w:r w:rsidRPr="003D0A5C">
        <w:rPr>
          <w:rFonts w:ascii="Times New Roman" w:hAnsi="Times New Roman" w:cs="Times New Roman"/>
          <w:i/>
        </w:rPr>
        <w:t>p</w:t>
      </w:r>
      <w:r w:rsidRPr="003D0A5C">
        <w:rPr>
          <w:rFonts w:ascii="Times New Roman" w:hAnsi="Times New Roman" w:cs="Times New Roman"/>
        </w:rPr>
        <w:t xml:space="preserve"> &lt; .05 and ***</w:t>
      </w:r>
      <w:r w:rsidRPr="003D0A5C">
        <w:rPr>
          <w:rFonts w:ascii="Times New Roman" w:hAnsi="Times New Roman" w:cs="Times New Roman"/>
          <w:i/>
        </w:rPr>
        <w:t>p</w:t>
      </w:r>
      <w:r w:rsidRPr="003D0A5C">
        <w:rPr>
          <w:rFonts w:ascii="Times New Roman" w:hAnsi="Times New Roman" w:cs="Times New Roman"/>
        </w:rPr>
        <w:t xml:space="preserve"> &lt; .0</w:t>
      </w:r>
      <w:r w:rsidRPr="00645535">
        <w:rPr>
          <w:rFonts w:ascii="Times New Roman" w:hAnsi="Times New Roman" w:cs="Times New Roman"/>
        </w:rPr>
        <w:t>01</w:t>
      </w:r>
    </w:p>
    <w:p w14:paraId="345A69CD" w14:textId="77777777" w:rsidR="001869E0" w:rsidRDefault="001869E0" w:rsidP="00A73422">
      <w:pPr>
        <w:contextualSpacing/>
        <w:rPr>
          <w:rFonts w:ascii="Times New Roman" w:hAnsi="Times New Roman" w:cs="Times New Roman"/>
        </w:rPr>
      </w:pPr>
    </w:p>
    <w:p w14:paraId="7D02C540" w14:textId="33754164" w:rsidR="00D5213F" w:rsidRDefault="00F0443F" w:rsidP="00A73422">
      <w:pPr>
        <w:contextualSpacing/>
        <w:rPr>
          <w:rFonts w:ascii="Times New Roman" w:hAnsi="Times New Roman" w:cs="Times New Roman"/>
        </w:rPr>
      </w:pPr>
      <w:r w:rsidRPr="003D3598">
        <w:rPr>
          <w:rFonts w:ascii="Times New Roman" w:hAnsi="Times New Roman" w:cs="Times New Roman"/>
        </w:rPr>
        <w:t>This analysi</w:t>
      </w:r>
      <w:r w:rsidR="00B46351" w:rsidRPr="003D3598">
        <w:rPr>
          <w:rFonts w:ascii="Times New Roman" w:hAnsi="Times New Roman" w:cs="Times New Roman"/>
        </w:rPr>
        <w:t xml:space="preserve">s </w:t>
      </w:r>
      <w:r w:rsidRPr="003D3598">
        <w:rPr>
          <w:rFonts w:ascii="Times New Roman" w:hAnsi="Times New Roman" w:cs="Times New Roman"/>
        </w:rPr>
        <w:t>includes an examination of</w:t>
      </w:r>
      <w:r w:rsidR="00B46351" w:rsidRPr="003D3598">
        <w:rPr>
          <w:rFonts w:ascii="Times New Roman" w:hAnsi="Times New Roman" w:cs="Times New Roman"/>
        </w:rPr>
        <w:t xml:space="preserve"> whether g</w:t>
      </w:r>
      <w:r w:rsidR="00AF4CB5" w:rsidRPr="003D3598">
        <w:rPr>
          <w:rFonts w:ascii="Times New Roman" w:hAnsi="Times New Roman" w:cs="Times New Roman"/>
        </w:rPr>
        <w:t>ender moderates the relations</w:t>
      </w:r>
      <w:r w:rsidR="00B46351" w:rsidRPr="003D3598">
        <w:rPr>
          <w:rFonts w:ascii="Times New Roman" w:hAnsi="Times New Roman" w:cs="Times New Roman"/>
        </w:rPr>
        <w:t xml:space="preserve"> between </w:t>
      </w:r>
      <w:r w:rsidRPr="003D3598">
        <w:rPr>
          <w:rFonts w:ascii="Times New Roman" w:hAnsi="Times New Roman" w:cs="Times New Roman"/>
        </w:rPr>
        <w:t xml:space="preserve">each of </w:t>
      </w:r>
      <w:r w:rsidR="00B46351" w:rsidRPr="003D3598">
        <w:rPr>
          <w:rFonts w:ascii="Times New Roman" w:hAnsi="Times New Roman" w:cs="Times New Roman"/>
        </w:rPr>
        <w:t xml:space="preserve">the momentary conditions and </w:t>
      </w:r>
      <w:r w:rsidR="00AF4CB5" w:rsidRPr="003D3598">
        <w:rPr>
          <w:rFonts w:ascii="Times New Roman" w:hAnsi="Times New Roman" w:cs="Times New Roman"/>
        </w:rPr>
        <w:t>youth</w:t>
      </w:r>
      <w:r w:rsidR="00E22A96">
        <w:rPr>
          <w:rFonts w:ascii="Times New Roman" w:hAnsi="Times New Roman" w:cs="Times New Roman"/>
        </w:rPr>
        <w:t>s’</w:t>
      </w:r>
      <w:r w:rsidR="00AF4CB5" w:rsidRPr="003D3598">
        <w:rPr>
          <w:rFonts w:ascii="Times New Roman" w:hAnsi="Times New Roman" w:cs="Times New Roman"/>
        </w:rPr>
        <w:t xml:space="preserve"> engagement. In analyses not shown here, w</w:t>
      </w:r>
      <w:r w:rsidR="00B46351" w:rsidRPr="003D3598">
        <w:rPr>
          <w:rFonts w:ascii="Times New Roman" w:hAnsi="Times New Roman" w:cs="Times New Roman"/>
        </w:rPr>
        <w:t>e also explored initial competence as a moderator an</w:t>
      </w:r>
      <w:r w:rsidR="00AF4CB5" w:rsidRPr="003D3598">
        <w:rPr>
          <w:rFonts w:ascii="Times New Roman" w:hAnsi="Times New Roman" w:cs="Times New Roman"/>
        </w:rPr>
        <w:t>d learned there were no effects</w:t>
      </w:r>
      <w:r w:rsidR="00B46351" w:rsidRPr="003D3598">
        <w:rPr>
          <w:rFonts w:ascii="Times New Roman" w:hAnsi="Times New Roman" w:cs="Times New Roman"/>
        </w:rPr>
        <w:t>.</w:t>
      </w:r>
      <w:r w:rsidR="00E0595C" w:rsidRPr="003D3598">
        <w:rPr>
          <w:rFonts w:ascii="Times New Roman" w:hAnsi="Times New Roman" w:cs="Times New Roman"/>
        </w:rPr>
        <w:t xml:space="preserve"> </w:t>
      </w:r>
      <w:r w:rsidRPr="003D3598">
        <w:rPr>
          <w:rFonts w:ascii="Times New Roman" w:hAnsi="Times New Roman" w:cs="Times New Roman"/>
        </w:rPr>
        <w:t xml:space="preserve">Because gender is included </w:t>
      </w:r>
      <w:r w:rsidR="002916BA" w:rsidRPr="003D3598">
        <w:rPr>
          <w:rFonts w:ascii="Times New Roman" w:hAnsi="Times New Roman" w:cs="Times New Roman"/>
        </w:rPr>
        <w:t>as a moderator, the coefficients for the challenge, relevance and learning slopes (</w:t>
      </w:r>
      <m:oMath>
        <m:r>
          <w:rPr>
            <w:rFonts w:ascii="Cambria Math" w:hAnsi="Cambria Math" w:cs="Times New Roman"/>
          </w:rPr>
          <m:t>β</m:t>
        </m:r>
      </m:oMath>
      <w:r w:rsidR="007C7F65" w:rsidRPr="00AA2084">
        <w:rPr>
          <w:rFonts w:ascii="Times New Roman" w:hAnsi="Times New Roman" w:cs="Times New Roman"/>
          <w:vertAlign w:val="subscript"/>
        </w:rPr>
        <w:t>10</w:t>
      </w:r>
      <w:r w:rsidR="002916BA" w:rsidRPr="003D3598">
        <w:rPr>
          <w:rFonts w:ascii="Times New Roman" w:hAnsi="Times New Roman" w:cs="Times New Roman"/>
        </w:rPr>
        <w:t xml:space="preserve">, </w:t>
      </w:r>
      <m:oMath>
        <m:r>
          <w:rPr>
            <w:rFonts w:ascii="Cambria Math" w:hAnsi="Cambria Math" w:cs="Times New Roman"/>
          </w:rPr>
          <m:t>β</m:t>
        </m:r>
      </m:oMath>
      <w:r w:rsidR="00C604FE" w:rsidRPr="00AA2084">
        <w:rPr>
          <w:rFonts w:ascii="Times New Roman" w:hAnsi="Times New Roman" w:cs="Times New Roman"/>
          <w:vertAlign w:val="subscript"/>
        </w:rPr>
        <w:t>20</w:t>
      </w:r>
      <w:r w:rsidR="002916BA" w:rsidRPr="003D3598">
        <w:rPr>
          <w:rFonts w:ascii="Times New Roman" w:hAnsi="Times New Roman" w:cs="Times New Roman"/>
        </w:rPr>
        <w:t xml:space="preserve">, and </w:t>
      </w:r>
      <m:oMath>
        <m:r>
          <w:rPr>
            <w:rFonts w:ascii="Cambria Math" w:hAnsi="Cambria Math" w:cs="Times New Roman"/>
          </w:rPr>
          <m:t>β</m:t>
        </m:r>
      </m:oMath>
      <w:r w:rsidR="00C604FE" w:rsidRPr="00AA2084">
        <w:rPr>
          <w:rFonts w:ascii="Times New Roman" w:hAnsi="Times New Roman" w:cs="Times New Roman"/>
          <w:vertAlign w:val="subscript"/>
        </w:rPr>
        <w:t>30</w:t>
      </w:r>
      <w:r w:rsidR="00C604FE" w:rsidRPr="003D3598">
        <w:rPr>
          <w:rFonts w:ascii="Times New Roman" w:hAnsi="Times New Roman" w:cs="Times New Roman"/>
        </w:rPr>
        <w:t>, respectively)</w:t>
      </w:r>
      <w:r w:rsidR="002916BA" w:rsidRPr="00276BD4">
        <w:rPr>
          <w:rFonts w:ascii="Times New Roman" w:hAnsi="Times New Roman" w:cs="Times New Roman"/>
        </w:rPr>
        <w:t xml:space="preserve"> represent the effects</w:t>
      </w:r>
      <w:r w:rsidR="00AF4CB5" w:rsidRPr="00276BD4">
        <w:rPr>
          <w:rFonts w:ascii="Times New Roman" w:hAnsi="Times New Roman" w:cs="Times New Roman"/>
        </w:rPr>
        <w:t xml:space="preserve"> of these conditions</w:t>
      </w:r>
      <w:r w:rsidR="0020192D" w:rsidRPr="00BF6C34">
        <w:rPr>
          <w:rFonts w:ascii="Times New Roman" w:hAnsi="Times New Roman" w:cs="Times New Roman"/>
        </w:rPr>
        <w:t xml:space="preserve"> for male youth</w:t>
      </w:r>
      <w:r w:rsidR="002916BA" w:rsidRPr="00BF6C34">
        <w:rPr>
          <w:rFonts w:ascii="Times New Roman" w:hAnsi="Times New Roman" w:cs="Times New Roman"/>
        </w:rPr>
        <w:t>, while the “female” coefficients (</w:t>
      </w:r>
      <m:oMath>
        <m:r>
          <w:rPr>
            <w:rFonts w:ascii="Cambria Math" w:hAnsi="Cambria Math" w:cs="Times New Roman"/>
          </w:rPr>
          <m:t>β</m:t>
        </m:r>
      </m:oMath>
      <w:r w:rsidR="00C604FE" w:rsidRPr="00AA2084">
        <w:rPr>
          <w:rFonts w:ascii="Times New Roman" w:hAnsi="Times New Roman" w:cs="Times New Roman"/>
          <w:vertAlign w:val="subscript"/>
        </w:rPr>
        <w:t>11</w:t>
      </w:r>
      <w:r w:rsidR="002916BA" w:rsidRPr="003D3598">
        <w:rPr>
          <w:rFonts w:ascii="Times New Roman" w:hAnsi="Times New Roman" w:cs="Times New Roman"/>
        </w:rPr>
        <w:t xml:space="preserve">, </w:t>
      </w:r>
      <m:oMath>
        <m:r>
          <w:rPr>
            <w:rFonts w:ascii="Cambria Math" w:hAnsi="Cambria Math" w:cs="Times New Roman"/>
          </w:rPr>
          <m:t>β</m:t>
        </m:r>
      </m:oMath>
      <w:r w:rsidR="00C604FE" w:rsidRPr="00AA2084">
        <w:rPr>
          <w:rFonts w:ascii="Times New Roman" w:hAnsi="Times New Roman" w:cs="Times New Roman"/>
          <w:vertAlign w:val="subscript"/>
        </w:rPr>
        <w:t>21</w:t>
      </w:r>
      <w:r w:rsidR="002916BA" w:rsidRPr="003D3598">
        <w:rPr>
          <w:rFonts w:ascii="Times New Roman" w:hAnsi="Times New Roman" w:cs="Times New Roman"/>
        </w:rPr>
        <w:t xml:space="preserve">, and </w:t>
      </w:r>
      <m:oMath>
        <m:r>
          <w:rPr>
            <w:rFonts w:ascii="Cambria Math" w:hAnsi="Cambria Math" w:cs="Times New Roman"/>
          </w:rPr>
          <m:t>β</m:t>
        </m:r>
      </m:oMath>
      <w:r w:rsidR="00C604FE" w:rsidRPr="00AA2084">
        <w:rPr>
          <w:rFonts w:ascii="Times New Roman" w:hAnsi="Times New Roman" w:cs="Times New Roman"/>
          <w:vertAlign w:val="subscript"/>
        </w:rPr>
        <w:t>31</w:t>
      </w:r>
      <w:r w:rsidR="002916BA" w:rsidRPr="003D3598">
        <w:rPr>
          <w:rFonts w:ascii="Times New Roman" w:hAnsi="Times New Roman" w:cs="Times New Roman"/>
        </w:rPr>
        <w:t>) represent the exten</w:t>
      </w:r>
      <w:r w:rsidR="0020192D" w:rsidRPr="00276BD4">
        <w:rPr>
          <w:rFonts w:ascii="Times New Roman" w:hAnsi="Times New Roman" w:cs="Times New Roman"/>
        </w:rPr>
        <w:t>t to which the slope for female youth</w:t>
      </w:r>
      <w:r w:rsidR="002916BA" w:rsidRPr="00276BD4">
        <w:rPr>
          <w:rFonts w:ascii="Times New Roman" w:hAnsi="Times New Roman" w:cs="Times New Roman"/>
        </w:rPr>
        <w:t xml:space="preserve"> differs from the slope for males.</w:t>
      </w:r>
      <w:r w:rsidR="00E0595C" w:rsidRPr="00DB3561">
        <w:rPr>
          <w:rFonts w:ascii="Times New Roman" w:hAnsi="Times New Roman" w:cs="Times New Roman"/>
        </w:rPr>
        <w:t xml:space="preserve"> </w:t>
      </w:r>
      <w:r w:rsidR="002916BA" w:rsidRPr="00FA38A0">
        <w:rPr>
          <w:rFonts w:ascii="Times New Roman" w:hAnsi="Times New Roman" w:cs="Times New Roman"/>
        </w:rPr>
        <w:t>Across programs, when male youth experienced program activities as more challenging (</w:t>
      </w:r>
      <m:oMath>
        <m:r>
          <w:rPr>
            <w:rFonts w:ascii="Cambria Math" w:hAnsi="Cambria Math" w:cs="Times New Roman"/>
          </w:rPr>
          <m:t>β</m:t>
        </m:r>
      </m:oMath>
      <w:r w:rsidR="00C604FE" w:rsidRPr="00AA2084">
        <w:rPr>
          <w:rFonts w:ascii="Times New Roman" w:hAnsi="Times New Roman" w:cs="Times New Roman"/>
          <w:vertAlign w:val="subscript"/>
        </w:rPr>
        <w:t>10</w:t>
      </w:r>
      <w:r w:rsidR="0079648D">
        <w:rPr>
          <w:rFonts w:ascii="Times New Roman" w:hAnsi="Times New Roman" w:cs="Times New Roman"/>
          <w:vertAlign w:val="subscript"/>
        </w:rPr>
        <w:t xml:space="preserve"> </w:t>
      </w:r>
      <w:r w:rsidR="00D65AD1" w:rsidRPr="003D3598">
        <w:rPr>
          <w:rFonts w:ascii="Times New Roman" w:hAnsi="Times New Roman" w:cs="Times New Roman"/>
        </w:rPr>
        <w:t>=</w:t>
      </w:r>
      <w:r w:rsidR="0079648D">
        <w:rPr>
          <w:rFonts w:ascii="Times New Roman" w:hAnsi="Times New Roman" w:cs="Times New Roman"/>
        </w:rPr>
        <w:t xml:space="preserve"> </w:t>
      </w:r>
      <w:r w:rsidR="00D65AD1" w:rsidRPr="003D3598">
        <w:rPr>
          <w:rFonts w:ascii="Times New Roman" w:hAnsi="Times New Roman" w:cs="Times New Roman"/>
        </w:rPr>
        <w:t>.07</w:t>
      </w:r>
      <w:r w:rsidR="002916BA" w:rsidRPr="00276BD4">
        <w:rPr>
          <w:rFonts w:ascii="Times New Roman" w:hAnsi="Times New Roman" w:cs="Times New Roman"/>
        </w:rPr>
        <w:t xml:space="preserve">, </w:t>
      </w:r>
      <w:r w:rsidR="002916BA" w:rsidRPr="00276BD4">
        <w:rPr>
          <w:rFonts w:ascii="Times New Roman" w:hAnsi="Times New Roman" w:cs="Times New Roman"/>
          <w:i/>
        </w:rPr>
        <w:t>p</w:t>
      </w:r>
      <w:r w:rsidR="002916BA" w:rsidRPr="00BF6C34">
        <w:rPr>
          <w:rFonts w:ascii="Times New Roman" w:hAnsi="Times New Roman" w:cs="Times New Roman"/>
        </w:rPr>
        <w:t xml:space="preserve"> &lt; .001</w:t>
      </w:r>
      <w:r w:rsidR="00D5213F">
        <w:rPr>
          <w:rFonts w:ascii="Times New Roman" w:hAnsi="Times New Roman" w:cs="Times New Roman"/>
        </w:rPr>
        <w:t xml:space="preserve">, </w:t>
      </w:r>
      <w:r w:rsidR="00D5213F" w:rsidRPr="00D5213F">
        <w:rPr>
          <w:rFonts w:ascii="Times New Roman" w:hAnsi="Times New Roman" w:cs="Times New Roman"/>
          <w:i/>
        </w:rPr>
        <w:t xml:space="preserve">d </w:t>
      </w:r>
      <w:r w:rsidR="00D5213F">
        <w:rPr>
          <w:rFonts w:ascii="Times New Roman" w:hAnsi="Times New Roman" w:cs="Times New Roman"/>
        </w:rPr>
        <w:t>= 0.16</w:t>
      </w:r>
      <w:r w:rsidR="002916BA" w:rsidRPr="00BF6C34">
        <w:rPr>
          <w:rFonts w:ascii="Times New Roman" w:hAnsi="Times New Roman" w:cs="Times New Roman"/>
        </w:rPr>
        <w:t>), more relevant (</w:t>
      </w:r>
      <m:oMath>
        <m:r>
          <w:rPr>
            <w:rFonts w:ascii="Cambria Math" w:hAnsi="Cambria Math" w:cs="Times New Roman"/>
          </w:rPr>
          <m:t>β</m:t>
        </m:r>
      </m:oMath>
      <w:r w:rsidR="00C604FE" w:rsidRPr="00AA2084">
        <w:rPr>
          <w:rFonts w:ascii="Times New Roman" w:hAnsi="Times New Roman" w:cs="Times New Roman"/>
          <w:vertAlign w:val="subscript"/>
        </w:rPr>
        <w:t>10</w:t>
      </w:r>
      <w:r w:rsidR="0079648D">
        <w:rPr>
          <w:rFonts w:ascii="Times New Roman" w:hAnsi="Times New Roman" w:cs="Times New Roman"/>
          <w:vertAlign w:val="subscript"/>
        </w:rPr>
        <w:t xml:space="preserve"> </w:t>
      </w:r>
      <w:r w:rsidR="00C604FE" w:rsidRPr="003D3598">
        <w:rPr>
          <w:rFonts w:ascii="Times New Roman" w:hAnsi="Times New Roman" w:cs="Times New Roman"/>
        </w:rPr>
        <w:t>=</w:t>
      </w:r>
      <w:r w:rsidR="0079648D">
        <w:rPr>
          <w:rFonts w:ascii="Times New Roman" w:hAnsi="Times New Roman" w:cs="Times New Roman"/>
        </w:rPr>
        <w:t xml:space="preserve">   </w:t>
      </w:r>
      <w:r w:rsidR="00C604FE" w:rsidRPr="003D3598">
        <w:rPr>
          <w:rFonts w:ascii="Times New Roman" w:hAnsi="Times New Roman" w:cs="Times New Roman"/>
        </w:rPr>
        <w:t xml:space="preserve">.39, </w:t>
      </w:r>
      <w:r w:rsidR="00C604FE" w:rsidRPr="00276BD4">
        <w:rPr>
          <w:rFonts w:ascii="Times New Roman" w:hAnsi="Times New Roman" w:cs="Times New Roman"/>
          <w:i/>
        </w:rPr>
        <w:t>p</w:t>
      </w:r>
      <w:r w:rsidR="002916BA" w:rsidRPr="00276BD4">
        <w:rPr>
          <w:rFonts w:ascii="Times New Roman" w:hAnsi="Times New Roman" w:cs="Times New Roman"/>
        </w:rPr>
        <w:t xml:space="preserve"> &lt; .001</w:t>
      </w:r>
      <w:r w:rsidR="00D5213F">
        <w:rPr>
          <w:rFonts w:ascii="Times New Roman" w:hAnsi="Times New Roman" w:cs="Times New Roman"/>
        </w:rPr>
        <w:t xml:space="preserve">, </w:t>
      </w:r>
      <w:r w:rsidR="00D5213F" w:rsidRPr="00D5213F">
        <w:rPr>
          <w:rFonts w:ascii="Times New Roman" w:hAnsi="Times New Roman" w:cs="Times New Roman"/>
          <w:i/>
        </w:rPr>
        <w:t>d</w:t>
      </w:r>
      <w:r w:rsidR="00D5213F">
        <w:rPr>
          <w:rFonts w:ascii="Times New Roman" w:hAnsi="Times New Roman" w:cs="Times New Roman"/>
        </w:rPr>
        <w:t xml:space="preserve"> = 0.65</w:t>
      </w:r>
      <w:r w:rsidR="002916BA" w:rsidRPr="00276BD4">
        <w:rPr>
          <w:rFonts w:ascii="Times New Roman" w:hAnsi="Times New Roman" w:cs="Times New Roman"/>
        </w:rPr>
        <w:t>), and as prov</w:t>
      </w:r>
      <w:r w:rsidR="002916BA" w:rsidRPr="00BF6C34">
        <w:rPr>
          <w:rFonts w:ascii="Times New Roman" w:hAnsi="Times New Roman" w:cs="Times New Roman"/>
        </w:rPr>
        <w:t>iding more affordances for learning (</w:t>
      </w:r>
      <m:oMath>
        <m:r>
          <w:rPr>
            <w:rFonts w:ascii="Cambria Math" w:hAnsi="Cambria Math" w:cs="Times New Roman"/>
          </w:rPr>
          <m:t>β</m:t>
        </m:r>
      </m:oMath>
      <w:r w:rsidR="00C604FE" w:rsidRPr="00AA2084">
        <w:rPr>
          <w:rFonts w:ascii="Times New Roman" w:hAnsi="Times New Roman" w:cs="Times New Roman"/>
          <w:vertAlign w:val="subscript"/>
        </w:rPr>
        <w:t>30</w:t>
      </w:r>
      <w:r w:rsidR="002916BA" w:rsidRPr="003D3598">
        <w:rPr>
          <w:rFonts w:ascii="Times New Roman" w:hAnsi="Times New Roman" w:cs="Times New Roman"/>
        </w:rPr>
        <w:t xml:space="preserve"> = .27, </w:t>
      </w:r>
      <w:r w:rsidR="002916BA" w:rsidRPr="00276BD4">
        <w:rPr>
          <w:rFonts w:ascii="Times New Roman" w:hAnsi="Times New Roman" w:cs="Times New Roman"/>
          <w:i/>
        </w:rPr>
        <w:t>p</w:t>
      </w:r>
      <w:r w:rsidR="002916BA" w:rsidRPr="00276BD4">
        <w:rPr>
          <w:rFonts w:ascii="Times New Roman" w:hAnsi="Times New Roman" w:cs="Times New Roman"/>
        </w:rPr>
        <w:t xml:space="preserve"> &lt; .001</w:t>
      </w:r>
      <w:r w:rsidR="00D5213F">
        <w:rPr>
          <w:rFonts w:ascii="Times New Roman" w:hAnsi="Times New Roman" w:cs="Times New Roman"/>
        </w:rPr>
        <w:t xml:space="preserve">, </w:t>
      </w:r>
      <w:r w:rsidR="00D5213F" w:rsidRPr="00D5213F">
        <w:rPr>
          <w:rFonts w:ascii="Times New Roman" w:hAnsi="Times New Roman" w:cs="Times New Roman"/>
          <w:i/>
        </w:rPr>
        <w:t>d</w:t>
      </w:r>
      <w:r w:rsidR="00D5213F">
        <w:rPr>
          <w:rFonts w:ascii="Times New Roman" w:hAnsi="Times New Roman" w:cs="Times New Roman"/>
        </w:rPr>
        <w:t xml:space="preserve"> = .56</w:t>
      </w:r>
      <w:r w:rsidR="002916BA" w:rsidRPr="00276BD4">
        <w:rPr>
          <w:rFonts w:ascii="Times New Roman" w:hAnsi="Times New Roman" w:cs="Times New Roman"/>
        </w:rPr>
        <w:t xml:space="preserve">), their engagement was significantly higher. </w:t>
      </w:r>
    </w:p>
    <w:p w14:paraId="6417B3D4" w14:textId="77777777" w:rsidR="00B205EB" w:rsidRDefault="00571F53" w:rsidP="00A73422">
      <w:pPr>
        <w:ind w:firstLine="720"/>
        <w:contextualSpacing/>
        <w:rPr>
          <w:rFonts w:ascii="Times New Roman" w:hAnsi="Times New Roman" w:cs="Times New Roman"/>
        </w:rPr>
      </w:pPr>
      <w:r w:rsidRPr="00BF6C34">
        <w:rPr>
          <w:rFonts w:ascii="Times New Roman" w:hAnsi="Times New Roman" w:cs="Times New Roman"/>
        </w:rPr>
        <w:t xml:space="preserve">The significant </w:t>
      </w:r>
      <w:r w:rsidR="00C604FE" w:rsidRPr="00BF6C34">
        <w:rPr>
          <w:rFonts w:ascii="Times New Roman" w:hAnsi="Times New Roman" w:cs="Times New Roman"/>
        </w:rPr>
        <w:t>negative coefficients for f</w:t>
      </w:r>
      <w:r w:rsidRPr="00BF6C34">
        <w:rPr>
          <w:rFonts w:ascii="Times New Roman" w:hAnsi="Times New Roman" w:cs="Times New Roman"/>
        </w:rPr>
        <w:t>emale</w:t>
      </w:r>
      <w:r w:rsidR="00C604FE" w:rsidRPr="00931EC8">
        <w:rPr>
          <w:rFonts w:ascii="Times New Roman" w:hAnsi="Times New Roman" w:cs="Times New Roman"/>
        </w:rPr>
        <w:t xml:space="preserve"> on the challenge and relevance slopes</w:t>
      </w:r>
      <w:r w:rsidRPr="00931EC8">
        <w:rPr>
          <w:rFonts w:ascii="Times New Roman" w:hAnsi="Times New Roman" w:cs="Times New Roman"/>
        </w:rPr>
        <w:t xml:space="preserve"> (</w:t>
      </w:r>
      <m:oMath>
        <m:r>
          <w:rPr>
            <w:rFonts w:ascii="Cambria Math" w:hAnsi="Cambria Math" w:cs="Times New Roman"/>
          </w:rPr>
          <m:t>β</m:t>
        </m:r>
      </m:oMath>
      <w:r w:rsidR="00C604FE" w:rsidRPr="00AA2084">
        <w:rPr>
          <w:rFonts w:ascii="Times New Roman" w:hAnsi="Times New Roman" w:cs="Times New Roman"/>
          <w:vertAlign w:val="subscript"/>
        </w:rPr>
        <w:t xml:space="preserve">11 </w:t>
      </w:r>
      <w:r w:rsidR="00C604FE" w:rsidRPr="003D3598">
        <w:rPr>
          <w:rFonts w:ascii="Times New Roman" w:hAnsi="Times New Roman" w:cs="Times New Roman"/>
        </w:rPr>
        <w:t xml:space="preserve">= -.05, </w:t>
      </w:r>
      <w:r w:rsidR="00C604FE" w:rsidRPr="00276BD4">
        <w:rPr>
          <w:rFonts w:ascii="Times New Roman" w:hAnsi="Times New Roman" w:cs="Times New Roman"/>
          <w:i/>
        </w:rPr>
        <w:t>p</w:t>
      </w:r>
      <w:r w:rsidR="00C604FE" w:rsidRPr="00276BD4">
        <w:rPr>
          <w:rFonts w:ascii="Times New Roman" w:hAnsi="Times New Roman" w:cs="Times New Roman"/>
        </w:rPr>
        <w:t xml:space="preserve"> &lt; .05; </w:t>
      </w:r>
      <w:r w:rsidRPr="00BF6C34">
        <w:rPr>
          <w:rFonts w:ascii="Times New Roman" w:hAnsi="Times New Roman" w:cs="Times New Roman"/>
        </w:rPr>
        <w:t xml:space="preserve">1 and </w:t>
      </w:r>
      <m:oMath>
        <m:r>
          <w:rPr>
            <w:rFonts w:ascii="Cambria Math" w:hAnsi="Cambria Math" w:cs="Times New Roman"/>
          </w:rPr>
          <m:t>β</m:t>
        </m:r>
      </m:oMath>
      <w:r w:rsidR="00C604FE" w:rsidRPr="00AA2084">
        <w:rPr>
          <w:rFonts w:ascii="Times New Roman" w:hAnsi="Times New Roman" w:cs="Times New Roman"/>
          <w:vertAlign w:val="subscript"/>
        </w:rPr>
        <w:t>21</w:t>
      </w:r>
      <w:r w:rsidR="00D65AD1" w:rsidRPr="003D3598">
        <w:rPr>
          <w:rFonts w:ascii="Times New Roman" w:hAnsi="Times New Roman" w:cs="Times New Roman"/>
        </w:rPr>
        <w:t xml:space="preserve"> = -.08</w:t>
      </w:r>
      <w:r w:rsidR="00C604FE" w:rsidRPr="00276BD4">
        <w:rPr>
          <w:rFonts w:ascii="Times New Roman" w:hAnsi="Times New Roman" w:cs="Times New Roman"/>
        </w:rPr>
        <w:t xml:space="preserve">, </w:t>
      </w:r>
      <w:r w:rsidR="00C604FE" w:rsidRPr="00276BD4">
        <w:rPr>
          <w:rFonts w:ascii="Times New Roman" w:hAnsi="Times New Roman" w:cs="Times New Roman"/>
          <w:i/>
        </w:rPr>
        <w:t>p</w:t>
      </w:r>
      <w:r w:rsidR="00C604FE" w:rsidRPr="00BF6C34">
        <w:rPr>
          <w:rFonts w:ascii="Times New Roman" w:hAnsi="Times New Roman" w:cs="Times New Roman"/>
        </w:rPr>
        <w:t xml:space="preserve"> &lt; .05</w:t>
      </w:r>
      <w:r w:rsidR="008A29CA">
        <w:rPr>
          <w:rFonts w:ascii="Times New Roman" w:hAnsi="Times New Roman" w:cs="Times New Roman"/>
        </w:rPr>
        <w:t>, respectively</w:t>
      </w:r>
      <w:r w:rsidRPr="00BF6C34">
        <w:rPr>
          <w:rFonts w:ascii="Times New Roman" w:hAnsi="Times New Roman" w:cs="Times New Roman"/>
        </w:rPr>
        <w:t xml:space="preserve">) indicate that the </w:t>
      </w:r>
      <w:r w:rsidR="00AB0D5E" w:rsidRPr="00BF6C34">
        <w:rPr>
          <w:rFonts w:ascii="Times New Roman" w:hAnsi="Times New Roman" w:cs="Times New Roman"/>
        </w:rPr>
        <w:t>associations of challenge and relevance with engagement were</w:t>
      </w:r>
      <w:r w:rsidR="00AF4CB5" w:rsidRPr="00DB3561">
        <w:rPr>
          <w:rFonts w:ascii="Times New Roman" w:hAnsi="Times New Roman" w:cs="Times New Roman"/>
        </w:rPr>
        <w:t xml:space="preserve"> different for females relative to</w:t>
      </w:r>
      <w:r w:rsidRPr="00FA38A0">
        <w:rPr>
          <w:rFonts w:ascii="Times New Roman" w:hAnsi="Times New Roman" w:cs="Times New Roman"/>
        </w:rPr>
        <w:t xml:space="preserve"> males. In both cases, female youth appear to be less “responsive” to challenge and relevance in that they do not engage to the extent that male youth do when they perceive a learning situation as more cha</w:t>
      </w:r>
      <w:r w:rsidR="009662B5" w:rsidRPr="00E12A75">
        <w:rPr>
          <w:rFonts w:ascii="Times New Roman" w:hAnsi="Times New Roman" w:cs="Times New Roman"/>
        </w:rPr>
        <w:t>llenging or more relevant. The</w:t>
      </w:r>
      <w:r w:rsidRPr="00870EF0">
        <w:rPr>
          <w:rFonts w:ascii="Times New Roman" w:hAnsi="Times New Roman" w:cs="Times New Roman"/>
        </w:rPr>
        <w:t xml:space="preserve"> interaction effects </w:t>
      </w:r>
      <w:r w:rsidR="009662B5" w:rsidRPr="00510F66">
        <w:rPr>
          <w:rFonts w:ascii="Times New Roman" w:hAnsi="Times New Roman" w:cs="Times New Roman"/>
        </w:rPr>
        <w:t xml:space="preserve">regarding challenge and relevance </w:t>
      </w:r>
      <w:r w:rsidRPr="00011528">
        <w:rPr>
          <w:rFonts w:ascii="Times New Roman" w:hAnsi="Times New Roman" w:cs="Times New Roman"/>
        </w:rPr>
        <w:t>are represented graphically in Figures 1 and 2, respectively.</w:t>
      </w:r>
    </w:p>
    <w:p w14:paraId="54A0FAC8" w14:textId="77777777" w:rsidR="00B205EB" w:rsidRDefault="00B205EB" w:rsidP="00A73422">
      <w:r>
        <w:rPr>
          <w:rFonts w:ascii="Times New Roman" w:hAnsi="Times New Roman" w:cs="Times New Roman"/>
          <w:noProof/>
        </w:rPr>
        <w:lastRenderedPageBreak/>
        <w:drawing>
          <wp:inline distT="0" distB="0" distL="0" distR="0" wp14:anchorId="3B470A1D" wp14:editId="2F5BD02E">
            <wp:extent cx="5943600" cy="5770880"/>
            <wp:effectExtent l="0" t="0" r="0" b="0"/>
            <wp:docPr id="4" name="Picture 4" descr="A picture containing text, white,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llenge_gender_plot.png"/>
                    <pic:cNvPicPr/>
                  </pic:nvPicPr>
                  <pic:blipFill>
                    <a:blip r:embed="rId9"/>
                    <a:stretch>
                      <a:fillRect/>
                    </a:stretch>
                  </pic:blipFill>
                  <pic:spPr>
                    <a:xfrm>
                      <a:off x="0" y="0"/>
                      <a:ext cx="5943600" cy="5770880"/>
                    </a:xfrm>
                    <a:prstGeom prst="rect">
                      <a:avLst/>
                    </a:prstGeom>
                  </pic:spPr>
                </pic:pic>
              </a:graphicData>
            </a:graphic>
          </wp:inline>
        </w:drawing>
      </w:r>
    </w:p>
    <w:p w14:paraId="7A918277" w14:textId="77777777" w:rsidR="00B205EB" w:rsidRPr="003D3598" w:rsidRDefault="00B205EB" w:rsidP="00A73422">
      <w:pPr>
        <w:contextualSpacing/>
        <w:rPr>
          <w:rFonts w:ascii="Times New Roman" w:hAnsi="Times New Roman" w:cs="Times New Roman"/>
          <w:i/>
        </w:rPr>
      </w:pPr>
      <w:r w:rsidRPr="003D3598">
        <w:rPr>
          <w:rFonts w:ascii="Times New Roman" w:hAnsi="Times New Roman" w:cs="Times New Roman"/>
        </w:rPr>
        <w:t xml:space="preserve">Figure 1. </w:t>
      </w:r>
      <w:r w:rsidRPr="003D3598">
        <w:rPr>
          <w:rFonts w:ascii="Times New Roman" w:hAnsi="Times New Roman" w:cs="Times New Roman"/>
          <w:i/>
        </w:rPr>
        <w:t>Association between perceived challenge and engagement, by gender</w:t>
      </w:r>
    </w:p>
    <w:p w14:paraId="2A3CF703" w14:textId="77777777" w:rsidR="00B205EB" w:rsidRDefault="00B205EB" w:rsidP="00A73422">
      <w:r>
        <w:rPr>
          <w:rFonts w:ascii="Times New Roman" w:hAnsi="Times New Roman" w:cs="Times New Roman"/>
          <w:noProof/>
        </w:rPr>
        <w:lastRenderedPageBreak/>
        <w:drawing>
          <wp:inline distT="0" distB="0" distL="0" distR="0" wp14:anchorId="1494B8EB" wp14:editId="2886D6B4">
            <wp:extent cx="5943600" cy="5943600"/>
            <wp:effectExtent l="0" t="0" r="0" b="0"/>
            <wp:docPr id="3" name="Picture 3"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evance_gender_plot.png"/>
                    <pic:cNvPicPr/>
                  </pic:nvPicPr>
                  <pic:blipFill>
                    <a:blip r:embed="rId10"/>
                    <a:stretch>
                      <a:fillRect/>
                    </a:stretch>
                  </pic:blipFill>
                  <pic:spPr>
                    <a:xfrm>
                      <a:off x="0" y="0"/>
                      <a:ext cx="5943600" cy="5943600"/>
                    </a:xfrm>
                    <a:prstGeom prst="rect">
                      <a:avLst/>
                    </a:prstGeom>
                  </pic:spPr>
                </pic:pic>
              </a:graphicData>
            </a:graphic>
          </wp:inline>
        </w:drawing>
      </w:r>
    </w:p>
    <w:p w14:paraId="75FEB4C3" w14:textId="77777777" w:rsidR="00B205EB" w:rsidRPr="00E12A75" w:rsidRDefault="00B205EB" w:rsidP="00A73422">
      <w:pPr>
        <w:rPr>
          <w:rFonts w:ascii="Times New Roman" w:hAnsi="Times New Roman" w:cs="Times New Roman"/>
          <w:i/>
        </w:rPr>
      </w:pPr>
      <w:r w:rsidRPr="003D3598">
        <w:rPr>
          <w:rFonts w:ascii="Times New Roman" w:hAnsi="Times New Roman" w:cs="Times New Roman"/>
        </w:rPr>
        <w:t xml:space="preserve">Figure 2. </w:t>
      </w:r>
      <w:r w:rsidRPr="003D0A5C">
        <w:rPr>
          <w:rFonts w:ascii="Times New Roman" w:hAnsi="Times New Roman" w:cs="Times New Roman"/>
          <w:i/>
        </w:rPr>
        <w:t>Associati</w:t>
      </w:r>
      <w:r w:rsidRPr="00DB3561">
        <w:rPr>
          <w:rFonts w:ascii="Times New Roman" w:hAnsi="Times New Roman" w:cs="Times New Roman"/>
          <w:i/>
        </w:rPr>
        <w:t>on between perceived relevance and engagement, by gender</w:t>
      </w:r>
    </w:p>
    <w:p w14:paraId="3608CB5E" w14:textId="77777777" w:rsidR="00B205EB" w:rsidRDefault="00B205EB" w:rsidP="00A73422"/>
    <w:p w14:paraId="5104975A" w14:textId="7C5AA82D" w:rsidR="001E3C20" w:rsidRPr="00DB3561" w:rsidRDefault="009662B5" w:rsidP="00A73422">
      <w:pPr>
        <w:contextualSpacing/>
        <w:rPr>
          <w:rFonts w:ascii="Times New Roman" w:hAnsi="Times New Roman" w:cs="Times New Roman"/>
        </w:rPr>
      </w:pPr>
      <w:r w:rsidRPr="0041527C">
        <w:rPr>
          <w:rFonts w:ascii="Times New Roman" w:hAnsi="Times New Roman" w:cs="Times New Roman"/>
        </w:rPr>
        <w:t>As seen in the figures, the positive ef</w:t>
      </w:r>
      <w:r w:rsidRPr="00111E51">
        <w:rPr>
          <w:rFonts w:ascii="Times New Roman" w:hAnsi="Times New Roman" w:cs="Times New Roman"/>
        </w:rPr>
        <w:t xml:space="preserve">fect of challenge on engagement that was observed for </w:t>
      </w:r>
      <w:r w:rsidR="0020192D" w:rsidRPr="00344954">
        <w:rPr>
          <w:rFonts w:ascii="Times New Roman" w:hAnsi="Times New Roman" w:cs="Times New Roman"/>
        </w:rPr>
        <w:t>male youth</w:t>
      </w:r>
      <w:r w:rsidR="00C604FE" w:rsidRPr="00921F21">
        <w:rPr>
          <w:rFonts w:ascii="Times New Roman" w:hAnsi="Times New Roman" w:cs="Times New Roman"/>
        </w:rPr>
        <w:t xml:space="preserve"> was essentially nonexistent for </w:t>
      </w:r>
      <w:r w:rsidR="0020192D" w:rsidRPr="00921F21">
        <w:rPr>
          <w:rFonts w:ascii="Times New Roman" w:hAnsi="Times New Roman" w:cs="Times New Roman"/>
        </w:rPr>
        <w:t>female youth</w:t>
      </w:r>
      <w:r w:rsidR="00C604FE" w:rsidRPr="003D3598">
        <w:rPr>
          <w:rFonts w:ascii="Times New Roman" w:hAnsi="Times New Roman" w:cs="Times New Roman"/>
        </w:rPr>
        <w:t xml:space="preserve">, whereas the positive effect of relevance on engagement was simply more muted for </w:t>
      </w:r>
      <w:r w:rsidR="0020192D" w:rsidRPr="003D3598">
        <w:rPr>
          <w:rFonts w:ascii="Times New Roman" w:hAnsi="Times New Roman" w:cs="Times New Roman"/>
        </w:rPr>
        <w:t>female youth</w:t>
      </w:r>
      <w:r w:rsidR="00C604FE" w:rsidRPr="003D3598">
        <w:rPr>
          <w:rFonts w:ascii="Times New Roman" w:hAnsi="Times New Roman" w:cs="Times New Roman"/>
        </w:rPr>
        <w:t xml:space="preserve"> than it was for </w:t>
      </w:r>
      <w:r w:rsidR="0020192D" w:rsidRPr="003D3598">
        <w:rPr>
          <w:rFonts w:ascii="Times New Roman" w:hAnsi="Times New Roman" w:cs="Times New Roman"/>
        </w:rPr>
        <w:t>male youth</w:t>
      </w:r>
      <w:r w:rsidR="00C604FE" w:rsidRPr="003D3598">
        <w:rPr>
          <w:rFonts w:ascii="Times New Roman" w:hAnsi="Times New Roman" w:cs="Times New Roman"/>
        </w:rPr>
        <w:t xml:space="preserve">. </w:t>
      </w:r>
      <w:r w:rsidR="00571F53" w:rsidRPr="003D3598">
        <w:rPr>
          <w:rFonts w:ascii="Times New Roman" w:hAnsi="Times New Roman" w:cs="Times New Roman"/>
        </w:rPr>
        <w:t>The nonsignificant coefficient for female on the slope for learning (</w:t>
      </w:r>
      <m:oMath>
        <m:r>
          <w:rPr>
            <w:rFonts w:ascii="Cambria Math" w:hAnsi="Cambria Math" w:cs="Times New Roman"/>
          </w:rPr>
          <m:t>β</m:t>
        </m:r>
      </m:oMath>
      <w:r w:rsidR="00C604FE" w:rsidRPr="00AA2084">
        <w:rPr>
          <w:rFonts w:ascii="Times New Roman" w:hAnsi="Times New Roman" w:cs="Times New Roman"/>
          <w:vertAlign w:val="subscript"/>
        </w:rPr>
        <w:t>31</w:t>
      </w:r>
      <w:r w:rsidR="00D65AD1" w:rsidRPr="003D3598">
        <w:rPr>
          <w:rFonts w:ascii="Times New Roman" w:hAnsi="Times New Roman" w:cs="Times New Roman"/>
        </w:rPr>
        <w:t xml:space="preserve"> = .01</w:t>
      </w:r>
      <w:r w:rsidR="00571F53" w:rsidRPr="00BF6C34">
        <w:rPr>
          <w:rFonts w:ascii="Times New Roman" w:hAnsi="Times New Roman" w:cs="Times New Roman"/>
        </w:rPr>
        <w:t xml:space="preserve">, </w:t>
      </w:r>
      <w:r w:rsidR="00571F53" w:rsidRPr="0079648D">
        <w:rPr>
          <w:rFonts w:ascii="Times New Roman" w:hAnsi="Times New Roman" w:cs="Times New Roman"/>
          <w:i/>
        </w:rPr>
        <w:t>ns</w:t>
      </w:r>
      <w:r w:rsidR="00571F53" w:rsidRPr="003D3598">
        <w:rPr>
          <w:rFonts w:ascii="Times New Roman" w:hAnsi="Times New Roman" w:cs="Times New Roman"/>
        </w:rPr>
        <w:t xml:space="preserve">) means that the female youth in the sample experienced </w:t>
      </w:r>
      <w:r w:rsidR="00C604FE" w:rsidRPr="00BF6C34">
        <w:rPr>
          <w:rFonts w:ascii="Times New Roman" w:hAnsi="Times New Roman" w:cs="Times New Roman"/>
        </w:rPr>
        <w:t xml:space="preserve">essentially </w:t>
      </w:r>
      <w:r w:rsidR="00571F53" w:rsidRPr="00BF6C34">
        <w:rPr>
          <w:rFonts w:ascii="Times New Roman" w:hAnsi="Times New Roman" w:cs="Times New Roman"/>
        </w:rPr>
        <w:t xml:space="preserve">the same positive association between learning and engagement that was observed among males. </w:t>
      </w:r>
    </w:p>
    <w:p w14:paraId="538119D5" w14:textId="0A4D7B20" w:rsidR="00C604FE" w:rsidRPr="003D3598" w:rsidRDefault="00AA4F14" w:rsidP="00A73422">
      <w:pPr>
        <w:ind w:firstLine="720"/>
        <w:contextualSpacing/>
        <w:rPr>
          <w:rFonts w:ascii="Times New Roman" w:hAnsi="Times New Roman" w:cs="Times New Roman"/>
        </w:rPr>
      </w:pPr>
      <w:r w:rsidRPr="00FA38A0">
        <w:rPr>
          <w:rFonts w:ascii="Times New Roman" w:hAnsi="Times New Roman" w:cs="Times New Roman"/>
        </w:rPr>
        <w:t xml:space="preserve">It is important to </w:t>
      </w:r>
      <w:r w:rsidR="00E75BB1" w:rsidRPr="00DA4579">
        <w:rPr>
          <w:rFonts w:ascii="Times New Roman" w:hAnsi="Times New Roman" w:cs="Times New Roman"/>
        </w:rPr>
        <w:t>note that</w:t>
      </w:r>
      <w:r w:rsidRPr="00870EF0">
        <w:rPr>
          <w:rFonts w:ascii="Times New Roman" w:hAnsi="Times New Roman" w:cs="Times New Roman"/>
        </w:rPr>
        <w:t xml:space="preserve"> because youths’ perceptions of challenge, relevance and learning were all included in the same model</w:t>
      </w:r>
      <w:r w:rsidR="003917DF" w:rsidRPr="00510F66">
        <w:rPr>
          <w:rFonts w:ascii="Times New Roman" w:hAnsi="Times New Roman" w:cs="Times New Roman"/>
        </w:rPr>
        <w:t xml:space="preserve"> predicting engagement</w:t>
      </w:r>
      <w:r w:rsidRPr="00011528">
        <w:rPr>
          <w:rFonts w:ascii="Times New Roman" w:hAnsi="Times New Roman" w:cs="Times New Roman"/>
        </w:rPr>
        <w:t>, the effects of each can be interpreted as independent</w:t>
      </w:r>
      <w:r w:rsidR="00FE64CC" w:rsidRPr="0041527C">
        <w:rPr>
          <w:rFonts w:ascii="Times New Roman" w:hAnsi="Times New Roman" w:cs="Times New Roman"/>
        </w:rPr>
        <w:t xml:space="preserve"> of the other effects</w:t>
      </w:r>
      <w:r w:rsidRPr="00111E51">
        <w:rPr>
          <w:rFonts w:ascii="Times New Roman" w:hAnsi="Times New Roman" w:cs="Times New Roman"/>
        </w:rPr>
        <w:t>. In other words, when youth perceived their</w:t>
      </w:r>
      <w:r w:rsidRPr="00344954">
        <w:rPr>
          <w:rFonts w:ascii="Times New Roman" w:hAnsi="Times New Roman" w:cs="Times New Roman"/>
        </w:rPr>
        <w:t xml:space="preserve"> program activities as more relevant, their engagement </w:t>
      </w:r>
      <w:r w:rsidR="008D5B4F" w:rsidRPr="00921F21">
        <w:rPr>
          <w:rFonts w:ascii="Times New Roman" w:hAnsi="Times New Roman" w:cs="Times New Roman"/>
        </w:rPr>
        <w:t xml:space="preserve">was higher, </w:t>
      </w:r>
      <w:r w:rsidR="006B7C7D" w:rsidRPr="00921F21">
        <w:rPr>
          <w:rFonts w:ascii="Times New Roman" w:hAnsi="Times New Roman" w:cs="Times New Roman"/>
        </w:rPr>
        <w:t xml:space="preserve">regardless </w:t>
      </w:r>
      <w:r w:rsidR="00325C79" w:rsidRPr="00921F21">
        <w:rPr>
          <w:rFonts w:ascii="Times New Roman" w:hAnsi="Times New Roman" w:cs="Times New Roman"/>
        </w:rPr>
        <w:t>of</w:t>
      </w:r>
      <w:r w:rsidR="00325C79">
        <w:rPr>
          <w:rFonts w:ascii="Times New Roman" w:hAnsi="Times New Roman" w:cs="Times New Roman"/>
        </w:rPr>
        <w:t xml:space="preserve"> how</w:t>
      </w:r>
      <w:r w:rsidRPr="00510F66">
        <w:rPr>
          <w:rFonts w:ascii="Times New Roman" w:hAnsi="Times New Roman" w:cs="Times New Roman"/>
        </w:rPr>
        <w:t xml:space="preserve"> challenged they felt or how much they felt they were learning. Likewise, the perception </w:t>
      </w:r>
      <w:r w:rsidR="003917DF" w:rsidRPr="00011528">
        <w:rPr>
          <w:rFonts w:ascii="Times New Roman" w:hAnsi="Times New Roman" w:cs="Times New Roman"/>
        </w:rPr>
        <w:t xml:space="preserve">that one was </w:t>
      </w:r>
      <w:r w:rsidR="003917DF" w:rsidRPr="00011528">
        <w:rPr>
          <w:rFonts w:ascii="Times New Roman" w:hAnsi="Times New Roman" w:cs="Times New Roman"/>
        </w:rPr>
        <w:lastRenderedPageBreak/>
        <w:t xml:space="preserve">learning was associated with increased engagement </w:t>
      </w:r>
      <w:r w:rsidR="003917DF" w:rsidRPr="0041527C">
        <w:rPr>
          <w:rFonts w:ascii="Times New Roman" w:hAnsi="Times New Roman" w:cs="Times New Roman"/>
        </w:rPr>
        <w:t>regardless of</w:t>
      </w:r>
      <w:r w:rsidR="003917DF" w:rsidRPr="00111E51">
        <w:rPr>
          <w:rFonts w:ascii="Times New Roman" w:hAnsi="Times New Roman" w:cs="Times New Roman"/>
        </w:rPr>
        <w:t xml:space="preserve"> whether </w:t>
      </w:r>
      <w:r w:rsidR="00123A5D" w:rsidRPr="00344954">
        <w:rPr>
          <w:rFonts w:ascii="Times New Roman" w:hAnsi="Times New Roman" w:cs="Times New Roman"/>
        </w:rPr>
        <w:t>on</w:t>
      </w:r>
      <w:r w:rsidR="00577565" w:rsidRPr="00921F21">
        <w:rPr>
          <w:rFonts w:ascii="Times New Roman" w:hAnsi="Times New Roman" w:cs="Times New Roman"/>
        </w:rPr>
        <w:t>e</w:t>
      </w:r>
      <w:r w:rsidR="00123A5D" w:rsidRPr="00921F21">
        <w:rPr>
          <w:rFonts w:ascii="Times New Roman" w:hAnsi="Times New Roman" w:cs="Times New Roman"/>
        </w:rPr>
        <w:t xml:space="preserve"> perceived the content as</w:t>
      </w:r>
      <w:r w:rsidR="003917DF" w:rsidRPr="003D3598">
        <w:rPr>
          <w:rFonts w:ascii="Times New Roman" w:hAnsi="Times New Roman" w:cs="Times New Roman"/>
        </w:rPr>
        <w:t xml:space="preserve"> relevant </w:t>
      </w:r>
      <w:r w:rsidR="00290E51" w:rsidRPr="003D3598">
        <w:rPr>
          <w:rFonts w:ascii="Times New Roman" w:hAnsi="Times New Roman" w:cs="Times New Roman"/>
        </w:rPr>
        <w:t>or felt especially challenged.</w:t>
      </w:r>
    </w:p>
    <w:p w14:paraId="71F1A89D" w14:textId="0B77D6CF" w:rsidR="008753C5" w:rsidRDefault="008753C5" w:rsidP="00A73422">
      <w:pPr>
        <w:contextualSpacing/>
        <w:rPr>
          <w:rFonts w:ascii="Times New Roman" w:hAnsi="Times New Roman" w:cs="Times New Roman"/>
          <w:b/>
        </w:rPr>
      </w:pPr>
      <w:r w:rsidRPr="008753C5">
        <w:rPr>
          <w:rFonts w:ascii="Times New Roman" w:hAnsi="Times New Roman" w:cs="Times New Roman"/>
          <w:b/>
        </w:rPr>
        <w:t xml:space="preserve">How </w:t>
      </w:r>
      <w:r w:rsidR="00F240CD">
        <w:rPr>
          <w:rFonts w:ascii="Times New Roman" w:hAnsi="Times New Roman" w:cs="Times New Roman"/>
          <w:b/>
        </w:rPr>
        <w:t xml:space="preserve">Specific </w:t>
      </w:r>
      <w:r w:rsidR="001460E9">
        <w:rPr>
          <w:rFonts w:ascii="Times New Roman" w:hAnsi="Times New Roman" w:cs="Times New Roman"/>
          <w:b/>
        </w:rPr>
        <w:t>P</w:t>
      </w:r>
      <w:r>
        <w:rPr>
          <w:rFonts w:ascii="Times New Roman" w:hAnsi="Times New Roman" w:cs="Times New Roman"/>
          <w:b/>
        </w:rPr>
        <w:t xml:space="preserve">rogram </w:t>
      </w:r>
      <w:r w:rsidR="001460E9">
        <w:rPr>
          <w:rFonts w:ascii="Times New Roman" w:hAnsi="Times New Roman" w:cs="Times New Roman"/>
          <w:b/>
        </w:rPr>
        <w:t>A</w:t>
      </w:r>
      <w:r w:rsidRPr="008753C5">
        <w:rPr>
          <w:rFonts w:ascii="Times New Roman" w:hAnsi="Times New Roman" w:cs="Times New Roman"/>
          <w:b/>
        </w:rPr>
        <w:t xml:space="preserve">ctivities </w:t>
      </w:r>
      <w:r w:rsidR="001460E9">
        <w:rPr>
          <w:rFonts w:ascii="Times New Roman" w:hAnsi="Times New Roman" w:cs="Times New Roman"/>
          <w:b/>
        </w:rPr>
        <w:t>are R</w:t>
      </w:r>
      <w:r w:rsidRPr="008753C5">
        <w:rPr>
          <w:rFonts w:ascii="Times New Roman" w:hAnsi="Times New Roman" w:cs="Times New Roman"/>
          <w:b/>
        </w:rPr>
        <w:t xml:space="preserve">elated to </w:t>
      </w:r>
      <w:r w:rsidR="001460E9">
        <w:rPr>
          <w:rFonts w:ascii="Times New Roman" w:hAnsi="Times New Roman" w:cs="Times New Roman"/>
          <w:b/>
        </w:rPr>
        <w:t>Y</w:t>
      </w:r>
      <w:r w:rsidRPr="008753C5">
        <w:rPr>
          <w:rFonts w:ascii="Times New Roman" w:hAnsi="Times New Roman" w:cs="Times New Roman"/>
          <w:b/>
        </w:rPr>
        <w:t>ouths</w:t>
      </w:r>
      <w:r w:rsidR="003C1ED9">
        <w:rPr>
          <w:rFonts w:ascii="Times New Roman" w:hAnsi="Times New Roman" w:cs="Times New Roman"/>
          <w:b/>
        </w:rPr>
        <w:t>’</w:t>
      </w:r>
      <w:r w:rsidRPr="008753C5">
        <w:rPr>
          <w:rFonts w:ascii="Times New Roman" w:hAnsi="Times New Roman" w:cs="Times New Roman"/>
          <w:b/>
        </w:rPr>
        <w:t xml:space="preserve"> </w:t>
      </w:r>
      <w:r w:rsidR="001460E9">
        <w:rPr>
          <w:rFonts w:ascii="Times New Roman" w:hAnsi="Times New Roman" w:cs="Times New Roman"/>
          <w:b/>
        </w:rPr>
        <w:t>P</w:t>
      </w:r>
      <w:r w:rsidRPr="008753C5">
        <w:rPr>
          <w:rFonts w:ascii="Times New Roman" w:hAnsi="Times New Roman" w:cs="Times New Roman"/>
          <w:b/>
        </w:rPr>
        <w:t xml:space="preserve">erceptions of </w:t>
      </w:r>
      <w:r w:rsidR="001460E9">
        <w:rPr>
          <w:rFonts w:ascii="Times New Roman" w:hAnsi="Times New Roman" w:cs="Times New Roman"/>
          <w:b/>
        </w:rPr>
        <w:t>C</w:t>
      </w:r>
      <w:r w:rsidRPr="008753C5">
        <w:rPr>
          <w:rFonts w:ascii="Times New Roman" w:hAnsi="Times New Roman" w:cs="Times New Roman"/>
          <w:b/>
        </w:rPr>
        <w:t xml:space="preserve">hallenge, </w:t>
      </w:r>
      <w:r w:rsidR="001460E9">
        <w:rPr>
          <w:rFonts w:ascii="Times New Roman" w:hAnsi="Times New Roman" w:cs="Times New Roman"/>
          <w:b/>
        </w:rPr>
        <w:t>R</w:t>
      </w:r>
      <w:r w:rsidRPr="008753C5">
        <w:rPr>
          <w:rFonts w:ascii="Times New Roman" w:hAnsi="Times New Roman" w:cs="Times New Roman"/>
          <w:b/>
        </w:rPr>
        <w:t xml:space="preserve">elevance, and </w:t>
      </w:r>
      <w:r w:rsidR="001460E9">
        <w:rPr>
          <w:rFonts w:ascii="Times New Roman" w:hAnsi="Times New Roman" w:cs="Times New Roman"/>
          <w:b/>
        </w:rPr>
        <w:t>L</w:t>
      </w:r>
      <w:r w:rsidRPr="008753C5">
        <w:rPr>
          <w:rFonts w:ascii="Times New Roman" w:hAnsi="Times New Roman" w:cs="Times New Roman"/>
          <w:b/>
        </w:rPr>
        <w:t xml:space="preserve">earning, </w:t>
      </w:r>
      <w:r w:rsidR="001460E9">
        <w:rPr>
          <w:rFonts w:ascii="Times New Roman" w:hAnsi="Times New Roman" w:cs="Times New Roman"/>
          <w:b/>
        </w:rPr>
        <w:t xml:space="preserve">and </w:t>
      </w:r>
      <w:r w:rsidRPr="008753C5">
        <w:rPr>
          <w:rFonts w:ascii="Times New Roman" w:hAnsi="Times New Roman" w:cs="Times New Roman"/>
          <w:b/>
        </w:rPr>
        <w:t xml:space="preserve">the </w:t>
      </w:r>
      <w:r w:rsidR="001460E9">
        <w:rPr>
          <w:rFonts w:ascii="Times New Roman" w:hAnsi="Times New Roman" w:cs="Times New Roman"/>
          <w:b/>
        </w:rPr>
        <w:t>R</w:t>
      </w:r>
      <w:r w:rsidRPr="008753C5">
        <w:rPr>
          <w:rFonts w:ascii="Times New Roman" w:hAnsi="Times New Roman" w:cs="Times New Roman"/>
          <w:b/>
        </w:rPr>
        <w:t xml:space="preserve">ole of </w:t>
      </w:r>
      <w:r w:rsidR="00F240CD">
        <w:rPr>
          <w:rFonts w:ascii="Times New Roman" w:hAnsi="Times New Roman" w:cs="Times New Roman"/>
          <w:b/>
        </w:rPr>
        <w:t>Gender and Perceived Competence</w:t>
      </w:r>
    </w:p>
    <w:p w14:paraId="0FF14F0B" w14:textId="2EEBFED3" w:rsidR="00FA10C0" w:rsidRPr="003D3598" w:rsidRDefault="00290E51" w:rsidP="00A73422">
      <w:pPr>
        <w:ind w:firstLine="720"/>
        <w:contextualSpacing/>
        <w:rPr>
          <w:rFonts w:ascii="Times New Roman" w:hAnsi="Times New Roman" w:cs="Times New Roman"/>
        </w:rPr>
      </w:pPr>
      <w:r w:rsidRPr="003D3598">
        <w:rPr>
          <w:rFonts w:ascii="Times New Roman" w:hAnsi="Times New Roman" w:cs="Times New Roman"/>
        </w:rPr>
        <w:t xml:space="preserve">The finding that youth </w:t>
      </w:r>
      <w:r w:rsidR="006B7C7D" w:rsidRPr="003D3598">
        <w:rPr>
          <w:rFonts w:ascii="Times New Roman" w:hAnsi="Times New Roman" w:cs="Times New Roman"/>
        </w:rPr>
        <w:t>are</w:t>
      </w:r>
      <w:r w:rsidRPr="003D3598">
        <w:rPr>
          <w:rFonts w:ascii="Times New Roman" w:hAnsi="Times New Roman" w:cs="Times New Roman"/>
        </w:rPr>
        <w:t xml:space="preserve"> more engaged when they perceive an activity to be challenging, relevant, and affording opportunities for learning and skill development will lead youth educators to a very practical question: “</w:t>
      </w:r>
      <w:r w:rsidR="000E7712" w:rsidRPr="003D3598">
        <w:rPr>
          <w:rFonts w:ascii="Times New Roman" w:hAnsi="Times New Roman" w:cs="Times New Roman"/>
        </w:rPr>
        <w:t>A</w:t>
      </w:r>
      <w:r w:rsidRPr="003D3598">
        <w:rPr>
          <w:rFonts w:ascii="Times New Roman" w:hAnsi="Times New Roman" w:cs="Times New Roman"/>
        </w:rPr>
        <w:t>re there certain activities that youth tend to see as challenging, relevant and affording opportunities to learn?” In the analysis that follows</w:t>
      </w:r>
      <w:r w:rsidR="00567605">
        <w:rPr>
          <w:rFonts w:ascii="Times New Roman" w:hAnsi="Times New Roman" w:cs="Times New Roman"/>
        </w:rPr>
        <w:t>,</w:t>
      </w:r>
      <w:r w:rsidRPr="003D3598">
        <w:rPr>
          <w:rFonts w:ascii="Times New Roman" w:hAnsi="Times New Roman" w:cs="Times New Roman"/>
        </w:rPr>
        <w:t xml:space="preserve"> we sought to identify concrete activities that systematically elicit</w:t>
      </w:r>
      <w:r w:rsidR="00600164">
        <w:rPr>
          <w:rFonts w:ascii="Times New Roman" w:hAnsi="Times New Roman" w:cs="Times New Roman"/>
        </w:rPr>
        <w:t>ed</w:t>
      </w:r>
      <w:r w:rsidRPr="003D3598">
        <w:rPr>
          <w:rFonts w:ascii="Times New Roman" w:hAnsi="Times New Roman" w:cs="Times New Roman"/>
        </w:rPr>
        <w:t xml:space="preserve"> perceptions of high</w:t>
      </w:r>
      <w:r w:rsidR="00123A5D" w:rsidRPr="003D3598">
        <w:rPr>
          <w:rFonts w:ascii="Times New Roman" w:hAnsi="Times New Roman" w:cs="Times New Roman"/>
        </w:rPr>
        <w:t>er</w:t>
      </w:r>
      <w:r w:rsidRPr="003D3598">
        <w:rPr>
          <w:rFonts w:ascii="Times New Roman" w:hAnsi="Times New Roman" w:cs="Times New Roman"/>
        </w:rPr>
        <w:t xml:space="preserve"> challenge, relevance and learning among our participant youth</w:t>
      </w:r>
      <w:r w:rsidR="00E926BF" w:rsidRPr="003D3598">
        <w:rPr>
          <w:rFonts w:ascii="Times New Roman" w:hAnsi="Times New Roman" w:cs="Times New Roman"/>
        </w:rPr>
        <w:t>. It is important to note that we had no illusions about identifying any</w:t>
      </w:r>
      <w:r w:rsidRPr="003D3598">
        <w:rPr>
          <w:rFonts w:ascii="Times New Roman" w:hAnsi="Times New Roman" w:cs="Times New Roman"/>
        </w:rPr>
        <w:t xml:space="preserve"> single activity that acts as a “magic bullet” for </w:t>
      </w:r>
      <w:r w:rsidR="00E926BF" w:rsidRPr="003D3598">
        <w:rPr>
          <w:rFonts w:ascii="Times New Roman" w:hAnsi="Times New Roman" w:cs="Times New Roman"/>
        </w:rPr>
        <w:t xml:space="preserve">engaging </w:t>
      </w:r>
      <w:r w:rsidRPr="003D3598">
        <w:rPr>
          <w:rFonts w:ascii="Times New Roman" w:hAnsi="Times New Roman" w:cs="Times New Roman"/>
        </w:rPr>
        <w:t>all students because these conditions are highly subjective.</w:t>
      </w:r>
      <w:r w:rsidR="00123A5D" w:rsidRPr="003D3598">
        <w:rPr>
          <w:rFonts w:ascii="Times New Roman" w:hAnsi="Times New Roman" w:cs="Times New Roman"/>
        </w:rPr>
        <w:t xml:space="preserve"> </w:t>
      </w:r>
      <w:r w:rsidR="00E926BF" w:rsidRPr="003D3598">
        <w:rPr>
          <w:rFonts w:ascii="Times New Roman" w:hAnsi="Times New Roman" w:cs="Times New Roman"/>
        </w:rPr>
        <w:t>In the interest of moving toward more concrete action steps</w:t>
      </w:r>
      <w:r w:rsidR="00123A5D" w:rsidRPr="003D3598">
        <w:rPr>
          <w:rFonts w:ascii="Times New Roman" w:hAnsi="Times New Roman" w:cs="Times New Roman"/>
        </w:rPr>
        <w:t xml:space="preserve"> for practitioners</w:t>
      </w:r>
      <w:r w:rsidR="00343C2E" w:rsidRPr="003D3598">
        <w:rPr>
          <w:rFonts w:ascii="Times New Roman" w:hAnsi="Times New Roman" w:cs="Times New Roman"/>
        </w:rPr>
        <w:t>,</w:t>
      </w:r>
      <w:r w:rsidR="00123A5D" w:rsidRPr="003D3598">
        <w:rPr>
          <w:rFonts w:ascii="Times New Roman" w:hAnsi="Times New Roman" w:cs="Times New Roman"/>
        </w:rPr>
        <w:t xml:space="preserve"> however,</w:t>
      </w:r>
      <w:r w:rsidR="00E926BF" w:rsidRPr="003D3598">
        <w:rPr>
          <w:rFonts w:ascii="Times New Roman" w:hAnsi="Times New Roman" w:cs="Times New Roman"/>
        </w:rPr>
        <w:t xml:space="preserve"> we endeavored to explore whether there were associations between particular types of activities and students’ perceptions of those activitie</w:t>
      </w:r>
      <w:r w:rsidR="00A2034E" w:rsidRPr="003D3598">
        <w:rPr>
          <w:rFonts w:ascii="Times New Roman" w:hAnsi="Times New Roman" w:cs="Times New Roman"/>
        </w:rPr>
        <w:t xml:space="preserve">s. </w:t>
      </w:r>
    </w:p>
    <w:p w14:paraId="152E0A2F" w14:textId="7BFD39D8" w:rsidR="00A2034E" w:rsidRPr="003D3598" w:rsidRDefault="00A2034E" w:rsidP="00A73422">
      <w:pPr>
        <w:ind w:firstLine="720"/>
        <w:contextualSpacing/>
        <w:rPr>
          <w:rFonts w:ascii="Times New Roman" w:hAnsi="Times New Roman" w:cs="Times New Roman"/>
        </w:rPr>
      </w:pPr>
      <w:r w:rsidRPr="003D3598">
        <w:rPr>
          <w:rFonts w:ascii="Times New Roman" w:hAnsi="Times New Roman" w:cs="Times New Roman"/>
        </w:rPr>
        <w:t>To th</w:t>
      </w:r>
      <w:r w:rsidR="00FA10C0" w:rsidRPr="003D3598">
        <w:rPr>
          <w:rFonts w:ascii="Times New Roman" w:hAnsi="Times New Roman" w:cs="Times New Roman"/>
        </w:rPr>
        <w:t>is</w:t>
      </w:r>
      <w:r w:rsidRPr="003D3598">
        <w:rPr>
          <w:rFonts w:ascii="Times New Roman" w:hAnsi="Times New Roman" w:cs="Times New Roman"/>
        </w:rPr>
        <w:t xml:space="preserve"> end, we identified six</w:t>
      </w:r>
      <w:r w:rsidR="00E926BF" w:rsidRPr="003D3598">
        <w:rPr>
          <w:rFonts w:ascii="Times New Roman" w:hAnsi="Times New Roman" w:cs="Times New Roman"/>
        </w:rPr>
        <w:t xml:space="preserve"> types of activities that were employed </w:t>
      </w:r>
      <w:r w:rsidR="00A84B6C" w:rsidRPr="003D3598">
        <w:rPr>
          <w:rFonts w:ascii="Times New Roman" w:hAnsi="Times New Roman" w:cs="Times New Roman"/>
        </w:rPr>
        <w:t xml:space="preserve">to various </w:t>
      </w:r>
      <w:r w:rsidR="008A29CA">
        <w:rPr>
          <w:rFonts w:ascii="Times New Roman" w:hAnsi="Times New Roman" w:cs="Times New Roman"/>
        </w:rPr>
        <w:t>degrees</w:t>
      </w:r>
      <w:r w:rsidR="00A84B6C" w:rsidRPr="003D3598">
        <w:rPr>
          <w:rFonts w:ascii="Times New Roman" w:hAnsi="Times New Roman" w:cs="Times New Roman"/>
        </w:rPr>
        <w:t xml:space="preserve"> </w:t>
      </w:r>
      <w:r w:rsidR="00E926BF" w:rsidRPr="003D3598">
        <w:rPr>
          <w:rFonts w:ascii="Times New Roman" w:hAnsi="Times New Roman" w:cs="Times New Roman"/>
        </w:rPr>
        <w:t>across the programs we studied</w:t>
      </w:r>
      <w:r w:rsidR="00600164">
        <w:rPr>
          <w:rFonts w:ascii="Times New Roman" w:hAnsi="Times New Roman" w:cs="Times New Roman"/>
        </w:rPr>
        <w:t>.</w:t>
      </w:r>
      <w:r w:rsidR="00E926BF" w:rsidRPr="003D3598">
        <w:rPr>
          <w:rFonts w:ascii="Times New Roman" w:hAnsi="Times New Roman" w:cs="Times New Roman"/>
        </w:rPr>
        <w:t xml:space="preserve"> </w:t>
      </w:r>
      <w:r w:rsidR="00600164">
        <w:rPr>
          <w:rFonts w:ascii="Times New Roman" w:hAnsi="Times New Roman" w:cs="Times New Roman"/>
        </w:rPr>
        <w:t>U</w:t>
      </w:r>
      <w:r w:rsidR="00E926BF" w:rsidRPr="003D3598">
        <w:rPr>
          <w:rFonts w:ascii="Times New Roman" w:hAnsi="Times New Roman" w:cs="Times New Roman"/>
        </w:rPr>
        <w:t>sing video data that were linked to youths</w:t>
      </w:r>
      <w:r w:rsidR="003C1ED9">
        <w:rPr>
          <w:rFonts w:ascii="Times New Roman" w:hAnsi="Times New Roman" w:cs="Times New Roman"/>
        </w:rPr>
        <w:t>’</w:t>
      </w:r>
      <w:r w:rsidR="00E926BF" w:rsidRPr="003D3598">
        <w:rPr>
          <w:rFonts w:ascii="Times New Roman" w:hAnsi="Times New Roman" w:cs="Times New Roman"/>
        </w:rPr>
        <w:t xml:space="preserve"> ESM responses, we identif</w:t>
      </w:r>
      <w:r w:rsidR="008A29CA">
        <w:rPr>
          <w:rFonts w:ascii="Times New Roman" w:hAnsi="Times New Roman" w:cs="Times New Roman"/>
        </w:rPr>
        <w:t>ied</w:t>
      </w:r>
      <w:r w:rsidR="00E926BF" w:rsidRPr="003D3598">
        <w:rPr>
          <w:rFonts w:ascii="Times New Roman" w:hAnsi="Times New Roman" w:cs="Times New Roman"/>
        </w:rPr>
        <w:t xml:space="preserve"> the activity youth were participating in at each signal to explore how each activity was generally perceived by students while they were </w:t>
      </w:r>
      <w:r w:rsidR="00123A5D" w:rsidRPr="003D3598">
        <w:rPr>
          <w:rFonts w:ascii="Times New Roman" w:hAnsi="Times New Roman" w:cs="Times New Roman"/>
        </w:rPr>
        <w:t>involved</w:t>
      </w:r>
      <w:r w:rsidR="00E926BF" w:rsidRPr="003D3598">
        <w:rPr>
          <w:rFonts w:ascii="Times New Roman" w:hAnsi="Times New Roman" w:cs="Times New Roman"/>
        </w:rPr>
        <w:t xml:space="preserve"> in it. In these analyses</w:t>
      </w:r>
      <w:r w:rsidR="00567605">
        <w:rPr>
          <w:rFonts w:ascii="Times New Roman" w:hAnsi="Times New Roman" w:cs="Times New Roman"/>
        </w:rPr>
        <w:t>,</w:t>
      </w:r>
      <w:r w:rsidR="00E926BF" w:rsidRPr="003D3598">
        <w:rPr>
          <w:rFonts w:ascii="Times New Roman" w:hAnsi="Times New Roman" w:cs="Times New Roman"/>
        </w:rPr>
        <w:t xml:space="preserve"> we ran three </w:t>
      </w:r>
      <w:r w:rsidR="00123A5D" w:rsidRPr="003D3598">
        <w:rPr>
          <w:rFonts w:ascii="Times New Roman" w:hAnsi="Times New Roman" w:cs="Times New Roman"/>
        </w:rPr>
        <w:t xml:space="preserve">separate </w:t>
      </w:r>
      <w:r w:rsidR="00E926BF" w:rsidRPr="003D3598">
        <w:rPr>
          <w:rFonts w:ascii="Times New Roman" w:hAnsi="Times New Roman" w:cs="Times New Roman"/>
        </w:rPr>
        <w:t xml:space="preserve">multilevel models </w:t>
      </w:r>
      <w:r w:rsidR="00123A5D" w:rsidRPr="003D3598">
        <w:rPr>
          <w:rFonts w:ascii="Times New Roman" w:hAnsi="Times New Roman" w:cs="Times New Roman"/>
        </w:rPr>
        <w:t xml:space="preserve">with </w:t>
      </w:r>
      <w:r w:rsidR="00E926BF" w:rsidRPr="003D3598">
        <w:rPr>
          <w:rFonts w:ascii="Times New Roman" w:hAnsi="Times New Roman" w:cs="Times New Roman"/>
        </w:rPr>
        <w:t>challenge, relevance and learning</w:t>
      </w:r>
      <w:r w:rsidR="00123A5D" w:rsidRPr="003D3598">
        <w:rPr>
          <w:rFonts w:ascii="Times New Roman" w:hAnsi="Times New Roman" w:cs="Times New Roman"/>
        </w:rPr>
        <w:t xml:space="preserve"> as the outcome variables</w:t>
      </w:r>
      <w:r w:rsidR="00E926BF" w:rsidRPr="003D3598">
        <w:rPr>
          <w:rFonts w:ascii="Times New Roman" w:hAnsi="Times New Roman" w:cs="Times New Roman"/>
        </w:rPr>
        <w:t>.</w:t>
      </w:r>
      <w:r w:rsidR="00A84B6C" w:rsidRPr="003D3598">
        <w:rPr>
          <w:rFonts w:ascii="Times New Roman" w:hAnsi="Times New Roman" w:cs="Times New Roman"/>
        </w:rPr>
        <w:t xml:space="preserve"> Predictor variables included dichotomous indicators of which activity </w:t>
      </w:r>
      <w:r w:rsidR="00600164">
        <w:rPr>
          <w:rFonts w:ascii="Times New Roman" w:hAnsi="Times New Roman" w:cs="Times New Roman"/>
        </w:rPr>
        <w:t>youth were involved in at the time they</w:t>
      </w:r>
      <w:r w:rsidR="00A84B6C" w:rsidRPr="003D3598">
        <w:rPr>
          <w:rFonts w:ascii="Times New Roman" w:hAnsi="Times New Roman" w:cs="Times New Roman"/>
        </w:rPr>
        <w:t xml:space="preserve"> provided ratings of challenge, relevance, and learning.</w:t>
      </w:r>
      <w:r w:rsidR="00870EF0">
        <w:rPr>
          <w:rFonts w:ascii="Times New Roman" w:hAnsi="Times New Roman" w:cs="Times New Roman"/>
        </w:rPr>
        <w:t xml:space="preserve"> </w:t>
      </w:r>
      <w:r w:rsidR="00E65380" w:rsidRPr="00510F66">
        <w:rPr>
          <w:rFonts w:ascii="Times New Roman" w:hAnsi="Times New Roman" w:cs="Times New Roman"/>
        </w:rPr>
        <w:t>In all three models we explored whether gender or initial competence beliefs moderated any of the effects of activity type on the outcomes of interest, and there were no signif</w:t>
      </w:r>
      <w:r w:rsidR="00E65380" w:rsidRPr="00026666">
        <w:rPr>
          <w:rFonts w:ascii="Times New Roman" w:hAnsi="Times New Roman" w:cs="Times New Roman"/>
        </w:rPr>
        <w:t xml:space="preserve">icant associations. In the interest of parsimony, </w:t>
      </w:r>
      <w:r w:rsidR="00123A5D" w:rsidRPr="00011528">
        <w:rPr>
          <w:rFonts w:ascii="Times New Roman" w:hAnsi="Times New Roman" w:cs="Times New Roman"/>
        </w:rPr>
        <w:t xml:space="preserve">our final models do not </w:t>
      </w:r>
      <w:r w:rsidR="00A84B6C" w:rsidRPr="0041527C">
        <w:rPr>
          <w:rFonts w:ascii="Times New Roman" w:hAnsi="Times New Roman" w:cs="Times New Roman"/>
        </w:rPr>
        <w:t>include these interactive effects</w:t>
      </w:r>
      <w:r w:rsidR="00E65380" w:rsidRPr="00111E51">
        <w:rPr>
          <w:rFonts w:ascii="Times New Roman" w:hAnsi="Times New Roman" w:cs="Times New Roman"/>
        </w:rPr>
        <w:t xml:space="preserve">. The variance components at the person level are statistically significant, suggesting that there is </w:t>
      </w:r>
      <w:r w:rsidR="00A84B6C" w:rsidRPr="00344954">
        <w:rPr>
          <w:rFonts w:ascii="Times New Roman" w:hAnsi="Times New Roman" w:cs="Times New Roman"/>
        </w:rPr>
        <w:t xml:space="preserve">substantial </w:t>
      </w:r>
      <w:r w:rsidR="00E65380" w:rsidRPr="00921F21">
        <w:rPr>
          <w:rFonts w:ascii="Times New Roman" w:hAnsi="Times New Roman" w:cs="Times New Roman"/>
        </w:rPr>
        <w:t xml:space="preserve">person-level variation in the </w:t>
      </w:r>
      <w:r w:rsidR="00A84B6C" w:rsidRPr="00617156">
        <w:rPr>
          <w:rFonts w:ascii="Times New Roman" w:hAnsi="Times New Roman" w:cs="Times New Roman"/>
        </w:rPr>
        <w:t>extent to which activity type is associated with challenge relevance and learning</w:t>
      </w:r>
      <w:r w:rsidR="00E65380" w:rsidRPr="003D3598">
        <w:rPr>
          <w:rFonts w:ascii="Times New Roman" w:hAnsi="Times New Roman" w:cs="Times New Roman"/>
        </w:rPr>
        <w:t xml:space="preserve">: </w:t>
      </w:r>
      <w:r w:rsidR="00600164">
        <w:rPr>
          <w:rFonts w:ascii="Times New Roman" w:hAnsi="Times New Roman" w:cs="Times New Roman"/>
        </w:rPr>
        <w:t>However,</w:t>
      </w:r>
      <w:r w:rsidR="00E65380" w:rsidRPr="003D3598">
        <w:rPr>
          <w:rFonts w:ascii="Times New Roman" w:hAnsi="Times New Roman" w:cs="Times New Roman"/>
        </w:rPr>
        <w:t xml:space="preserve"> gender and perceived competence do not account for any of this </w:t>
      </w:r>
      <w:r w:rsidR="00A84B6C" w:rsidRPr="003D3598">
        <w:rPr>
          <w:rFonts w:ascii="Times New Roman" w:hAnsi="Times New Roman" w:cs="Times New Roman"/>
        </w:rPr>
        <w:t xml:space="preserve">person-level </w:t>
      </w:r>
      <w:r w:rsidR="00E65380" w:rsidRPr="003D3598">
        <w:rPr>
          <w:rFonts w:ascii="Times New Roman" w:hAnsi="Times New Roman" w:cs="Times New Roman"/>
        </w:rPr>
        <w:t>variance.</w:t>
      </w:r>
      <w:r w:rsidR="00E0595C" w:rsidRPr="003D3598">
        <w:rPr>
          <w:rFonts w:ascii="Times New Roman" w:hAnsi="Times New Roman" w:cs="Times New Roman"/>
        </w:rPr>
        <w:t xml:space="preserve"> </w:t>
      </w:r>
    </w:p>
    <w:p w14:paraId="5C184917" w14:textId="77777777" w:rsidR="00514D14" w:rsidRDefault="00E65380" w:rsidP="00A73422">
      <w:pPr>
        <w:ind w:firstLine="720"/>
        <w:contextualSpacing/>
        <w:rPr>
          <w:rFonts w:ascii="Times New Roman" w:hAnsi="Times New Roman" w:cs="Times New Roman"/>
        </w:rPr>
      </w:pPr>
      <w:r w:rsidRPr="003D3598">
        <w:rPr>
          <w:rFonts w:ascii="Times New Roman" w:hAnsi="Times New Roman" w:cs="Times New Roman"/>
        </w:rPr>
        <w:t>While youths’ initial perceptions of their STEM competence were not systematically related to their perceptions of challenge</w:t>
      </w:r>
      <w:r w:rsidR="00567605">
        <w:rPr>
          <w:rFonts w:ascii="Times New Roman" w:hAnsi="Times New Roman" w:cs="Times New Roman"/>
        </w:rPr>
        <w:t>,</w:t>
      </w:r>
      <w:r w:rsidRPr="003D3598">
        <w:rPr>
          <w:rFonts w:ascii="Times New Roman" w:hAnsi="Times New Roman" w:cs="Times New Roman"/>
        </w:rPr>
        <w:t xml:space="preserve"> relevance</w:t>
      </w:r>
      <w:r w:rsidR="00567605">
        <w:rPr>
          <w:rFonts w:ascii="Times New Roman" w:hAnsi="Times New Roman" w:cs="Times New Roman"/>
        </w:rPr>
        <w:t>,</w:t>
      </w:r>
      <w:r w:rsidRPr="003D3598">
        <w:rPr>
          <w:rFonts w:ascii="Times New Roman" w:hAnsi="Times New Roman" w:cs="Times New Roman"/>
        </w:rPr>
        <w:t xml:space="preserve"> or learning while doing program activities, their gender was</w:t>
      </w:r>
      <w:r w:rsidR="00FC53FA" w:rsidRPr="003D3598">
        <w:rPr>
          <w:rFonts w:ascii="Times New Roman" w:hAnsi="Times New Roman" w:cs="Times New Roman"/>
        </w:rPr>
        <w:t xml:space="preserve"> (See Table </w:t>
      </w:r>
      <w:r w:rsidR="001F12F1">
        <w:rPr>
          <w:rFonts w:ascii="Times New Roman" w:hAnsi="Times New Roman" w:cs="Times New Roman"/>
        </w:rPr>
        <w:t>6</w:t>
      </w:r>
      <w:r w:rsidR="00FC53FA" w:rsidRPr="003D3598">
        <w:rPr>
          <w:rFonts w:ascii="Times New Roman" w:hAnsi="Times New Roman" w:cs="Times New Roman"/>
        </w:rPr>
        <w:t>)</w:t>
      </w:r>
      <w:r w:rsidRPr="003D3598">
        <w:rPr>
          <w:rFonts w:ascii="Times New Roman" w:hAnsi="Times New Roman" w:cs="Times New Roman"/>
        </w:rPr>
        <w:t>.</w:t>
      </w:r>
    </w:p>
    <w:p w14:paraId="6BD5F9B6" w14:textId="77777777" w:rsidR="00514D14" w:rsidRDefault="00514D14" w:rsidP="00A73422">
      <w:pPr>
        <w:rPr>
          <w:rFonts w:ascii="Times New Roman" w:hAnsi="Times New Roman" w:cs="Times New Roman"/>
        </w:rPr>
      </w:pPr>
    </w:p>
    <w:p w14:paraId="672114AF" w14:textId="5E18788F" w:rsidR="00514D14" w:rsidRPr="00520EE5" w:rsidRDefault="00514D14" w:rsidP="00A73422">
      <w:pPr>
        <w:rPr>
          <w:rFonts w:ascii="Times New Roman" w:hAnsi="Times New Roman" w:cs="Times New Roman"/>
        </w:rPr>
      </w:pPr>
      <w:r w:rsidRPr="00520EE5">
        <w:rPr>
          <w:rFonts w:ascii="Times New Roman" w:hAnsi="Times New Roman" w:cs="Times New Roman"/>
        </w:rPr>
        <w:t xml:space="preserve">Table </w:t>
      </w:r>
      <w:r>
        <w:rPr>
          <w:rFonts w:ascii="Times New Roman" w:hAnsi="Times New Roman" w:cs="Times New Roman"/>
        </w:rPr>
        <w:t>6</w:t>
      </w:r>
    </w:p>
    <w:p w14:paraId="1BC26B49" w14:textId="4E9E514F" w:rsidR="00514D14" w:rsidRPr="00520EE5" w:rsidRDefault="00514D14" w:rsidP="00A73422">
      <w:pPr>
        <w:rPr>
          <w:rFonts w:ascii="Times New Roman" w:hAnsi="Times New Roman" w:cs="Times New Roman"/>
          <w:i/>
        </w:rPr>
      </w:pPr>
      <w:r w:rsidRPr="003D3598">
        <w:rPr>
          <w:rFonts w:ascii="Times New Roman" w:hAnsi="Times New Roman" w:cs="Times New Roman"/>
          <w:i/>
        </w:rPr>
        <w:t>Results of Cross-Classified, Random Effects Models for the Relations Between Program A</w:t>
      </w:r>
      <w:r w:rsidRPr="00AA2084">
        <w:rPr>
          <w:rFonts w:ascii="Times New Roman" w:hAnsi="Times New Roman" w:cs="Times New Roman"/>
          <w:i/>
        </w:rPr>
        <w:t>c</w:t>
      </w:r>
      <w:r w:rsidRPr="00520EE5">
        <w:rPr>
          <w:rFonts w:ascii="Times New Roman" w:hAnsi="Times New Roman" w:cs="Times New Roman"/>
          <w:i/>
        </w:rPr>
        <w:t>tivities and Perceptions of Challenge, Relevance, and Learning</w:t>
      </w:r>
    </w:p>
    <w:p w14:paraId="0C9A99C7" w14:textId="77777777" w:rsidR="00514D14" w:rsidRPr="00520EE5" w:rsidRDefault="00514D14" w:rsidP="00A73422">
      <w:pPr>
        <w:rPr>
          <w:rFonts w:ascii="Times New Roman" w:hAnsi="Times New Roman" w:cs="Times New Roman"/>
        </w:rPr>
      </w:pPr>
    </w:p>
    <w:tbl>
      <w:tblPr>
        <w:tblStyle w:val="TableGrid"/>
        <w:tblpPr w:leftFromText="180" w:rightFromText="180" w:vertAnchor="text" w:tblpY="1"/>
        <w:tblOverlap w:val="never"/>
        <w:tblW w:w="5000" w:type="pct"/>
        <w:tblLayout w:type="fixed"/>
        <w:tblLook w:val="04A0" w:firstRow="1" w:lastRow="0" w:firstColumn="1" w:lastColumn="0" w:noHBand="0" w:noVBand="1"/>
      </w:tblPr>
      <w:tblGrid>
        <w:gridCol w:w="3429"/>
        <w:gridCol w:w="1040"/>
        <w:gridCol w:w="728"/>
        <w:gridCol w:w="313"/>
        <w:gridCol w:w="1041"/>
        <w:gridCol w:w="359"/>
        <w:gridCol w:w="371"/>
        <w:gridCol w:w="313"/>
        <w:gridCol w:w="884"/>
        <w:gridCol w:w="227"/>
        <w:gridCol w:w="655"/>
      </w:tblGrid>
      <w:tr w:rsidR="00514D14" w:rsidRPr="003D3598" w14:paraId="0A26F5F3" w14:textId="77777777" w:rsidTr="00FD613B">
        <w:tc>
          <w:tcPr>
            <w:tcW w:w="1832" w:type="pct"/>
            <w:tcBorders>
              <w:top w:val="single" w:sz="12" w:space="0" w:color="auto"/>
              <w:left w:val="nil"/>
              <w:bottom w:val="nil"/>
              <w:right w:val="nil"/>
            </w:tcBorders>
          </w:tcPr>
          <w:p w14:paraId="220A1AFF" w14:textId="77777777" w:rsidR="00514D14" w:rsidRPr="00B36420" w:rsidRDefault="00514D14" w:rsidP="00A73422">
            <w:pPr>
              <w:rPr>
                <w:rFonts w:ascii="Times New Roman" w:hAnsi="Times New Roman" w:cs="Times New Roman"/>
              </w:rPr>
            </w:pPr>
          </w:p>
        </w:tc>
        <w:tc>
          <w:tcPr>
            <w:tcW w:w="944" w:type="pct"/>
            <w:gridSpan w:val="2"/>
            <w:tcBorders>
              <w:top w:val="single" w:sz="12" w:space="0" w:color="auto"/>
              <w:left w:val="nil"/>
              <w:bottom w:val="single" w:sz="12" w:space="0" w:color="auto"/>
              <w:right w:val="nil"/>
            </w:tcBorders>
          </w:tcPr>
          <w:p w14:paraId="78BA68D9"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Model 1</w:t>
            </w:r>
          </w:p>
        </w:tc>
        <w:tc>
          <w:tcPr>
            <w:tcW w:w="167" w:type="pct"/>
            <w:tcBorders>
              <w:top w:val="single" w:sz="12" w:space="0" w:color="auto"/>
              <w:left w:val="nil"/>
              <w:bottom w:val="nil"/>
              <w:right w:val="nil"/>
            </w:tcBorders>
          </w:tcPr>
          <w:p w14:paraId="22554039" w14:textId="77777777" w:rsidR="00514D14" w:rsidRPr="00B36420" w:rsidRDefault="00514D14" w:rsidP="00A73422">
            <w:pPr>
              <w:rPr>
                <w:rFonts w:ascii="Times New Roman" w:hAnsi="Times New Roman" w:cs="Times New Roman"/>
              </w:rPr>
            </w:pPr>
          </w:p>
        </w:tc>
        <w:tc>
          <w:tcPr>
            <w:tcW w:w="946" w:type="pct"/>
            <w:gridSpan w:val="3"/>
            <w:tcBorders>
              <w:top w:val="single" w:sz="12" w:space="0" w:color="auto"/>
              <w:left w:val="nil"/>
              <w:bottom w:val="single" w:sz="12" w:space="0" w:color="auto"/>
              <w:right w:val="nil"/>
            </w:tcBorders>
          </w:tcPr>
          <w:p w14:paraId="3B8D9A0F" w14:textId="77777777" w:rsidR="00514D14" w:rsidRPr="00B36420" w:rsidRDefault="00514D14" w:rsidP="00A73422">
            <w:pPr>
              <w:tabs>
                <w:tab w:val="left" w:pos="1530"/>
              </w:tabs>
              <w:jc w:val="center"/>
              <w:rPr>
                <w:rFonts w:ascii="Times New Roman" w:hAnsi="Times New Roman" w:cs="Times New Roman"/>
              </w:rPr>
            </w:pPr>
            <w:r w:rsidRPr="00B36420">
              <w:rPr>
                <w:rFonts w:ascii="Times New Roman" w:hAnsi="Times New Roman" w:cs="Times New Roman"/>
              </w:rPr>
              <w:t>Model 2</w:t>
            </w:r>
          </w:p>
        </w:tc>
        <w:tc>
          <w:tcPr>
            <w:tcW w:w="167" w:type="pct"/>
            <w:tcBorders>
              <w:top w:val="single" w:sz="12" w:space="0" w:color="auto"/>
              <w:left w:val="nil"/>
              <w:bottom w:val="single" w:sz="12" w:space="0" w:color="auto"/>
              <w:right w:val="nil"/>
            </w:tcBorders>
          </w:tcPr>
          <w:p w14:paraId="425BF2A3" w14:textId="77777777" w:rsidR="00514D14" w:rsidRPr="00B36420" w:rsidRDefault="00514D14" w:rsidP="00A73422">
            <w:pPr>
              <w:tabs>
                <w:tab w:val="left" w:pos="1530"/>
              </w:tabs>
              <w:jc w:val="center"/>
              <w:rPr>
                <w:rFonts w:ascii="Times New Roman" w:hAnsi="Times New Roman" w:cs="Times New Roman"/>
              </w:rPr>
            </w:pPr>
          </w:p>
        </w:tc>
        <w:tc>
          <w:tcPr>
            <w:tcW w:w="943" w:type="pct"/>
            <w:gridSpan w:val="3"/>
            <w:tcBorders>
              <w:top w:val="single" w:sz="12" w:space="0" w:color="auto"/>
              <w:left w:val="nil"/>
              <w:bottom w:val="single" w:sz="12" w:space="0" w:color="auto"/>
              <w:right w:val="nil"/>
            </w:tcBorders>
          </w:tcPr>
          <w:p w14:paraId="5C78321A" w14:textId="77777777" w:rsidR="00514D14" w:rsidRPr="00B36420" w:rsidRDefault="00514D14" w:rsidP="00A73422">
            <w:pPr>
              <w:tabs>
                <w:tab w:val="left" w:pos="1530"/>
              </w:tabs>
              <w:jc w:val="center"/>
              <w:rPr>
                <w:rFonts w:ascii="Times New Roman" w:hAnsi="Times New Roman" w:cs="Times New Roman"/>
              </w:rPr>
            </w:pPr>
            <w:r w:rsidRPr="00B36420">
              <w:rPr>
                <w:rFonts w:ascii="Times New Roman" w:hAnsi="Times New Roman" w:cs="Times New Roman"/>
              </w:rPr>
              <w:t>Model 3</w:t>
            </w:r>
          </w:p>
        </w:tc>
      </w:tr>
      <w:tr w:rsidR="00514D14" w:rsidRPr="003D3598" w14:paraId="13F7FF67" w14:textId="77777777" w:rsidTr="00FD613B">
        <w:tc>
          <w:tcPr>
            <w:tcW w:w="1832" w:type="pct"/>
            <w:tcBorders>
              <w:top w:val="single" w:sz="12" w:space="0" w:color="auto"/>
              <w:left w:val="nil"/>
              <w:bottom w:val="nil"/>
              <w:right w:val="nil"/>
            </w:tcBorders>
          </w:tcPr>
          <w:p w14:paraId="13B63157" w14:textId="77777777" w:rsidR="00514D14" w:rsidRPr="00B36420" w:rsidRDefault="00514D14" w:rsidP="00A73422">
            <w:pPr>
              <w:rPr>
                <w:rFonts w:ascii="Times New Roman" w:hAnsi="Times New Roman" w:cs="Times New Roman"/>
              </w:rPr>
            </w:pPr>
          </w:p>
        </w:tc>
        <w:tc>
          <w:tcPr>
            <w:tcW w:w="944" w:type="pct"/>
            <w:gridSpan w:val="2"/>
            <w:tcBorders>
              <w:top w:val="single" w:sz="12" w:space="0" w:color="auto"/>
              <w:left w:val="nil"/>
              <w:bottom w:val="single" w:sz="12" w:space="0" w:color="auto"/>
              <w:right w:val="nil"/>
            </w:tcBorders>
          </w:tcPr>
          <w:p w14:paraId="4F8F83B6"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 xml:space="preserve">Outcome: </w:t>
            </w:r>
            <w:r w:rsidRPr="00B36420">
              <w:rPr>
                <w:rFonts w:ascii="Times New Roman" w:hAnsi="Times New Roman" w:cs="Times New Roman"/>
              </w:rPr>
              <w:t>Challenge</w:t>
            </w:r>
          </w:p>
        </w:tc>
        <w:tc>
          <w:tcPr>
            <w:tcW w:w="167" w:type="pct"/>
            <w:tcBorders>
              <w:top w:val="single" w:sz="12" w:space="0" w:color="auto"/>
              <w:left w:val="nil"/>
              <w:bottom w:val="nil"/>
              <w:right w:val="nil"/>
            </w:tcBorders>
          </w:tcPr>
          <w:p w14:paraId="4FBCC44B" w14:textId="77777777" w:rsidR="00514D14" w:rsidRPr="00B36420" w:rsidRDefault="00514D14" w:rsidP="00A73422">
            <w:pPr>
              <w:rPr>
                <w:rFonts w:ascii="Times New Roman" w:hAnsi="Times New Roman" w:cs="Times New Roman"/>
              </w:rPr>
            </w:pPr>
          </w:p>
        </w:tc>
        <w:tc>
          <w:tcPr>
            <w:tcW w:w="946" w:type="pct"/>
            <w:gridSpan w:val="3"/>
            <w:tcBorders>
              <w:top w:val="single" w:sz="12" w:space="0" w:color="auto"/>
              <w:left w:val="nil"/>
              <w:bottom w:val="single" w:sz="12" w:space="0" w:color="auto"/>
              <w:right w:val="nil"/>
            </w:tcBorders>
          </w:tcPr>
          <w:p w14:paraId="17C34FA9" w14:textId="77777777" w:rsidR="00514D14" w:rsidRPr="00B36420" w:rsidRDefault="00514D14" w:rsidP="00A73422">
            <w:pPr>
              <w:tabs>
                <w:tab w:val="left" w:pos="1530"/>
              </w:tabs>
              <w:jc w:val="center"/>
              <w:rPr>
                <w:rFonts w:ascii="Times New Roman" w:hAnsi="Times New Roman" w:cs="Times New Roman"/>
              </w:rPr>
            </w:pPr>
            <w:r>
              <w:rPr>
                <w:rFonts w:ascii="Times New Roman" w:hAnsi="Times New Roman" w:cs="Times New Roman"/>
              </w:rPr>
              <w:t xml:space="preserve">Outcome: </w:t>
            </w:r>
            <w:r w:rsidRPr="00B36420">
              <w:rPr>
                <w:rFonts w:ascii="Times New Roman" w:hAnsi="Times New Roman" w:cs="Times New Roman"/>
              </w:rPr>
              <w:t>Relevance</w:t>
            </w:r>
          </w:p>
        </w:tc>
        <w:tc>
          <w:tcPr>
            <w:tcW w:w="167" w:type="pct"/>
            <w:tcBorders>
              <w:top w:val="single" w:sz="12" w:space="0" w:color="auto"/>
              <w:left w:val="nil"/>
              <w:bottom w:val="nil"/>
              <w:right w:val="nil"/>
            </w:tcBorders>
          </w:tcPr>
          <w:p w14:paraId="3AD3B4C7" w14:textId="77777777" w:rsidR="00514D14" w:rsidRPr="00B36420" w:rsidRDefault="00514D14" w:rsidP="00A73422">
            <w:pPr>
              <w:tabs>
                <w:tab w:val="left" w:pos="1530"/>
              </w:tabs>
              <w:jc w:val="center"/>
              <w:rPr>
                <w:rFonts w:ascii="Times New Roman" w:hAnsi="Times New Roman" w:cs="Times New Roman"/>
              </w:rPr>
            </w:pPr>
          </w:p>
        </w:tc>
        <w:tc>
          <w:tcPr>
            <w:tcW w:w="943" w:type="pct"/>
            <w:gridSpan w:val="3"/>
            <w:tcBorders>
              <w:top w:val="single" w:sz="12" w:space="0" w:color="auto"/>
              <w:left w:val="nil"/>
              <w:bottom w:val="single" w:sz="12" w:space="0" w:color="auto"/>
              <w:right w:val="nil"/>
            </w:tcBorders>
          </w:tcPr>
          <w:p w14:paraId="66CAFA7A" w14:textId="77777777" w:rsidR="00514D14" w:rsidRPr="00B36420" w:rsidRDefault="00514D14" w:rsidP="00A73422">
            <w:pPr>
              <w:tabs>
                <w:tab w:val="left" w:pos="1530"/>
              </w:tabs>
              <w:jc w:val="center"/>
              <w:rPr>
                <w:rFonts w:ascii="Times New Roman" w:hAnsi="Times New Roman" w:cs="Times New Roman"/>
              </w:rPr>
            </w:pPr>
            <w:r>
              <w:rPr>
                <w:rFonts w:ascii="Times New Roman" w:hAnsi="Times New Roman" w:cs="Times New Roman"/>
              </w:rPr>
              <w:t xml:space="preserve">Outcome: </w:t>
            </w:r>
            <w:r w:rsidRPr="00B36420">
              <w:rPr>
                <w:rFonts w:ascii="Times New Roman" w:hAnsi="Times New Roman" w:cs="Times New Roman"/>
              </w:rPr>
              <w:t>Learning</w:t>
            </w:r>
          </w:p>
        </w:tc>
      </w:tr>
      <w:tr w:rsidR="00514D14" w:rsidRPr="003D3598" w14:paraId="29878193" w14:textId="77777777" w:rsidTr="00FD613B">
        <w:tc>
          <w:tcPr>
            <w:tcW w:w="1832" w:type="pct"/>
            <w:tcBorders>
              <w:top w:val="nil"/>
              <w:left w:val="nil"/>
              <w:bottom w:val="single" w:sz="12" w:space="0" w:color="000000"/>
              <w:right w:val="nil"/>
            </w:tcBorders>
          </w:tcPr>
          <w:p w14:paraId="2C0DC72B" w14:textId="77777777" w:rsidR="00514D14" w:rsidRPr="00B36420" w:rsidRDefault="00514D14" w:rsidP="00A73422">
            <w:pPr>
              <w:rPr>
                <w:rFonts w:ascii="Times New Roman" w:hAnsi="Times New Roman" w:cs="Times New Roman"/>
                <w:i/>
              </w:rPr>
            </w:pPr>
            <w:r w:rsidRPr="00B36420">
              <w:rPr>
                <w:rFonts w:ascii="Times New Roman" w:hAnsi="Times New Roman" w:cs="Times New Roman"/>
                <w:i/>
              </w:rPr>
              <w:t>Fixed Effects</w:t>
            </w:r>
          </w:p>
        </w:tc>
        <w:tc>
          <w:tcPr>
            <w:tcW w:w="556" w:type="pct"/>
            <w:tcBorders>
              <w:top w:val="single" w:sz="12" w:space="0" w:color="auto"/>
              <w:left w:val="nil"/>
              <w:bottom w:val="single" w:sz="12" w:space="0" w:color="000000"/>
              <w:right w:val="nil"/>
            </w:tcBorders>
          </w:tcPr>
          <w:p w14:paraId="279E91AB" w14:textId="77777777" w:rsidR="00514D14" w:rsidRPr="00B36420" w:rsidRDefault="00514D14" w:rsidP="00A73422">
            <w:pPr>
              <w:jc w:val="center"/>
              <w:rPr>
                <w:rFonts w:ascii="Times New Roman" w:hAnsi="Times New Roman" w:cs="Times New Roman"/>
                <w:i/>
              </w:rPr>
            </w:pPr>
            <w:r w:rsidRPr="00B36420">
              <w:rPr>
                <w:rFonts w:ascii="Times New Roman" w:hAnsi="Times New Roman" w:cs="Times New Roman"/>
                <w:i/>
              </w:rPr>
              <w:t>B</w:t>
            </w:r>
            <w:r>
              <w:rPr>
                <w:rFonts w:ascii="Times New Roman" w:hAnsi="Times New Roman" w:cs="Times New Roman"/>
                <w:i/>
              </w:rPr>
              <w:t xml:space="preserve"> (SE)</w:t>
            </w:r>
          </w:p>
        </w:tc>
        <w:tc>
          <w:tcPr>
            <w:tcW w:w="389" w:type="pct"/>
            <w:tcBorders>
              <w:top w:val="single" w:sz="12" w:space="0" w:color="auto"/>
              <w:left w:val="nil"/>
              <w:bottom w:val="single" w:sz="12" w:space="0" w:color="000000"/>
              <w:right w:val="nil"/>
            </w:tcBorders>
          </w:tcPr>
          <w:p w14:paraId="094706D2" w14:textId="77777777" w:rsidR="00514D14" w:rsidRPr="00B36420" w:rsidRDefault="00514D14" w:rsidP="00A73422">
            <w:pPr>
              <w:jc w:val="center"/>
              <w:rPr>
                <w:rFonts w:ascii="Times New Roman" w:hAnsi="Times New Roman" w:cs="Times New Roman"/>
                <w:i/>
              </w:rPr>
            </w:pPr>
            <w:r>
              <w:rPr>
                <w:rFonts w:ascii="Times New Roman" w:hAnsi="Times New Roman" w:cs="Times New Roman"/>
                <w:i/>
              </w:rPr>
              <w:t>d</w:t>
            </w:r>
          </w:p>
        </w:tc>
        <w:tc>
          <w:tcPr>
            <w:tcW w:w="167" w:type="pct"/>
            <w:tcBorders>
              <w:top w:val="nil"/>
              <w:left w:val="nil"/>
              <w:bottom w:val="single" w:sz="12" w:space="0" w:color="000000"/>
              <w:right w:val="nil"/>
            </w:tcBorders>
          </w:tcPr>
          <w:p w14:paraId="04DD5486" w14:textId="77777777" w:rsidR="00514D14" w:rsidRPr="00B36420" w:rsidRDefault="00514D14" w:rsidP="00A73422">
            <w:pPr>
              <w:jc w:val="center"/>
              <w:rPr>
                <w:rFonts w:ascii="Times New Roman" w:hAnsi="Times New Roman" w:cs="Times New Roman"/>
                <w:i/>
              </w:rPr>
            </w:pPr>
          </w:p>
        </w:tc>
        <w:tc>
          <w:tcPr>
            <w:tcW w:w="556" w:type="pct"/>
            <w:tcBorders>
              <w:top w:val="single" w:sz="12" w:space="0" w:color="auto"/>
              <w:left w:val="nil"/>
              <w:bottom w:val="single" w:sz="12" w:space="0" w:color="000000"/>
              <w:right w:val="nil"/>
            </w:tcBorders>
          </w:tcPr>
          <w:p w14:paraId="3A004EEE" w14:textId="77777777" w:rsidR="00514D14" w:rsidRPr="00B36420" w:rsidRDefault="00514D14" w:rsidP="00A73422">
            <w:pPr>
              <w:jc w:val="center"/>
              <w:rPr>
                <w:rFonts w:ascii="Times New Roman" w:hAnsi="Times New Roman" w:cs="Times New Roman"/>
                <w:i/>
              </w:rPr>
            </w:pPr>
            <w:r w:rsidRPr="00B36420">
              <w:rPr>
                <w:rFonts w:ascii="Times New Roman" w:hAnsi="Times New Roman" w:cs="Times New Roman"/>
                <w:i/>
              </w:rPr>
              <w:t>B</w:t>
            </w:r>
            <w:r>
              <w:rPr>
                <w:rFonts w:ascii="Times New Roman" w:hAnsi="Times New Roman" w:cs="Times New Roman"/>
                <w:i/>
              </w:rPr>
              <w:t xml:space="preserve"> (SE)</w:t>
            </w:r>
          </w:p>
        </w:tc>
        <w:tc>
          <w:tcPr>
            <w:tcW w:w="390" w:type="pct"/>
            <w:gridSpan w:val="2"/>
            <w:tcBorders>
              <w:top w:val="single" w:sz="12" w:space="0" w:color="auto"/>
              <w:left w:val="nil"/>
              <w:bottom w:val="single" w:sz="12" w:space="0" w:color="000000"/>
              <w:right w:val="nil"/>
            </w:tcBorders>
          </w:tcPr>
          <w:p w14:paraId="38E0C76B" w14:textId="77777777" w:rsidR="00514D14" w:rsidRPr="00B36420" w:rsidRDefault="00514D14" w:rsidP="00A73422">
            <w:pPr>
              <w:jc w:val="center"/>
              <w:rPr>
                <w:rFonts w:ascii="Times New Roman" w:hAnsi="Times New Roman" w:cs="Times New Roman"/>
                <w:i/>
              </w:rPr>
            </w:pPr>
            <w:r>
              <w:rPr>
                <w:rFonts w:ascii="Times New Roman" w:hAnsi="Times New Roman" w:cs="Times New Roman"/>
                <w:i/>
              </w:rPr>
              <w:t>d</w:t>
            </w:r>
          </w:p>
        </w:tc>
        <w:tc>
          <w:tcPr>
            <w:tcW w:w="167" w:type="pct"/>
            <w:tcBorders>
              <w:top w:val="nil"/>
              <w:left w:val="nil"/>
              <w:bottom w:val="single" w:sz="12" w:space="0" w:color="000000"/>
              <w:right w:val="nil"/>
            </w:tcBorders>
          </w:tcPr>
          <w:p w14:paraId="224F2E3D" w14:textId="77777777" w:rsidR="00514D14" w:rsidRPr="00B36420" w:rsidRDefault="00514D14" w:rsidP="00A73422">
            <w:pPr>
              <w:jc w:val="center"/>
              <w:rPr>
                <w:rFonts w:ascii="Times New Roman" w:hAnsi="Times New Roman" w:cs="Times New Roman"/>
                <w:i/>
              </w:rPr>
            </w:pPr>
          </w:p>
        </w:tc>
        <w:tc>
          <w:tcPr>
            <w:tcW w:w="592" w:type="pct"/>
            <w:gridSpan w:val="2"/>
            <w:tcBorders>
              <w:top w:val="single" w:sz="12" w:space="0" w:color="auto"/>
              <w:left w:val="nil"/>
              <w:bottom w:val="single" w:sz="12" w:space="0" w:color="auto"/>
              <w:right w:val="nil"/>
            </w:tcBorders>
          </w:tcPr>
          <w:p w14:paraId="52AD8FE2" w14:textId="77777777" w:rsidR="00514D14" w:rsidRPr="00B36420" w:rsidRDefault="00514D14" w:rsidP="00A73422">
            <w:pPr>
              <w:jc w:val="center"/>
              <w:rPr>
                <w:rFonts w:ascii="Times New Roman" w:hAnsi="Times New Roman" w:cs="Times New Roman"/>
                <w:i/>
              </w:rPr>
            </w:pPr>
            <w:r w:rsidRPr="00B36420">
              <w:rPr>
                <w:rFonts w:ascii="Times New Roman" w:hAnsi="Times New Roman" w:cs="Times New Roman"/>
                <w:i/>
              </w:rPr>
              <w:t>B</w:t>
            </w:r>
            <w:r>
              <w:rPr>
                <w:rFonts w:ascii="Times New Roman" w:hAnsi="Times New Roman" w:cs="Times New Roman"/>
                <w:i/>
              </w:rPr>
              <w:t xml:space="preserve"> (SE)</w:t>
            </w:r>
          </w:p>
        </w:tc>
        <w:tc>
          <w:tcPr>
            <w:tcW w:w="351" w:type="pct"/>
            <w:tcBorders>
              <w:top w:val="single" w:sz="12" w:space="0" w:color="auto"/>
              <w:left w:val="nil"/>
              <w:bottom w:val="single" w:sz="12" w:space="0" w:color="auto"/>
              <w:right w:val="nil"/>
            </w:tcBorders>
          </w:tcPr>
          <w:p w14:paraId="6775B401" w14:textId="77777777" w:rsidR="00514D14" w:rsidRPr="00B36420" w:rsidRDefault="00514D14" w:rsidP="00A73422">
            <w:pPr>
              <w:jc w:val="center"/>
              <w:rPr>
                <w:rFonts w:ascii="Times New Roman" w:hAnsi="Times New Roman" w:cs="Times New Roman"/>
                <w:i/>
              </w:rPr>
            </w:pPr>
            <w:r>
              <w:rPr>
                <w:rFonts w:ascii="Times New Roman" w:hAnsi="Times New Roman" w:cs="Times New Roman"/>
                <w:i/>
              </w:rPr>
              <w:t>d</w:t>
            </w:r>
          </w:p>
        </w:tc>
      </w:tr>
      <w:tr w:rsidR="00514D14" w:rsidRPr="003D3598" w14:paraId="632F4D7A" w14:textId="77777777" w:rsidTr="00FD613B">
        <w:trPr>
          <w:trHeight w:val="234"/>
        </w:trPr>
        <w:tc>
          <w:tcPr>
            <w:tcW w:w="1832" w:type="pct"/>
            <w:tcBorders>
              <w:top w:val="single" w:sz="12" w:space="0" w:color="000000"/>
              <w:left w:val="nil"/>
              <w:bottom w:val="nil"/>
              <w:right w:val="nil"/>
            </w:tcBorders>
          </w:tcPr>
          <w:p w14:paraId="4E82BDDE"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 xml:space="preserve">Intercept, </w:t>
            </w:r>
            <m:oMath>
              <m:r>
                <w:rPr>
                  <w:rFonts w:ascii="Cambria Math" w:hAnsi="Cambria Math" w:cs="Times New Roman"/>
                </w:rPr>
                <m:t>β</m:t>
              </m:r>
            </m:oMath>
            <w:r w:rsidRPr="00B36420">
              <w:rPr>
                <w:rFonts w:ascii="Times New Roman" w:hAnsi="Times New Roman" w:cs="Times New Roman"/>
                <w:vertAlign w:val="subscript"/>
              </w:rPr>
              <w:t>00</w:t>
            </w:r>
          </w:p>
        </w:tc>
        <w:tc>
          <w:tcPr>
            <w:tcW w:w="556" w:type="pct"/>
            <w:tcBorders>
              <w:top w:val="single" w:sz="12" w:space="0" w:color="000000"/>
              <w:left w:val="nil"/>
              <w:bottom w:val="nil"/>
              <w:right w:val="nil"/>
            </w:tcBorders>
          </w:tcPr>
          <w:p w14:paraId="08BAC2D8" w14:textId="77777777" w:rsidR="00514D14" w:rsidRPr="00B36420" w:rsidRDefault="00514D14" w:rsidP="00A73422">
            <w:pPr>
              <w:jc w:val="center"/>
              <w:rPr>
                <w:rFonts w:ascii="Times New Roman" w:hAnsi="Times New Roman" w:cs="Times New Roman"/>
              </w:rPr>
            </w:pPr>
            <w:r w:rsidRPr="00520EE5">
              <w:rPr>
                <w:rFonts w:ascii="Times New Roman" w:hAnsi="Times New Roman" w:cs="Times New Roman"/>
              </w:rPr>
              <w:t>2.</w:t>
            </w:r>
            <w:r>
              <w:rPr>
                <w:rFonts w:ascii="Times New Roman" w:hAnsi="Times New Roman" w:cs="Times New Roman"/>
              </w:rPr>
              <w:t>30</w:t>
            </w:r>
            <w:r w:rsidRPr="00520EE5">
              <w:rPr>
                <w:rFonts w:ascii="Times New Roman" w:hAnsi="Times New Roman" w:cs="Times New Roman"/>
                <w:vertAlign w:val="superscript"/>
              </w:rPr>
              <w:t>***</w:t>
            </w:r>
            <w:r>
              <w:rPr>
                <w:rFonts w:ascii="Times New Roman" w:hAnsi="Times New Roman" w:cs="Times New Roman"/>
              </w:rPr>
              <w:t xml:space="preserve"> (</w:t>
            </w:r>
            <w:r w:rsidRPr="00520EE5">
              <w:rPr>
                <w:rFonts w:ascii="Times New Roman" w:hAnsi="Times New Roman" w:cs="Times New Roman"/>
              </w:rPr>
              <w:t>0.10</w:t>
            </w:r>
            <w:r>
              <w:rPr>
                <w:rFonts w:ascii="Times New Roman" w:hAnsi="Times New Roman" w:cs="Times New Roman"/>
              </w:rPr>
              <w:t>)</w:t>
            </w:r>
          </w:p>
        </w:tc>
        <w:tc>
          <w:tcPr>
            <w:tcW w:w="389" w:type="pct"/>
            <w:tcBorders>
              <w:top w:val="single" w:sz="12" w:space="0" w:color="000000"/>
              <w:left w:val="nil"/>
              <w:bottom w:val="nil"/>
              <w:right w:val="nil"/>
            </w:tcBorders>
          </w:tcPr>
          <w:p w14:paraId="7FD1A019" w14:textId="77777777" w:rsidR="00514D14" w:rsidRPr="00B36420" w:rsidRDefault="00514D14" w:rsidP="00A73422">
            <w:pPr>
              <w:jc w:val="center"/>
              <w:rPr>
                <w:rFonts w:ascii="Times New Roman" w:hAnsi="Times New Roman" w:cs="Times New Roman"/>
              </w:rPr>
            </w:pPr>
          </w:p>
        </w:tc>
        <w:tc>
          <w:tcPr>
            <w:tcW w:w="167" w:type="pct"/>
            <w:tcBorders>
              <w:top w:val="single" w:sz="12" w:space="0" w:color="000000"/>
              <w:left w:val="nil"/>
              <w:bottom w:val="nil"/>
              <w:right w:val="nil"/>
            </w:tcBorders>
          </w:tcPr>
          <w:p w14:paraId="27F7D1CD" w14:textId="77777777" w:rsidR="00514D14" w:rsidRPr="00B36420" w:rsidRDefault="00514D14" w:rsidP="00A73422">
            <w:pPr>
              <w:jc w:val="center"/>
              <w:rPr>
                <w:rFonts w:ascii="Times New Roman" w:hAnsi="Times New Roman" w:cs="Times New Roman"/>
              </w:rPr>
            </w:pPr>
          </w:p>
        </w:tc>
        <w:tc>
          <w:tcPr>
            <w:tcW w:w="556" w:type="pct"/>
            <w:tcBorders>
              <w:top w:val="single" w:sz="12" w:space="0" w:color="000000"/>
              <w:left w:val="nil"/>
              <w:bottom w:val="nil"/>
              <w:right w:val="nil"/>
            </w:tcBorders>
          </w:tcPr>
          <w:p w14:paraId="69385C8B" w14:textId="77777777" w:rsidR="00514D14" w:rsidRPr="00B15844" w:rsidRDefault="00514D14" w:rsidP="00A73422">
            <w:pPr>
              <w:jc w:val="center"/>
              <w:rPr>
                <w:rFonts w:ascii="Times New Roman" w:hAnsi="Times New Roman" w:cs="Times New Roman"/>
              </w:rPr>
            </w:pPr>
            <w:r w:rsidRPr="00B36420">
              <w:rPr>
                <w:rFonts w:ascii="Times New Roman" w:hAnsi="Times New Roman" w:cs="Times New Roman"/>
              </w:rPr>
              <w:t>2.6</w:t>
            </w:r>
            <w:r>
              <w:rPr>
                <w:rFonts w:ascii="Times New Roman" w:hAnsi="Times New Roman" w:cs="Times New Roman"/>
              </w:rPr>
              <w:t>4</w:t>
            </w:r>
            <w:r w:rsidRPr="00B36420">
              <w:rPr>
                <w:rFonts w:ascii="Times New Roman" w:hAnsi="Times New Roman" w:cs="Times New Roman"/>
                <w:vertAlign w:val="superscript"/>
              </w:rPr>
              <w:t>***</w:t>
            </w:r>
            <w:r>
              <w:rPr>
                <w:rFonts w:ascii="Times New Roman" w:hAnsi="Times New Roman" w:cs="Times New Roman"/>
              </w:rPr>
              <w:t xml:space="preserve"> (0.09)</w:t>
            </w:r>
          </w:p>
        </w:tc>
        <w:tc>
          <w:tcPr>
            <w:tcW w:w="390" w:type="pct"/>
            <w:gridSpan w:val="2"/>
            <w:tcBorders>
              <w:top w:val="single" w:sz="12" w:space="0" w:color="000000"/>
              <w:left w:val="nil"/>
              <w:bottom w:val="nil"/>
              <w:right w:val="nil"/>
            </w:tcBorders>
          </w:tcPr>
          <w:p w14:paraId="32432DBE" w14:textId="77777777" w:rsidR="00514D14" w:rsidRPr="00B36420" w:rsidRDefault="00514D14" w:rsidP="00A73422">
            <w:pPr>
              <w:jc w:val="center"/>
              <w:rPr>
                <w:rFonts w:ascii="Times New Roman" w:hAnsi="Times New Roman" w:cs="Times New Roman"/>
              </w:rPr>
            </w:pPr>
          </w:p>
        </w:tc>
        <w:tc>
          <w:tcPr>
            <w:tcW w:w="167" w:type="pct"/>
            <w:tcBorders>
              <w:top w:val="single" w:sz="12" w:space="0" w:color="000000"/>
              <w:left w:val="nil"/>
              <w:bottom w:val="nil"/>
              <w:right w:val="nil"/>
            </w:tcBorders>
          </w:tcPr>
          <w:p w14:paraId="563EA56B" w14:textId="77777777" w:rsidR="00514D14" w:rsidRPr="00B36420" w:rsidRDefault="00514D14" w:rsidP="00A73422">
            <w:pPr>
              <w:jc w:val="center"/>
              <w:rPr>
                <w:rFonts w:ascii="Times New Roman" w:hAnsi="Times New Roman" w:cs="Times New Roman"/>
              </w:rPr>
            </w:pPr>
          </w:p>
        </w:tc>
        <w:tc>
          <w:tcPr>
            <w:tcW w:w="472" w:type="pct"/>
            <w:tcBorders>
              <w:top w:val="single" w:sz="12" w:space="0" w:color="auto"/>
              <w:left w:val="nil"/>
              <w:bottom w:val="nil"/>
              <w:right w:val="nil"/>
            </w:tcBorders>
          </w:tcPr>
          <w:p w14:paraId="3C5CDA14"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2.73</w:t>
            </w:r>
            <w:r w:rsidRPr="00B36420">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(0.08)</w:t>
            </w:r>
          </w:p>
        </w:tc>
        <w:tc>
          <w:tcPr>
            <w:tcW w:w="471" w:type="pct"/>
            <w:gridSpan w:val="2"/>
            <w:tcBorders>
              <w:top w:val="single" w:sz="12" w:space="0" w:color="auto"/>
              <w:left w:val="nil"/>
              <w:bottom w:val="nil"/>
              <w:right w:val="nil"/>
            </w:tcBorders>
          </w:tcPr>
          <w:p w14:paraId="512713CC" w14:textId="77777777" w:rsidR="00514D14" w:rsidRPr="00B36420" w:rsidRDefault="00514D14" w:rsidP="00A73422">
            <w:pPr>
              <w:jc w:val="center"/>
              <w:rPr>
                <w:rFonts w:ascii="Times New Roman" w:hAnsi="Times New Roman" w:cs="Times New Roman"/>
              </w:rPr>
            </w:pPr>
          </w:p>
        </w:tc>
      </w:tr>
      <w:tr w:rsidR="00514D14" w:rsidRPr="003D3598" w14:paraId="2CB301F3" w14:textId="77777777" w:rsidTr="00FD613B">
        <w:trPr>
          <w:trHeight w:val="234"/>
        </w:trPr>
        <w:tc>
          <w:tcPr>
            <w:tcW w:w="1832" w:type="pct"/>
            <w:tcBorders>
              <w:top w:val="nil"/>
              <w:left w:val="nil"/>
              <w:bottom w:val="nil"/>
              <w:right w:val="nil"/>
            </w:tcBorders>
          </w:tcPr>
          <w:p w14:paraId="28BC2F64" w14:textId="77777777" w:rsidR="00514D14" w:rsidRPr="00B36420" w:rsidRDefault="00514D14" w:rsidP="00A73422">
            <w:pPr>
              <w:ind w:firstLine="360"/>
              <w:rPr>
                <w:rFonts w:ascii="Times New Roman" w:hAnsi="Times New Roman" w:cs="Times New Roman"/>
              </w:rPr>
            </w:pPr>
            <w:r w:rsidRPr="00B36420">
              <w:rPr>
                <w:rFonts w:ascii="Times New Roman" w:hAnsi="Times New Roman" w:cs="Times New Roman"/>
              </w:rPr>
              <w:t xml:space="preserve">Initial Comp. Beliefs, </w:t>
            </w:r>
            <m:oMath>
              <m:r>
                <w:rPr>
                  <w:rFonts w:ascii="Cambria Math" w:hAnsi="Cambria Math" w:cs="Times New Roman"/>
                </w:rPr>
                <m:t>β</m:t>
              </m:r>
            </m:oMath>
            <w:r w:rsidRPr="00B36420">
              <w:rPr>
                <w:rFonts w:ascii="Times New Roman" w:hAnsi="Times New Roman" w:cs="Times New Roman"/>
                <w:vertAlign w:val="subscript"/>
              </w:rPr>
              <w:t>01</w:t>
            </w:r>
          </w:p>
        </w:tc>
        <w:tc>
          <w:tcPr>
            <w:tcW w:w="556" w:type="pct"/>
            <w:tcBorders>
              <w:top w:val="nil"/>
              <w:left w:val="nil"/>
              <w:bottom w:val="nil"/>
              <w:right w:val="nil"/>
            </w:tcBorders>
          </w:tcPr>
          <w:p w14:paraId="5672E2A6" w14:textId="77777777" w:rsidR="00514D14" w:rsidRPr="00B36420" w:rsidRDefault="00514D14" w:rsidP="00A73422">
            <w:pPr>
              <w:jc w:val="center"/>
              <w:rPr>
                <w:rFonts w:ascii="Times New Roman" w:hAnsi="Times New Roman" w:cs="Times New Roman"/>
              </w:rPr>
            </w:pPr>
            <w:r w:rsidRPr="00B15844">
              <w:rPr>
                <w:rFonts w:ascii="Times New Roman" w:hAnsi="Times New Roman" w:cs="Times New Roman"/>
              </w:rPr>
              <w:t>-0.12</w:t>
            </w:r>
            <w:r>
              <w:rPr>
                <w:rFonts w:ascii="Times New Roman" w:hAnsi="Times New Roman" w:cs="Times New Roman"/>
              </w:rPr>
              <w:t xml:space="preserve"> (0.07)</w:t>
            </w:r>
          </w:p>
        </w:tc>
        <w:tc>
          <w:tcPr>
            <w:tcW w:w="389" w:type="pct"/>
            <w:tcBorders>
              <w:top w:val="nil"/>
              <w:left w:val="nil"/>
              <w:bottom w:val="nil"/>
              <w:right w:val="nil"/>
            </w:tcBorders>
          </w:tcPr>
          <w:p w14:paraId="106DD38C"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0.28</w:t>
            </w:r>
          </w:p>
        </w:tc>
        <w:tc>
          <w:tcPr>
            <w:tcW w:w="167" w:type="pct"/>
            <w:tcBorders>
              <w:top w:val="nil"/>
              <w:left w:val="nil"/>
              <w:bottom w:val="nil"/>
              <w:right w:val="nil"/>
            </w:tcBorders>
          </w:tcPr>
          <w:p w14:paraId="60596225"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60171FCC"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w:t>
            </w:r>
            <w:r>
              <w:rPr>
                <w:rFonts w:ascii="Times New Roman" w:hAnsi="Times New Roman" w:cs="Times New Roman"/>
              </w:rPr>
              <w:t>5 (0.07)</w:t>
            </w:r>
          </w:p>
        </w:tc>
        <w:tc>
          <w:tcPr>
            <w:tcW w:w="390" w:type="pct"/>
            <w:gridSpan w:val="2"/>
            <w:tcBorders>
              <w:top w:val="nil"/>
              <w:left w:val="nil"/>
              <w:bottom w:val="nil"/>
              <w:right w:val="nil"/>
            </w:tcBorders>
          </w:tcPr>
          <w:p w14:paraId="722BC6B3"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0.14</w:t>
            </w:r>
          </w:p>
        </w:tc>
        <w:tc>
          <w:tcPr>
            <w:tcW w:w="167" w:type="pct"/>
            <w:tcBorders>
              <w:top w:val="nil"/>
              <w:left w:val="nil"/>
              <w:bottom w:val="nil"/>
              <w:right w:val="nil"/>
            </w:tcBorders>
          </w:tcPr>
          <w:p w14:paraId="1472A8F5"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0DC87016"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0.08</w:t>
            </w:r>
            <w:r>
              <w:rPr>
                <w:rFonts w:ascii="Times New Roman" w:hAnsi="Times New Roman" w:cs="Times New Roman"/>
              </w:rPr>
              <w:t xml:space="preserve"> (0.06)</w:t>
            </w:r>
          </w:p>
        </w:tc>
        <w:tc>
          <w:tcPr>
            <w:tcW w:w="471" w:type="pct"/>
            <w:gridSpan w:val="2"/>
            <w:tcBorders>
              <w:top w:val="nil"/>
              <w:left w:val="nil"/>
              <w:bottom w:val="nil"/>
              <w:right w:val="nil"/>
            </w:tcBorders>
          </w:tcPr>
          <w:p w14:paraId="5D80AE7E"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0.20</w:t>
            </w:r>
          </w:p>
        </w:tc>
      </w:tr>
      <w:tr w:rsidR="00514D14" w:rsidRPr="003D3598" w14:paraId="1F523693" w14:textId="77777777" w:rsidTr="00FD613B">
        <w:trPr>
          <w:trHeight w:val="235"/>
        </w:trPr>
        <w:tc>
          <w:tcPr>
            <w:tcW w:w="1832" w:type="pct"/>
            <w:tcBorders>
              <w:top w:val="nil"/>
              <w:left w:val="nil"/>
              <w:bottom w:val="nil"/>
              <w:right w:val="nil"/>
            </w:tcBorders>
          </w:tcPr>
          <w:p w14:paraId="6A5E8983" w14:textId="77777777" w:rsidR="00514D14" w:rsidRPr="00B36420" w:rsidRDefault="00514D14" w:rsidP="00A73422">
            <w:pPr>
              <w:ind w:firstLine="360"/>
              <w:rPr>
                <w:rFonts w:ascii="Times New Roman" w:eastAsiaTheme="majorEastAsia" w:hAnsi="Times New Roman" w:cs="Times New Roman"/>
                <w:b/>
                <w:bCs/>
                <w:color w:val="4F81BD" w:themeColor="accent1"/>
              </w:rPr>
            </w:pPr>
            <w:r w:rsidRPr="00B36420">
              <w:rPr>
                <w:rFonts w:ascii="Times New Roman" w:hAnsi="Times New Roman" w:cs="Times New Roman"/>
              </w:rPr>
              <w:t xml:space="preserve">Female, </w:t>
            </w:r>
            <m:oMath>
              <m:r>
                <w:rPr>
                  <w:rFonts w:ascii="Cambria Math" w:hAnsi="Cambria Math" w:cs="Times New Roman"/>
                </w:rPr>
                <m:t>β</m:t>
              </m:r>
            </m:oMath>
            <w:r w:rsidRPr="00B36420">
              <w:rPr>
                <w:rFonts w:ascii="Times New Roman" w:hAnsi="Times New Roman" w:cs="Times New Roman"/>
                <w:vertAlign w:val="subscript"/>
              </w:rPr>
              <w:t>02</w:t>
            </w:r>
          </w:p>
        </w:tc>
        <w:tc>
          <w:tcPr>
            <w:tcW w:w="556" w:type="pct"/>
            <w:tcBorders>
              <w:top w:val="nil"/>
              <w:left w:val="nil"/>
              <w:bottom w:val="nil"/>
              <w:right w:val="nil"/>
            </w:tcBorders>
          </w:tcPr>
          <w:p w14:paraId="47CE564F" w14:textId="77777777" w:rsidR="00514D14" w:rsidRPr="00B36420" w:rsidRDefault="00514D14" w:rsidP="00A73422">
            <w:pPr>
              <w:jc w:val="center"/>
              <w:rPr>
                <w:rFonts w:ascii="Times New Roman" w:hAnsi="Times New Roman" w:cs="Times New Roman"/>
              </w:rPr>
            </w:pPr>
            <w:r w:rsidRPr="00B15844">
              <w:rPr>
                <w:rFonts w:ascii="Times New Roman" w:hAnsi="Times New Roman" w:cs="Times New Roman"/>
              </w:rPr>
              <w:t>-0.2</w:t>
            </w:r>
            <w:r>
              <w:rPr>
                <w:rFonts w:ascii="Times New Roman" w:hAnsi="Times New Roman" w:cs="Times New Roman"/>
              </w:rPr>
              <w:t>4</w:t>
            </w:r>
            <w:r w:rsidRPr="00520EE5">
              <w:rPr>
                <w:rFonts w:ascii="Times New Roman" w:hAnsi="Times New Roman" w:cs="Times New Roman"/>
                <w:vertAlign w:val="superscript"/>
              </w:rPr>
              <w:t>*</w:t>
            </w:r>
            <w:r>
              <w:rPr>
                <w:rFonts w:ascii="Times New Roman" w:hAnsi="Times New Roman" w:cs="Times New Roman"/>
              </w:rPr>
              <w:t xml:space="preserve"> (0.11)</w:t>
            </w:r>
          </w:p>
        </w:tc>
        <w:tc>
          <w:tcPr>
            <w:tcW w:w="389" w:type="pct"/>
            <w:tcBorders>
              <w:top w:val="nil"/>
              <w:left w:val="nil"/>
              <w:bottom w:val="nil"/>
              <w:right w:val="nil"/>
            </w:tcBorders>
          </w:tcPr>
          <w:p w14:paraId="51D1E7DE"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0.33</w:t>
            </w:r>
          </w:p>
        </w:tc>
        <w:tc>
          <w:tcPr>
            <w:tcW w:w="167" w:type="pct"/>
            <w:tcBorders>
              <w:top w:val="nil"/>
              <w:left w:val="nil"/>
              <w:bottom w:val="nil"/>
              <w:right w:val="nil"/>
            </w:tcBorders>
          </w:tcPr>
          <w:p w14:paraId="7CB92150"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653FE8F4" w14:textId="77777777" w:rsidR="00514D14" w:rsidRPr="00B15844" w:rsidRDefault="00514D14" w:rsidP="00A73422">
            <w:pPr>
              <w:jc w:val="center"/>
              <w:rPr>
                <w:rFonts w:ascii="Times New Roman" w:hAnsi="Times New Roman" w:cs="Times New Roman"/>
              </w:rPr>
            </w:pPr>
            <w:r w:rsidRPr="00B36420">
              <w:rPr>
                <w:rFonts w:ascii="Times New Roman" w:hAnsi="Times New Roman" w:cs="Times New Roman"/>
              </w:rPr>
              <w:t>-0.25</w:t>
            </w:r>
            <w:r w:rsidRPr="00B36420">
              <w:rPr>
                <w:rFonts w:ascii="Times New Roman" w:hAnsi="Times New Roman" w:cs="Times New Roman"/>
                <w:vertAlign w:val="superscript"/>
              </w:rPr>
              <w:t>*</w:t>
            </w:r>
            <w:r>
              <w:rPr>
                <w:rFonts w:ascii="Times New Roman" w:hAnsi="Times New Roman" w:cs="Times New Roman"/>
              </w:rPr>
              <w:t xml:space="preserve"> (0.11)</w:t>
            </w:r>
          </w:p>
        </w:tc>
        <w:tc>
          <w:tcPr>
            <w:tcW w:w="390" w:type="pct"/>
            <w:gridSpan w:val="2"/>
            <w:tcBorders>
              <w:top w:val="nil"/>
              <w:left w:val="nil"/>
              <w:bottom w:val="nil"/>
              <w:right w:val="nil"/>
            </w:tcBorders>
          </w:tcPr>
          <w:p w14:paraId="5FD8D23F"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0.34</w:t>
            </w:r>
          </w:p>
        </w:tc>
        <w:tc>
          <w:tcPr>
            <w:tcW w:w="167" w:type="pct"/>
            <w:tcBorders>
              <w:top w:val="nil"/>
              <w:left w:val="nil"/>
              <w:bottom w:val="nil"/>
              <w:right w:val="nil"/>
            </w:tcBorders>
          </w:tcPr>
          <w:p w14:paraId="1C06B386"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4821E017"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-0.08</w:t>
            </w:r>
            <w:r>
              <w:rPr>
                <w:rFonts w:ascii="Times New Roman" w:hAnsi="Times New Roman" w:cs="Times New Roman"/>
              </w:rPr>
              <w:t xml:space="preserve"> (0.10)</w:t>
            </w:r>
          </w:p>
        </w:tc>
        <w:tc>
          <w:tcPr>
            <w:tcW w:w="471" w:type="pct"/>
            <w:gridSpan w:val="2"/>
            <w:tcBorders>
              <w:top w:val="nil"/>
              <w:left w:val="nil"/>
              <w:bottom w:val="nil"/>
              <w:right w:val="nil"/>
            </w:tcBorders>
          </w:tcPr>
          <w:p w14:paraId="569EA5F9"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0.12</w:t>
            </w:r>
          </w:p>
        </w:tc>
      </w:tr>
      <w:tr w:rsidR="00514D14" w:rsidRPr="003D3598" w14:paraId="6EA87F72" w14:textId="77777777" w:rsidTr="00FD613B">
        <w:trPr>
          <w:trHeight w:val="234"/>
        </w:trPr>
        <w:tc>
          <w:tcPr>
            <w:tcW w:w="1832" w:type="pct"/>
            <w:tcBorders>
              <w:top w:val="nil"/>
              <w:left w:val="nil"/>
              <w:bottom w:val="nil"/>
              <w:right w:val="nil"/>
            </w:tcBorders>
          </w:tcPr>
          <w:p w14:paraId="30045535"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lastRenderedPageBreak/>
              <w:t xml:space="preserve">Basic </w:t>
            </w:r>
            <w:proofErr w:type="spellStart"/>
            <w:r w:rsidRPr="00B36420">
              <w:rPr>
                <w:rFonts w:ascii="Times New Roman" w:hAnsi="Times New Roman" w:cs="Times New Roman"/>
              </w:rPr>
              <w:t>Skills</w:t>
            </w:r>
            <w:r w:rsidRPr="00B36420">
              <w:rPr>
                <w:rFonts w:ascii="Times New Roman" w:hAnsi="Times New Roman" w:cs="Times New Roman"/>
                <w:vertAlign w:val="superscript"/>
              </w:rPr>
              <w:t>a</w:t>
            </w:r>
            <w:proofErr w:type="spellEnd"/>
            <w:r w:rsidRPr="00B36420">
              <w:rPr>
                <w:rFonts w:ascii="Times New Roman" w:hAnsi="Times New Roman" w:cs="Times New Roman"/>
              </w:rPr>
              <w:t xml:space="preserve">, </w:t>
            </w:r>
            <m:oMath>
              <m:r>
                <w:rPr>
                  <w:rFonts w:ascii="Cambria Math" w:hAnsi="Cambria Math" w:cs="Times New Roman"/>
                </w:rPr>
                <m:t>β</m:t>
              </m:r>
            </m:oMath>
            <w:r w:rsidRPr="00B36420">
              <w:rPr>
                <w:rFonts w:ascii="Times New Roman" w:hAnsi="Times New Roman" w:cs="Times New Roman"/>
                <w:vertAlign w:val="subscript"/>
              </w:rPr>
              <w:t>10</w:t>
            </w:r>
          </w:p>
        </w:tc>
        <w:tc>
          <w:tcPr>
            <w:tcW w:w="556" w:type="pct"/>
            <w:tcBorders>
              <w:top w:val="nil"/>
              <w:left w:val="nil"/>
              <w:bottom w:val="nil"/>
              <w:right w:val="nil"/>
            </w:tcBorders>
          </w:tcPr>
          <w:p w14:paraId="3145A7C0" w14:textId="77777777" w:rsidR="00514D14" w:rsidRPr="00B36420" w:rsidRDefault="00514D14" w:rsidP="00A73422">
            <w:pPr>
              <w:jc w:val="center"/>
              <w:rPr>
                <w:rFonts w:ascii="Times New Roman" w:hAnsi="Times New Roman" w:cs="Times New Roman"/>
              </w:rPr>
            </w:pPr>
            <w:r w:rsidRPr="007B2C24">
              <w:rPr>
                <w:rFonts w:ascii="Times New Roman" w:hAnsi="Times New Roman" w:cs="Times New Roman"/>
              </w:rPr>
              <w:t>0.</w:t>
            </w:r>
            <w:r>
              <w:rPr>
                <w:rFonts w:ascii="Times New Roman" w:hAnsi="Times New Roman" w:cs="Times New Roman"/>
              </w:rPr>
              <w:t>13</w:t>
            </w:r>
            <w:r w:rsidRPr="00520EE5">
              <w:rPr>
                <w:rFonts w:ascii="Times New Roman" w:hAnsi="Times New Roman" w:cs="Times New Roman"/>
                <w:vertAlign w:val="superscript"/>
              </w:rPr>
              <w:t>*</w:t>
            </w:r>
            <w:r>
              <w:rPr>
                <w:rFonts w:ascii="Times New Roman" w:hAnsi="Times New Roman" w:cs="Times New Roman"/>
              </w:rPr>
              <w:t xml:space="preserve"> (0.06)</w:t>
            </w:r>
          </w:p>
        </w:tc>
        <w:tc>
          <w:tcPr>
            <w:tcW w:w="389" w:type="pct"/>
            <w:tcBorders>
              <w:top w:val="nil"/>
              <w:left w:val="nil"/>
              <w:bottom w:val="nil"/>
              <w:right w:val="nil"/>
            </w:tcBorders>
          </w:tcPr>
          <w:p w14:paraId="58412DE4"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0.30</w:t>
            </w:r>
          </w:p>
        </w:tc>
        <w:tc>
          <w:tcPr>
            <w:tcW w:w="167" w:type="pct"/>
            <w:tcBorders>
              <w:top w:val="nil"/>
              <w:left w:val="nil"/>
              <w:bottom w:val="nil"/>
              <w:right w:val="nil"/>
            </w:tcBorders>
          </w:tcPr>
          <w:p w14:paraId="578A660F"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737A2C4E" w14:textId="77777777" w:rsidR="00514D14" w:rsidRPr="00B15844" w:rsidRDefault="00514D14" w:rsidP="00A73422">
            <w:pPr>
              <w:jc w:val="center"/>
              <w:rPr>
                <w:rFonts w:ascii="Times New Roman" w:hAnsi="Times New Roman" w:cs="Times New Roman"/>
              </w:rPr>
            </w:pPr>
            <w:r w:rsidRPr="00B36420">
              <w:rPr>
                <w:rFonts w:ascii="Times New Roman" w:hAnsi="Times New Roman" w:cs="Times New Roman"/>
              </w:rPr>
              <w:t>0.1</w:t>
            </w:r>
            <w:r>
              <w:rPr>
                <w:rFonts w:ascii="Times New Roman" w:hAnsi="Times New Roman" w:cs="Times New Roman"/>
              </w:rPr>
              <w:t>1</w:t>
            </w:r>
            <w:r w:rsidRPr="00B36420">
              <w:rPr>
                <w:rFonts w:ascii="Times New Roman" w:hAnsi="Times New Roman" w:cs="Times New Roman"/>
                <w:vertAlign w:val="superscript"/>
              </w:rPr>
              <w:t>**</w:t>
            </w:r>
            <w:r>
              <w:rPr>
                <w:rFonts w:ascii="Times New Roman" w:hAnsi="Times New Roman" w:cs="Times New Roman"/>
              </w:rPr>
              <w:t xml:space="preserve"> (0.04)</w:t>
            </w:r>
          </w:p>
        </w:tc>
        <w:tc>
          <w:tcPr>
            <w:tcW w:w="390" w:type="pct"/>
            <w:gridSpan w:val="2"/>
            <w:tcBorders>
              <w:top w:val="nil"/>
              <w:left w:val="nil"/>
              <w:bottom w:val="nil"/>
              <w:right w:val="nil"/>
            </w:tcBorders>
          </w:tcPr>
          <w:p w14:paraId="3102AAE4"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0.36</w:t>
            </w:r>
          </w:p>
        </w:tc>
        <w:tc>
          <w:tcPr>
            <w:tcW w:w="167" w:type="pct"/>
            <w:tcBorders>
              <w:top w:val="nil"/>
              <w:left w:val="nil"/>
              <w:bottom w:val="nil"/>
              <w:right w:val="nil"/>
            </w:tcBorders>
          </w:tcPr>
          <w:p w14:paraId="4E62BEB9"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3D3BAD81"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0.21</w:t>
            </w:r>
            <w:r w:rsidRPr="00B36420">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(0.05)</w:t>
            </w:r>
          </w:p>
        </w:tc>
        <w:tc>
          <w:tcPr>
            <w:tcW w:w="471" w:type="pct"/>
            <w:gridSpan w:val="2"/>
            <w:tcBorders>
              <w:top w:val="nil"/>
              <w:left w:val="nil"/>
              <w:bottom w:val="nil"/>
              <w:right w:val="nil"/>
            </w:tcBorders>
          </w:tcPr>
          <w:p w14:paraId="357BEFBA"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0.61</w:t>
            </w:r>
          </w:p>
        </w:tc>
      </w:tr>
      <w:tr w:rsidR="00514D14" w:rsidRPr="003D3598" w14:paraId="450E4CA3" w14:textId="77777777" w:rsidTr="00FD613B">
        <w:trPr>
          <w:trHeight w:val="234"/>
        </w:trPr>
        <w:tc>
          <w:tcPr>
            <w:tcW w:w="1832" w:type="pct"/>
            <w:tcBorders>
              <w:top w:val="nil"/>
              <w:left w:val="nil"/>
              <w:bottom w:val="nil"/>
              <w:right w:val="nil"/>
            </w:tcBorders>
          </w:tcPr>
          <w:p w14:paraId="512E2030"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 xml:space="preserve">Creating </w:t>
            </w:r>
            <w:proofErr w:type="spellStart"/>
            <w:r w:rsidRPr="00B36420">
              <w:rPr>
                <w:rFonts w:ascii="Times New Roman" w:hAnsi="Times New Roman" w:cs="Times New Roman"/>
              </w:rPr>
              <w:t>Product</w:t>
            </w:r>
            <w:r>
              <w:rPr>
                <w:rFonts w:ascii="Times New Roman" w:hAnsi="Times New Roman" w:cs="Times New Roman"/>
              </w:rPr>
              <w:t>s</w:t>
            </w:r>
            <w:r w:rsidRPr="00B36420">
              <w:rPr>
                <w:rFonts w:ascii="Times New Roman" w:hAnsi="Times New Roman" w:cs="Times New Roman"/>
                <w:vertAlign w:val="superscript"/>
              </w:rPr>
              <w:t>a</w:t>
            </w:r>
            <w:proofErr w:type="spellEnd"/>
            <w:r w:rsidRPr="00B36420">
              <w:rPr>
                <w:rFonts w:ascii="Times New Roman" w:hAnsi="Times New Roman" w:cs="Times New Roman"/>
              </w:rPr>
              <w:t>,</w:t>
            </w:r>
            <m:oMath>
              <m:r>
                <m:rPr>
                  <m:sty m:val="p"/>
                </m:rPr>
                <w:rPr>
                  <w:rFonts w:ascii="Cambria Math" w:hAnsi="Cambria Math" w:cs="Times New Roman"/>
                </w:rPr>
                <m:t xml:space="preserve"> </m:t>
              </m:r>
              <m:r>
                <w:rPr>
                  <w:rFonts w:ascii="Cambria Math" w:hAnsi="Cambria Math" w:cs="Times New Roman"/>
                </w:rPr>
                <m:t>β</m:t>
              </m:r>
            </m:oMath>
            <w:r w:rsidRPr="00B36420">
              <w:rPr>
                <w:rFonts w:ascii="Times New Roman" w:hAnsi="Times New Roman" w:cs="Times New Roman"/>
                <w:vertAlign w:val="subscript"/>
              </w:rPr>
              <w:t>20</w:t>
            </w:r>
          </w:p>
        </w:tc>
        <w:tc>
          <w:tcPr>
            <w:tcW w:w="556" w:type="pct"/>
            <w:tcBorders>
              <w:top w:val="nil"/>
              <w:left w:val="nil"/>
              <w:bottom w:val="nil"/>
              <w:right w:val="nil"/>
            </w:tcBorders>
          </w:tcPr>
          <w:p w14:paraId="7195C14E" w14:textId="77777777" w:rsidR="00514D14" w:rsidRPr="00B36420" w:rsidRDefault="00514D14" w:rsidP="00A73422">
            <w:pPr>
              <w:jc w:val="center"/>
              <w:rPr>
                <w:rFonts w:ascii="Times New Roman" w:hAnsi="Times New Roman" w:cs="Times New Roman"/>
              </w:rPr>
            </w:pPr>
            <w:r w:rsidRPr="007B2C24">
              <w:rPr>
                <w:rFonts w:ascii="Times New Roman" w:hAnsi="Times New Roman" w:cs="Times New Roman"/>
              </w:rPr>
              <w:t>0.</w:t>
            </w:r>
            <w:r>
              <w:rPr>
                <w:rFonts w:ascii="Times New Roman" w:hAnsi="Times New Roman" w:cs="Times New Roman"/>
              </w:rPr>
              <w:t>44</w:t>
            </w:r>
            <w:r w:rsidRPr="00520EE5">
              <w:rPr>
                <w:rFonts w:ascii="Times New Roman" w:hAnsi="Times New Roman" w:cs="Times New Roman"/>
                <w:vertAlign w:val="superscript"/>
              </w:rPr>
              <w:t>***</w:t>
            </w:r>
            <w:r>
              <w:rPr>
                <w:rFonts w:ascii="Times New Roman" w:hAnsi="Times New Roman" w:cs="Times New Roman"/>
              </w:rPr>
              <w:t xml:space="preserve"> (0.07)</w:t>
            </w:r>
          </w:p>
        </w:tc>
        <w:tc>
          <w:tcPr>
            <w:tcW w:w="389" w:type="pct"/>
            <w:tcBorders>
              <w:top w:val="nil"/>
              <w:left w:val="nil"/>
              <w:bottom w:val="nil"/>
              <w:right w:val="nil"/>
            </w:tcBorders>
          </w:tcPr>
          <w:p w14:paraId="1925AE72"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0.88</w:t>
            </w:r>
          </w:p>
        </w:tc>
        <w:tc>
          <w:tcPr>
            <w:tcW w:w="167" w:type="pct"/>
            <w:tcBorders>
              <w:top w:val="nil"/>
              <w:left w:val="nil"/>
              <w:bottom w:val="nil"/>
              <w:right w:val="nil"/>
            </w:tcBorders>
          </w:tcPr>
          <w:p w14:paraId="55A20E79"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4512279A" w14:textId="77777777" w:rsidR="00514D14" w:rsidRPr="00B15844" w:rsidRDefault="00514D14" w:rsidP="00A73422">
            <w:pPr>
              <w:jc w:val="center"/>
              <w:rPr>
                <w:rFonts w:ascii="Times New Roman" w:hAnsi="Times New Roman" w:cs="Times New Roman"/>
              </w:rPr>
            </w:pPr>
            <w:r w:rsidRPr="00B36420">
              <w:rPr>
                <w:rFonts w:ascii="Times New Roman" w:hAnsi="Times New Roman" w:cs="Times New Roman"/>
              </w:rPr>
              <w:t>0.</w:t>
            </w:r>
            <w:r>
              <w:rPr>
                <w:rFonts w:ascii="Times New Roman" w:hAnsi="Times New Roman" w:cs="Times New Roman"/>
              </w:rPr>
              <w:t>19</w:t>
            </w:r>
            <w:r w:rsidRPr="00B36420">
              <w:rPr>
                <w:rFonts w:ascii="Times New Roman" w:hAnsi="Times New Roman" w:cs="Times New Roman"/>
                <w:vertAlign w:val="superscript"/>
              </w:rPr>
              <w:t>***</w:t>
            </w:r>
            <w:r>
              <w:rPr>
                <w:rFonts w:ascii="Times New Roman" w:hAnsi="Times New Roman" w:cs="Times New Roman"/>
              </w:rPr>
              <w:t xml:space="preserve"> (0.04)</w:t>
            </w:r>
          </w:p>
        </w:tc>
        <w:tc>
          <w:tcPr>
            <w:tcW w:w="390" w:type="pct"/>
            <w:gridSpan w:val="2"/>
            <w:tcBorders>
              <w:top w:val="nil"/>
              <w:left w:val="nil"/>
              <w:bottom w:val="nil"/>
              <w:right w:val="nil"/>
            </w:tcBorders>
          </w:tcPr>
          <w:p w14:paraId="64860B25"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0.56</w:t>
            </w:r>
          </w:p>
        </w:tc>
        <w:tc>
          <w:tcPr>
            <w:tcW w:w="167" w:type="pct"/>
            <w:tcBorders>
              <w:top w:val="nil"/>
              <w:left w:val="nil"/>
              <w:bottom w:val="nil"/>
              <w:right w:val="nil"/>
            </w:tcBorders>
          </w:tcPr>
          <w:p w14:paraId="0566803C"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48521F97"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0.11</w:t>
            </w:r>
            <w:r w:rsidRPr="00B36420">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(0.05)</w:t>
            </w:r>
          </w:p>
        </w:tc>
        <w:tc>
          <w:tcPr>
            <w:tcW w:w="471" w:type="pct"/>
            <w:gridSpan w:val="2"/>
            <w:tcBorders>
              <w:top w:val="nil"/>
              <w:left w:val="nil"/>
              <w:bottom w:val="nil"/>
              <w:right w:val="nil"/>
            </w:tcBorders>
          </w:tcPr>
          <w:p w14:paraId="1192BAA0"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0.28</w:t>
            </w:r>
          </w:p>
        </w:tc>
      </w:tr>
      <w:tr w:rsidR="00514D14" w:rsidRPr="003D3598" w14:paraId="379F1CFD" w14:textId="77777777" w:rsidTr="00FD613B">
        <w:trPr>
          <w:trHeight w:val="235"/>
        </w:trPr>
        <w:tc>
          <w:tcPr>
            <w:tcW w:w="1832" w:type="pct"/>
            <w:tcBorders>
              <w:top w:val="nil"/>
              <w:left w:val="nil"/>
              <w:bottom w:val="nil"/>
              <w:right w:val="nil"/>
            </w:tcBorders>
          </w:tcPr>
          <w:p w14:paraId="509EF21D"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 xml:space="preserve">Field Trip </w:t>
            </w:r>
            <w:proofErr w:type="spellStart"/>
            <w:r w:rsidRPr="00B36420">
              <w:rPr>
                <w:rFonts w:ascii="Times New Roman" w:hAnsi="Times New Roman" w:cs="Times New Roman"/>
              </w:rPr>
              <w:t>Speaker</w:t>
            </w:r>
            <w:r w:rsidRPr="00B36420">
              <w:rPr>
                <w:rFonts w:ascii="Times New Roman" w:hAnsi="Times New Roman" w:cs="Times New Roman"/>
                <w:vertAlign w:val="superscript"/>
              </w:rPr>
              <w:t>a</w:t>
            </w:r>
            <w:proofErr w:type="spellEnd"/>
            <w:r w:rsidRPr="00B36420">
              <w:rPr>
                <w:rFonts w:ascii="Times New Roman" w:hAnsi="Times New Roman" w:cs="Times New Roman"/>
              </w:rPr>
              <w:t>,</w:t>
            </w:r>
            <m:oMath>
              <m:r>
                <m:rPr>
                  <m:sty m:val="p"/>
                </m:rPr>
                <w:rPr>
                  <w:rFonts w:ascii="Cambria Math" w:hAnsi="Cambria Math" w:cs="Times New Roman"/>
                </w:rPr>
                <m:t xml:space="preserve"> </m:t>
              </m:r>
              <m:r>
                <w:rPr>
                  <w:rFonts w:ascii="Cambria Math" w:hAnsi="Cambria Math" w:cs="Times New Roman"/>
                </w:rPr>
                <m:t>β</m:t>
              </m:r>
            </m:oMath>
            <w:r w:rsidRPr="00B36420">
              <w:rPr>
                <w:rFonts w:ascii="Times New Roman" w:hAnsi="Times New Roman" w:cs="Times New Roman"/>
                <w:vertAlign w:val="subscript"/>
              </w:rPr>
              <w:t>30</w:t>
            </w:r>
          </w:p>
        </w:tc>
        <w:tc>
          <w:tcPr>
            <w:tcW w:w="556" w:type="pct"/>
            <w:tcBorders>
              <w:top w:val="nil"/>
              <w:left w:val="nil"/>
              <w:bottom w:val="nil"/>
              <w:right w:val="nil"/>
            </w:tcBorders>
          </w:tcPr>
          <w:p w14:paraId="7CBB27C3" w14:textId="77777777" w:rsidR="00514D14" w:rsidRPr="00B36420" w:rsidRDefault="00514D14" w:rsidP="00A73422">
            <w:pPr>
              <w:jc w:val="center"/>
              <w:rPr>
                <w:rFonts w:ascii="Times New Roman" w:hAnsi="Times New Roman" w:cs="Times New Roman"/>
              </w:rPr>
            </w:pPr>
            <w:r w:rsidRPr="007B2C24">
              <w:rPr>
                <w:rFonts w:ascii="Times New Roman" w:hAnsi="Times New Roman" w:cs="Times New Roman"/>
              </w:rPr>
              <w:t>-0.</w:t>
            </w:r>
            <w:r>
              <w:rPr>
                <w:rFonts w:ascii="Times New Roman" w:hAnsi="Times New Roman" w:cs="Times New Roman"/>
              </w:rPr>
              <w:t>05 (0.13)</w:t>
            </w:r>
          </w:p>
        </w:tc>
        <w:tc>
          <w:tcPr>
            <w:tcW w:w="389" w:type="pct"/>
            <w:tcBorders>
              <w:top w:val="nil"/>
              <w:left w:val="nil"/>
              <w:bottom w:val="nil"/>
              <w:right w:val="nil"/>
            </w:tcBorders>
          </w:tcPr>
          <w:p w14:paraId="32F14CE4"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0.08</w:t>
            </w:r>
          </w:p>
        </w:tc>
        <w:tc>
          <w:tcPr>
            <w:tcW w:w="167" w:type="pct"/>
            <w:tcBorders>
              <w:top w:val="nil"/>
              <w:left w:val="nil"/>
              <w:bottom w:val="nil"/>
              <w:right w:val="nil"/>
            </w:tcBorders>
          </w:tcPr>
          <w:p w14:paraId="6E1F93C7"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4C752809" w14:textId="77777777" w:rsidR="00514D14" w:rsidRPr="00B15844" w:rsidRDefault="00514D14" w:rsidP="00A73422">
            <w:pPr>
              <w:jc w:val="center"/>
              <w:rPr>
                <w:rFonts w:ascii="Times New Roman" w:hAnsi="Times New Roman" w:cs="Times New Roman"/>
              </w:rPr>
            </w:pPr>
            <w:r w:rsidRPr="00B36420">
              <w:rPr>
                <w:rFonts w:ascii="Times New Roman" w:hAnsi="Times New Roman" w:cs="Times New Roman"/>
              </w:rPr>
              <w:t>0.2</w:t>
            </w:r>
            <w:r>
              <w:rPr>
                <w:rFonts w:ascii="Times New Roman" w:hAnsi="Times New Roman" w:cs="Times New Roman"/>
              </w:rPr>
              <w:t>4</w:t>
            </w:r>
            <w:r w:rsidRPr="00B36420">
              <w:rPr>
                <w:rFonts w:ascii="Times New Roman" w:hAnsi="Times New Roman" w:cs="Times New Roman"/>
                <w:vertAlign w:val="superscript"/>
              </w:rPr>
              <w:t>**</w:t>
            </w:r>
            <w:r>
              <w:rPr>
                <w:rFonts w:ascii="Times New Roman" w:hAnsi="Times New Roman" w:cs="Times New Roman"/>
              </w:rPr>
              <w:t xml:space="preserve"> (0.08)</w:t>
            </w:r>
          </w:p>
        </w:tc>
        <w:tc>
          <w:tcPr>
            <w:tcW w:w="390" w:type="pct"/>
            <w:gridSpan w:val="2"/>
            <w:tcBorders>
              <w:top w:val="nil"/>
              <w:left w:val="nil"/>
              <w:bottom w:val="nil"/>
              <w:right w:val="nil"/>
            </w:tcBorders>
          </w:tcPr>
          <w:p w14:paraId="458DCD17"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0.57</w:t>
            </w:r>
          </w:p>
        </w:tc>
        <w:tc>
          <w:tcPr>
            <w:tcW w:w="167" w:type="pct"/>
            <w:tcBorders>
              <w:top w:val="nil"/>
              <w:left w:val="nil"/>
              <w:bottom w:val="nil"/>
              <w:right w:val="nil"/>
            </w:tcBorders>
          </w:tcPr>
          <w:p w14:paraId="6C01D3CE"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1D27679F"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0.07</w:t>
            </w:r>
            <w:r>
              <w:rPr>
                <w:rFonts w:ascii="Times New Roman" w:hAnsi="Times New Roman" w:cs="Times New Roman"/>
              </w:rPr>
              <w:t xml:space="preserve"> (0.09)</w:t>
            </w:r>
          </w:p>
        </w:tc>
        <w:tc>
          <w:tcPr>
            <w:tcW w:w="471" w:type="pct"/>
            <w:gridSpan w:val="2"/>
            <w:tcBorders>
              <w:top w:val="nil"/>
              <w:left w:val="nil"/>
              <w:bottom w:val="nil"/>
              <w:right w:val="nil"/>
            </w:tcBorders>
          </w:tcPr>
          <w:p w14:paraId="0BBEF3E4"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0.15</w:t>
            </w:r>
          </w:p>
        </w:tc>
      </w:tr>
      <w:tr w:rsidR="00514D14" w:rsidRPr="003D3598" w14:paraId="3C7E63FE" w14:textId="77777777" w:rsidTr="00FD613B">
        <w:trPr>
          <w:trHeight w:val="235"/>
        </w:trPr>
        <w:tc>
          <w:tcPr>
            <w:tcW w:w="1832" w:type="pct"/>
            <w:tcBorders>
              <w:top w:val="nil"/>
              <w:left w:val="nil"/>
              <w:bottom w:val="nil"/>
              <w:right w:val="nil"/>
            </w:tcBorders>
          </w:tcPr>
          <w:p w14:paraId="6E27E15C"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 xml:space="preserve">Lab </w:t>
            </w:r>
            <w:proofErr w:type="spellStart"/>
            <w:r w:rsidRPr="00B36420">
              <w:rPr>
                <w:rFonts w:ascii="Times New Roman" w:hAnsi="Times New Roman" w:cs="Times New Roman"/>
              </w:rPr>
              <w:t>Activit</w:t>
            </w:r>
            <w:r>
              <w:rPr>
                <w:rFonts w:ascii="Times New Roman" w:hAnsi="Times New Roman" w:cs="Times New Roman"/>
              </w:rPr>
              <w:t>ies</w:t>
            </w:r>
            <w:r w:rsidRPr="00B36420">
              <w:rPr>
                <w:rFonts w:ascii="Times New Roman" w:hAnsi="Times New Roman" w:cs="Times New Roman"/>
                <w:vertAlign w:val="superscript"/>
              </w:rPr>
              <w:t>a</w:t>
            </w:r>
            <w:proofErr w:type="spellEnd"/>
            <w:r w:rsidRPr="00B36420">
              <w:rPr>
                <w:rFonts w:ascii="Times New Roman" w:hAnsi="Times New Roman" w:cs="Times New Roman"/>
              </w:rPr>
              <w:t>,</w:t>
            </w:r>
            <m:oMath>
              <m:r>
                <m:rPr>
                  <m:sty m:val="p"/>
                </m:rPr>
                <w:rPr>
                  <w:rFonts w:ascii="Cambria Math" w:hAnsi="Cambria Math" w:cs="Times New Roman"/>
                </w:rPr>
                <m:t xml:space="preserve"> </m:t>
              </m:r>
              <m:r>
                <w:rPr>
                  <w:rFonts w:ascii="Cambria Math" w:hAnsi="Cambria Math" w:cs="Times New Roman"/>
                </w:rPr>
                <m:t>β</m:t>
              </m:r>
            </m:oMath>
            <w:r w:rsidRPr="00B36420">
              <w:rPr>
                <w:rFonts w:ascii="Times New Roman" w:hAnsi="Times New Roman" w:cs="Times New Roman"/>
                <w:vertAlign w:val="subscript"/>
              </w:rPr>
              <w:t>40</w:t>
            </w:r>
          </w:p>
        </w:tc>
        <w:tc>
          <w:tcPr>
            <w:tcW w:w="556" w:type="pct"/>
            <w:tcBorders>
              <w:top w:val="nil"/>
              <w:left w:val="nil"/>
              <w:bottom w:val="nil"/>
              <w:right w:val="nil"/>
            </w:tcBorders>
          </w:tcPr>
          <w:p w14:paraId="0AFD8342" w14:textId="77777777" w:rsidR="00514D14" w:rsidRPr="00B36420" w:rsidRDefault="00514D14" w:rsidP="00A73422">
            <w:pPr>
              <w:jc w:val="center"/>
              <w:rPr>
                <w:rFonts w:ascii="Times New Roman" w:hAnsi="Times New Roman" w:cs="Times New Roman"/>
              </w:rPr>
            </w:pPr>
            <w:r w:rsidRPr="007B2C24">
              <w:rPr>
                <w:rFonts w:ascii="Times New Roman" w:hAnsi="Times New Roman" w:cs="Times New Roman"/>
              </w:rPr>
              <w:t>0.</w:t>
            </w:r>
            <w:r>
              <w:rPr>
                <w:rFonts w:ascii="Times New Roman" w:hAnsi="Times New Roman" w:cs="Times New Roman"/>
              </w:rPr>
              <w:t>21 (0.13)</w:t>
            </w:r>
          </w:p>
        </w:tc>
        <w:tc>
          <w:tcPr>
            <w:tcW w:w="389" w:type="pct"/>
            <w:tcBorders>
              <w:top w:val="nil"/>
              <w:left w:val="nil"/>
              <w:bottom w:val="nil"/>
              <w:right w:val="nil"/>
            </w:tcBorders>
          </w:tcPr>
          <w:p w14:paraId="3AA11FC4"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0.27</w:t>
            </w:r>
          </w:p>
        </w:tc>
        <w:tc>
          <w:tcPr>
            <w:tcW w:w="167" w:type="pct"/>
            <w:tcBorders>
              <w:top w:val="nil"/>
              <w:left w:val="nil"/>
              <w:bottom w:val="nil"/>
              <w:right w:val="nil"/>
            </w:tcBorders>
          </w:tcPr>
          <w:p w14:paraId="524C8329"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5C509761"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w:t>
            </w:r>
            <w:r>
              <w:rPr>
                <w:rFonts w:ascii="Times New Roman" w:hAnsi="Times New Roman" w:cs="Times New Roman"/>
              </w:rPr>
              <w:t>08 (0.08)</w:t>
            </w:r>
          </w:p>
        </w:tc>
        <w:tc>
          <w:tcPr>
            <w:tcW w:w="390" w:type="pct"/>
            <w:gridSpan w:val="2"/>
            <w:tcBorders>
              <w:top w:val="nil"/>
              <w:left w:val="nil"/>
              <w:bottom w:val="nil"/>
              <w:right w:val="nil"/>
            </w:tcBorders>
          </w:tcPr>
          <w:p w14:paraId="1ACC5C20" w14:textId="77777777" w:rsidR="00514D14" w:rsidRPr="00B36420" w:rsidRDefault="00514D14" w:rsidP="00A73422">
            <w:pPr>
              <w:rPr>
                <w:rFonts w:ascii="Times New Roman" w:hAnsi="Times New Roman" w:cs="Times New Roman"/>
              </w:rPr>
            </w:pPr>
            <w:r>
              <w:rPr>
                <w:rFonts w:ascii="Times New Roman" w:hAnsi="Times New Roman" w:cs="Times New Roman"/>
              </w:rPr>
              <w:t>0.16</w:t>
            </w:r>
          </w:p>
        </w:tc>
        <w:tc>
          <w:tcPr>
            <w:tcW w:w="167" w:type="pct"/>
            <w:tcBorders>
              <w:top w:val="nil"/>
              <w:left w:val="nil"/>
              <w:bottom w:val="nil"/>
              <w:right w:val="nil"/>
            </w:tcBorders>
          </w:tcPr>
          <w:p w14:paraId="2CF70314"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1B3DECBC"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0.19</w:t>
            </w:r>
            <w:r>
              <w:rPr>
                <w:rFonts w:ascii="Times New Roman" w:hAnsi="Times New Roman" w:cs="Times New Roman"/>
                <w:vertAlign w:val="superscript"/>
              </w:rPr>
              <w:t xml:space="preserve"> </w:t>
            </w:r>
            <w:r>
              <w:rPr>
                <w:rFonts w:ascii="Times New Roman" w:hAnsi="Times New Roman" w:cs="Times New Roman"/>
              </w:rPr>
              <w:t>(0.10)</w:t>
            </w:r>
          </w:p>
        </w:tc>
        <w:tc>
          <w:tcPr>
            <w:tcW w:w="471" w:type="pct"/>
            <w:gridSpan w:val="2"/>
            <w:tcBorders>
              <w:top w:val="nil"/>
              <w:left w:val="nil"/>
              <w:bottom w:val="nil"/>
              <w:right w:val="nil"/>
            </w:tcBorders>
          </w:tcPr>
          <w:p w14:paraId="31AFB34D"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0.35</w:t>
            </w:r>
          </w:p>
        </w:tc>
      </w:tr>
      <w:tr w:rsidR="00514D14" w:rsidRPr="003D3598" w14:paraId="581FE697" w14:textId="77777777" w:rsidTr="00FD613B">
        <w:trPr>
          <w:trHeight w:val="235"/>
        </w:trPr>
        <w:tc>
          <w:tcPr>
            <w:tcW w:w="1832" w:type="pct"/>
            <w:tcBorders>
              <w:top w:val="nil"/>
              <w:left w:val="nil"/>
              <w:bottom w:val="nil"/>
              <w:right w:val="nil"/>
            </w:tcBorders>
          </w:tcPr>
          <w:p w14:paraId="57CEEB00"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Program Staff Led</w:t>
            </w:r>
            <w:r w:rsidRPr="00B36420">
              <w:rPr>
                <w:rFonts w:ascii="Times New Roman" w:hAnsi="Times New Roman" w:cs="Times New Roman"/>
                <w:vertAlign w:val="superscript"/>
              </w:rPr>
              <w:t>a</w:t>
            </w:r>
            <w:r w:rsidRPr="00B36420">
              <w:rPr>
                <w:rFonts w:ascii="Times New Roman" w:hAnsi="Times New Roman" w:cs="Times New Roman"/>
              </w:rPr>
              <w:t>,</w:t>
            </w:r>
            <m:oMath>
              <m:r>
                <m:rPr>
                  <m:sty m:val="p"/>
                </m:rPr>
                <w:rPr>
                  <w:rFonts w:ascii="Cambria Math" w:hAnsi="Cambria Math" w:cs="Times New Roman"/>
                </w:rPr>
                <m:t xml:space="preserve"> </m:t>
              </m:r>
              <m:r>
                <w:rPr>
                  <w:rFonts w:ascii="Cambria Math" w:hAnsi="Cambria Math" w:cs="Times New Roman"/>
                </w:rPr>
                <m:t>β</m:t>
              </m:r>
            </m:oMath>
            <w:r w:rsidRPr="00B36420">
              <w:rPr>
                <w:rFonts w:ascii="Times New Roman" w:hAnsi="Times New Roman" w:cs="Times New Roman"/>
                <w:vertAlign w:val="subscript"/>
              </w:rPr>
              <w:t>40</w:t>
            </w:r>
          </w:p>
        </w:tc>
        <w:tc>
          <w:tcPr>
            <w:tcW w:w="556" w:type="pct"/>
            <w:tcBorders>
              <w:top w:val="nil"/>
              <w:left w:val="nil"/>
              <w:bottom w:val="nil"/>
              <w:right w:val="nil"/>
            </w:tcBorders>
          </w:tcPr>
          <w:p w14:paraId="381A5623" w14:textId="77777777" w:rsidR="00514D14" w:rsidRPr="00B36420" w:rsidRDefault="00514D14" w:rsidP="00A73422">
            <w:pPr>
              <w:jc w:val="center"/>
              <w:rPr>
                <w:rFonts w:ascii="Times New Roman" w:hAnsi="Times New Roman" w:cs="Times New Roman"/>
              </w:rPr>
            </w:pPr>
            <w:r w:rsidRPr="007B2C24">
              <w:rPr>
                <w:rFonts w:ascii="Times New Roman" w:hAnsi="Times New Roman" w:cs="Times New Roman"/>
              </w:rPr>
              <w:t>-0.</w:t>
            </w:r>
            <w:r>
              <w:rPr>
                <w:rFonts w:ascii="Times New Roman" w:hAnsi="Times New Roman" w:cs="Times New Roman"/>
              </w:rPr>
              <w:t>05 (0.08)</w:t>
            </w:r>
          </w:p>
        </w:tc>
        <w:tc>
          <w:tcPr>
            <w:tcW w:w="389" w:type="pct"/>
            <w:tcBorders>
              <w:top w:val="nil"/>
              <w:left w:val="nil"/>
              <w:bottom w:val="nil"/>
              <w:right w:val="nil"/>
            </w:tcBorders>
          </w:tcPr>
          <w:p w14:paraId="65674F35"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0.09</w:t>
            </w:r>
          </w:p>
        </w:tc>
        <w:tc>
          <w:tcPr>
            <w:tcW w:w="167" w:type="pct"/>
            <w:tcBorders>
              <w:top w:val="nil"/>
              <w:left w:val="nil"/>
              <w:bottom w:val="nil"/>
              <w:right w:val="nil"/>
            </w:tcBorders>
          </w:tcPr>
          <w:p w14:paraId="4756A3EE" w14:textId="77777777" w:rsidR="00514D14" w:rsidRPr="00B36420" w:rsidRDefault="00514D14" w:rsidP="00A73422">
            <w:pPr>
              <w:jc w:val="center"/>
              <w:rPr>
                <w:rFonts w:ascii="Times New Roman" w:hAnsi="Times New Roman" w:cs="Times New Roman"/>
              </w:rPr>
            </w:pPr>
          </w:p>
        </w:tc>
        <w:tc>
          <w:tcPr>
            <w:tcW w:w="556" w:type="pct"/>
            <w:tcBorders>
              <w:top w:val="nil"/>
              <w:left w:val="nil"/>
              <w:bottom w:val="nil"/>
              <w:right w:val="nil"/>
            </w:tcBorders>
          </w:tcPr>
          <w:p w14:paraId="61DBCF14"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w:t>
            </w:r>
            <w:r>
              <w:rPr>
                <w:rFonts w:ascii="Times New Roman" w:hAnsi="Times New Roman" w:cs="Times New Roman"/>
              </w:rPr>
              <w:t>10 (0.05)</w:t>
            </w:r>
          </w:p>
        </w:tc>
        <w:tc>
          <w:tcPr>
            <w:tcW w:w="390" w:type="pct"/>
            <w:gridSpan w:val="2"/>
            <w:tcBorders>
              <w:top w:val="nil"/>
              <w:left w:val="nil"/>
              <w:bottom w:val="nil"/>
              <w:right w:val="nil"/>
            </w:tcBorders>
          </w:tcPr>
          <w:p w14:paraId="48A42881"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0.28</w:t>
            </w:r>
          </w:p>
        </w:tc>
        <w:tc>
          <w:tcPr>
            <w:tcW w:w="167" w:type="pct"/>
            <w:tcBorders>
              <w:top w:val="nil"/>
              <w:left w:val="nil"/>
              <w:bottom w:val="nil"/>
              <w:right w:val="nil"/>
            </w:tcBorders>
          </w:tcPr>
          <w:p w14:paraId="5CB2A877" w14:textId="77777777" w:rsidR="00514D14" w:rsidRPr="00B36420" w:rsidRDefault="00514D14" w:rsidP="00A73422">
            <w:pPr>
              <w:jc w:val="center"/>
              <w:rPr>
                <w:rFonts w:ascii="Times New Roman" w:hAnsi="Times New Roman" w:cs="Times New Roman"/>
              </w:rPr>
            </w:pPr>
          </w:p>
        </w:tc>
        <w:tc>
          <w:tcPr>
            <w:tcW w:w="472" w:type="pct"/>
            <w:tcBorders>
              <w:top w:val="nil"/>
              <w:left w:val="nil"/>
              <w:bottom w:val="nil"/>
              <w:right w:val="nil"/>
            </w:tcBorders>
          </w:tcPr>
          <w:p w14:paraId="4CF5C1A2"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0.07</w:t>
            </w:r>
            <w:r>
              <w:rPr>
                <w:rFonts w:ascii="Times New Roman" w:hAnsi="Times New Roman" w:cs="Times New Roman"/>
              </w:rPr>
              <w:t xml:space="preserve"> (0.06)</w:t>
            </w:r>
          </w:p>
        </w:tc>
        <w:tc>
          <w:tcPr>
            <w:tcW w:w="471" w:type="pct"/>
            <w:gridSpan w:val="2"/>
            <w:tcBorders>
              <w:top w:val="nil"/>
              <w:left w:val="nil"/>
              <w:bottom w:val="nil"/>
              <w:right w:val="nil"/>
            </w:tcBorders>
          </w:tcPr>
          <w:p w14:paraId="0B124CFB"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0.17</w:t>
            </w:r>
          </w:p>
        </w:tc>
      </w:tr>
      <w:tr w:rsidR="00514D14" w:rsidRPr="003D3598" w14:paraId="4038FE31" w14:textId="77777777" w:rsidTr="00FD613B">
        <w:trPr>
          <w:gridAfter w:val="1"/>
          <w:wAfter w:w="351" w:type="pct"/>
          <w:trHeight w:val="235"/>
        </w:trPr>
        <w:tc>
          <w:tcPr>
            <w:tcW w:w="1832" w:type="pct"/>
            <w:tcBorders>
              <w:top w:val="nil"/>
              <w:left w:val="nil"/>
              <w:bottom w:val="single" w:sz="12" w:space="0" w:color="000000"/>
              <w:right w:val="nil"/>
            </w:tcBorders>
          </w:tcPr>
          <w:p w14:paraId="5ADE0B8A" w14:textId="77777777" w:rsidR="00514D14" w:rsidRPr="00B36420" w:rsidRDefault="00514D14" w:rsidP="00A73422">
            <w:pPr>
              <w:rPr>
                <w:rFonts w:ascii="Times New Roman" w:hAnsi="Times New Roman" w:cs="Times New Roman"/>
              </w:rPr>
            </w:pPr>
          </w:p>
        </w:tc>
        <w:tc>
          <w:tcPr>
            <w:tcW w:w="944" w:type="pct"/>
            <w:gridSpan w:val="2"/>
            <w:tcBorders>
              <w:top w:val="nil"/>
              <w:left w:val="nil"/>
              <w:bottom w:val="single" w:sz="12" w:space="0" w:color="000000"/>
              <w:right w:val="nil"/>
            </w:tcBorders>
          </w:tcPr>
          <w:p w14:paraId="136DA16D" w14:textId="77777777" w:rsidR="00514D14" w:rsidRPr="00B36420" w:rsidRDefault="00514D14" w:rsidP="00A73422">
            <w:pPr>
              <w:jc w:val="center"/>
              <w:rPr>
                <w:rFonts w:ascii="Times New Roman" w:hAnsi="Times New Roman" w:cs="Times New Roman"/>
              </w:rPr>
            </w:pPr>
          </w:p>
        </w:tc>
        <w:tc>
          <w:tcPr>
            <w:tcW w:w="915" w:type="pct"/>
            <w:gridSpan w:val="3"/>
            <w:tcBorders>
              <w:top w:val="nil"/>
              <w:left w:val="nil"/>
              <w:bottom w:val="single" w:sz="12" w:space="0" w:color="000000"/>
              <w:right w:val="nil"/>
            </w:tcBorders>
          </w:tcPr>
          <w:p w14:paraId="6FD68279" w14:textId="77777777" w:rsidR="00514D14" w:rsidRPr="00B36420" w:rsidRDefault="00514D14" w:rsidP="00A73422">
            <w:pPr>
              <w:jc w:val="center"/>
              <w:rPr>
                <w:rFonts w:ascii="Times New Roman" w:hAnsi="Times New Roman" w:cs="Times New Roman"/>
              </w:rPr>
            </w:pPr>
          </w:p>
        </w:tc>
        <w:tc>
          <w:tcPr>
            <w:tcW w:w="958" w:type="pct"/>
            <w:gridSpan w:val="4"/>
            <w:tcBorders>
              <w:top w:val="nil"/>
              <w:left w:val="nil"/>
              <w:bottom w:val="single" w:sz="12" w:space="0" w:color="000000"/>
              <w:right w:val="nil"/>
            </w:tcBorders>
          </w:tcPr>
          <w:p w14:paraId="13585EC9" w14:textId="77777777" w:rsidR="00514D14" w:rsidRPr="00B36420" w:rsidRDefault="00514D14" w:rsidP="00A73422">
            <w:pPr>
              <w:jc w:val="center"/>
              <w:rPr>
                <w:rFonts w:ascii="Times New Roman" w:hAnsi="Times New Roman" w:cs="Times New Roman"/>
              </w:rPr>
            </w:pPr>
          </w:p>
        </w:tc>
      </w:tr>
      <w:tr w:rsidR="00514D14" w:rsidRPr="003D3598" w14:paraId="127316FC" w14:textId="77777777" w:rsidTr="00FD613B">
        <w:tc>
          <w:tcPr>
            <w:tcW w:w="1832" w:type="pct"/>
            <w:tcBorders>
              <w:top w:val="single" w:sz="12" w:space="0" w:color="000000"/>
              <w:left w:val="nil"/>
              <w:bottom w:val="single" w:sz="12" w:space="0" w:color="auto"/>
              <w:right w:val="nil"/>
            </w:tcBorders>
          </w:tcPr>
          <w:p w14:paraId="657C67FA" w14:textId="77777777" w:rsidR="00514D14" w:rsidRPr="00B36420" w:rsidRDefault="00514D14" w:rsidP="00A73422">
            <w:pPr>
              <w:rPr>
                <w:rFonts w:ascii="Times New Roman" w:hAnsi="Times New Roman" w:cs="Times New Roman"/>
                <w:i/>
              </w:rPr>
            </w:pPr>
            <w:r w:rsidRPr="00B36420">
              <w:rPr>
                <w:rFonts w:ascii="Times New Roman" w:hAnsi="Times New Roman" w:cs="Times New Roman"/>
                <w:i/>
              </w:rPr>
              <w:t>Random Effects</w:t>
            </w:r>
          </w:p>
        </w:tc>
        <w:tc>
          <w:tcPr>
            <w:tcW w:w="944" w:type="pct"/>
            <w:gridSpan w:val="2"/>
            <w:tcBorders>
              <w:top w:val="single" w:sz="12" w:space="0" w:color="000000"/>
              <w:left w:val="nil"/>
              <w:bottom w:val="single" w:sz="12" w:space="0" w:color="auto"/>
              <w:right w:val="nil"/>
            </w:tcBorders>
          </w:tcPr>
          <w:p w14:paraId="70ADDB47" w14:textId="77777777" w:rsidR="00514D14" w:rsidRPr="00B36420" w:rsidRDefault="00514D14" w:rsidP="00A73422">
            <w:pPr>
              <w:jc w:val="center"/>
              <w:rPr>
                <w:rFonts w:ascii="Times New Roman" w:hAnsi="Times New Roman" w:cs="Times New Roman"/>
              </w:rPr>
            </w:pPr>
            <m:oMath>
              <m:r>
                <w:rPr>
                  <w:rFonts w:ascii="Cambria Math" w:hAnsi="Cambria Math" w:cs="Times New Roman"/>
                </w:rPr>
                <m:t>σ</m:t>
              </m:r>
            </m:oMath>
            <w:r w:rsidRPr="00B36420">
              <w:rPr>
                <w:rFonts w:ascii="Times New Roman" w:hAnsi="Times New Roman" w:cs="Times New Roman"/>
                <w:vertAlign w:val="superscript"/>
              </w:rPr>
              <w:t>2</w:t>
            </w:r>
          </w:p>
        </w:tc>
        <w:tc>
          <w:tcPr>
            <w:tcW w:w="167" w:type="pct"/>
            <w:tcBorders>
              <w:top w:val="single" w:sz="12" w:space="0" w:color="000000"/>
              <w:left w:val="nil"/>
              <w:bottom w:val="single" w:sz="12" w:space="0" w:color="auto"/>
              <w:right w:val="nil"/>
            </w:tcBorders>
          </w:tcPr>
          <w:p w14:paraId="58C21D7D" w14:textId="77777777" w:rsidR="00514D14" w:rsidRPr="00B36420" w:rsidRDefault="00514D14" w:rsidP="00A73422">
            <w:pPr>
              <w:jc w:val="center"/>
              <w:rPr>
                <w:rFonts w:ascii="Times New Roman" w:eastAsia="Calibri" w:hAnsi="Times New Roman" w:cs="Times New Roman"/>
                <w:i/>
              </w:rPr>
            </w:pPr>
          </w:p>
        </w:tc>
        <w:tc>
          <w:tcPr>
            <w:tcW w:w="946" w:type="pct"/>
            <w:gridSpan w:val="3"/>
            <w:tcBorders>
              <w:top w:val="single" w:sz="12" w:space="0" w:color="000000"/>
              <w:left w:val="nil"/>
              <w:bottom w:val="single" w:sz="12" w:space="0" w:color="auto"/>
              <w:right w:val="nil"/>
            </w:tcBorders>
          </w:tcPr>
          <w:p w14:paraId="29F2376D" w14:textId="77777777" w:rsidR="00514D14" w:rsidRPr="00B36420" w:rsidRDefault="00514D14" w:rsidP="00A73422">
            <w:pPr>
              <w:jc w:val="center"/>
              <w:rPr>
                <w:rFonts w:ascii="Times New Roman" w:eastAsia="Calibri" w:hAnsi="Times New Roman" w:cs="Times New Roman"/>
                <w:i/>
              </w:rPr>
            </w:pPr>
            <m:oMath>
              <m:r>
                <w:rPr>
                  <w:rFonts w:ascii="Cambria Math" w:hAnsi="Cambria Math" w:cs="Times New Roman"/>
                </w:rPr>
                <m:t>σ</m:t>
              </m:r>
            </m:oMath>
            <w:r w:rsidRPr="00B36420">
              <w:rPr>
                <w:rFonts w:ascii="Times New Roman" w:hAnsi="Times New Roman" w:cs="Times New Roman"/>
                <w:vertAlign w:val="superscript"/>
              </w:rPr>
              <w:t>2</w:t>
            </w:r>
          </w:p>
        </w:tc>
        <w:tc>
          <w:tcPr>
            <w:tcW w:w="167" w:type="pct"/>
            <w:tcBorders>
              <w:top w:val="single" w:sz="12" w:space="0" w:color="000000"/>
              <w:left w:val="nil"/>
              <w:bottom w:val="single" w:sz="12" w:space="0" w:color="auto"/>
              <w:right w:val="nil"/>
            </w:tcBorders>
          </w:tcPr>
          <w:p w14:paraId="4C452378" w14:textId="77777777" w:rsidR="00514D14" w:rsidRPr="00B36420" w:rsidRDefault="00514D14" w:rsidP="00A73422">
            <w:pPr>
              <w:jc w:val="center"/>
              <w:rPr>
                <w:rFonts w:ascii="Times New Roman" w:eastAsia="Times New Roman" w:hAnsi="Times New Roman" w:cs="Times New Roman"/>
              </w:rPr>
            </w:pPr>
          </w:p>
        </w:tc>
        <w:tc>
          <w:tcPr>
            <w:tcW w:w="943" w:type="pct"/>
            <w:gridSpan w:val="3"/>
            <w:tcBorders>
              <w:top w:val="single" w:sz="12" w:space="0" w:color="000000"/>
              <w:left w:val="nil"/>
              <w:bottom w:val="single" w:sz="12" w:space="0" w:color="auto"/>
              <w:right w:val="nil"/>
            </w:tcBorders>
          </w:tcPr>
          <w:p w14:paraId="136E8864" w14:textId="77777777" w:rsidR="00514D14" w:rsidRPr="00B36420" w:rsidRDefault="00514D14" w:rsidP="00A73422">
            <w:pPr>
              <w:jc w:val="center"/>
              <w:rPr>
                <w:rFonts w:ascii="Times New Roman" w:eastAsia="Times New Roman" w:hAnsi="Times New Roman" w:cs="Times New Roman"/>
              </w:rPr>
            </w:pPr>
            <m:oMath>
              <m:r>
                <w:rPr>
                  <w:rFonts w:ascii="Cambria Math" w:hAnsi="Cambria Math" w:cs="Times New Roman"/>
                </w:rPr>
                <m:t>σ</m:t>
              </m:r>
            </m:oMath>
            <w:r w:rsidRPr="00B36420">
              <w:rPr>
                <w:rFonts w:ascii="Times New Roman" w:hAnsi="Times New Roman" w:cs="Times New Roman"/>
                <w:vertAlign w:val="superscript"/>
              </w:rPr>
              <w:t>2</w:t>
            </w:r>
          </w:p>
        </w:tc>
      </w:tr>
      <w:tr w:rsidR="00514D14" w:rsidRPr="003D3598" w14:paraId="0D0D4527" w14:textId="77777777" w:rsidTr="00FD613B">
        <w:tc>
          <w:tcPr>
            <w:tcW w:w="1832" w:type="pct"/>
            <w:tcBorders>
              <w:top w:val="single" w:sz="12" w:space="0" w:color="auto"/>
              <w:left w:val="nil"/>
              <w:bottom w:val="nil"/>
              <w:right w:val="nil"/>
            </w:tcBorders>
          </w:tcPr>
          <w:p w14:paraId="64456CEE"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Beep, r</w:t>
            </w:r>
            <w:r w:rsidRPr="00B36420">
              <w:rPr>
                <w:rFonts w:ascii="Times New Roman" w:hAnsi="Times New Roman" w:cs="Times New Roman"/>
                <w:vertAlign w:val="subscript"/>
              </w:rPr>
              <w:t>0</w:t>
            </w:r>
          </w:p>
        </w:tc>
        <w:tc>
          <w:tcPr>
            <w:tcW w:w="944" w:type="pct"/>
            <w:gridSpan w:val="2"/>
            <w:tcBorders>
              <w:top w:val="single" w:sz="12" w:space="0" w:color="auto"/>
              <w:left w:val="nil"/>
              <w:bottom w:val="nil"/>
              <w:right w:val="nil"/>
            </w:tcBorders>
          </w:tcPr>
          <w:p w14:paraId="5670C6D1" w14:textId="77777777" w:rsidR="00514D14" w:rsidRPr="00B36420" w:rsidRDefault="00514D14" w:rsidP="00A73422">
            <w:pPr>
              <w:jc w:val="center"/>
              <w:rPr>
                <w:rFonts w:ascii="Times New Roman" w:hAnsi="Times New Roman" w:cs="Times New Roman"/>
              </w:rPr>
            </w:pPr>
            <w:r w:rsidRPr="00520EE5">
              <w:rPr>
                <w:rFonts w:ascii="Times New Roman" w:hAnsi="Times New Roman" w:cs="Times New Roman"/>
              </w:rPr>
              <w:t>0.0</w:t>
            </w:r>
            <w:r>
              <w:rPr>
                <w:rFonts w:ascii="Times New Roman" w:hAnsi="Times New Roman" w:cs="Times New Roman"/>
              </w:rPr>
              <w:t>5</w:t>
            </w:r>
            <w:r w:rsidRPr="00520EE5">
              <w:rPr>
                <w:rFonts w:ascii="Times New Roman" w:hAnsi="Times New Roman" w:cs="Times New Roman"/>
                <w:vertAlign w:val="superscript"/>
              </w:rPr>
              <w:t>***</w:t>
            </w:r>
          </w:p>
        </w:tc>
        <w:tc>
          <w:tcPr>
            <w:tcW w:w="167" w:type="pct"/>
            <w:tcBorders>
              <w:top w:val="single" w:sz="12" w:space="0" w:color="auto"/>
              <w:left w:val="nil"/>
              <w:bottom w:val="nil"/>
              <w:right w:val="nil"/>
            </w:tcBorders>
          </w:tcPr>
          <w:p w14:paraId="3F883065" w14:textId="77777777" w:rsidR="00514D14" w:rsidRPr="00B36420" w:rsidRDefault="00514D14" w:rsidP="00A73422">
            <w:pPr>
              <w:jc w:val="center"/>
              <w:rPr>
                <w:rFonts w:ascii="Times New Roman" w:hAnsi="Times New Roman" w:cs="Times New Roman"/>
              </w:rPr>
            </w:pPr>
          </w:p>
        </w:tc>
        <w:tc>
          <w:tcPr>
            <w:tcW w:w="946" w:type="pct"/>
            <w:gridSpan w:val="3"/>
            <w:tcBorders>
              <w:top w:val="single" w:sz="12" w:space="0" w:color="auto"/>
              <w:left w:val="nil"/>
              <w:bottom w:val="nil"/>
              <w:right w:val="nil"/>
            </w:tcBorders>
          </w:tcPr>
          <w:p w14:paraId="66B55ED1"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0.01</w:t>
            </w:r>
            <w:r w:rsidRPr="00B36420">
              <w:rPr>
                <w:rFonts w:ascii="Times New Roman" w:hAnsi="Times New Roman" w:cs="Times New Roman"/>
                <w:vertAlign w:val="superscript"/>
              </w:rPr>
              <w:t>*</w:t>
            </w:r>
            <w:r>
              <w:rPr>
                <w:rFonts w:ascii="Times New Roman" w:hAnsi="Times New Roman" w:cs="Times New Roman"/>
                <w:vertAlign w:val="superscript"/>
              </w:rPr>
              <w:t>*</w:t>
            </w:r>
          </w:p>
        </w:tc>
        <w:tc>
          <w:tcPr>
            <w:tcW w:w="167" w:type="pct"/>
            <w:tcBorders>
              <w:top w:val="single" w:sz="12" w:space="0" w:color="auto"/>
              <w:left w:val="nil"/>
              <w:bottom w:val="nil"/>
              <w:right w:val="nil"/>
            </w:tcBorders>
          </w:tcPr>
          <w:p w14:paraId="570366BE" w14:textId="77777777" w:rsidR="00514D14" w:rsidRPr="00B36420" w:rsidRDefault="00514D14" w:rsidP="00A73422">
            <w:pPr>
              <w:jc w:val="center"/>
              <w:rPr>
                <w:rFonts w:ascii="Times New Roman" w:hAnsi="Times New Roman" w:cs="Times New Roman"/>
              </w:rPr>
            </w:pPr>
          </w:p>
        </w:tc>
        <w:tc>
          <w:tcPr>
            <w:tcW w:w="943" w:type="pct"/>
            <w:gridSpan w:val="3"/>
            <w:tcBorders>
              <w:top w:val="single" w:sz="12" w:space="0" w:color="auto"/>
              <w:left w:val="nil"/>
              <w:bottom w:val="nil"/>
              <w:right w:val="nil"/>
            </w:tcBorders>
          </w:tcPr>
          <w:p w14:paraId="388979AA"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0.01</w:t>
            </w:r>
          </w:p>
        </w:tc>
      </w:tr>
      <w:tr w:rsidR="00514D14" w:rsidRPr="003D3598" w14:paraId="561D467E" w14:textId="77777777" w:rsidTr="00FD613B">
        <w:tc>
          <w:tcPr>
            <w:tcW w:w="1832" w:type="pct"/>
            <w:tcBorders>
              <w:top w:val="nil"/>
              <w:left w:val="nil"/>
              <w:bottom w:val="nil"/>
              <w:right w:val="nil"/>
            </w:tcBorders>
          </w:tcPr>
          <w:p w14:paraId="5122AD34"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Person, r</w:t>
            </w:r>
            <w:r w:rsidRPr="00B36420">
              <w:rPr>
                <w:rFonts w:ascii="Times New Roman" w:hAnsi="Times New Roman" w:cs="Times New Roman"/>
                <w:vertAlign w:val="subscript"/>
              </w:rPr>
              <w:t>1</w:t>
            </w:r>
          </w:p>
        </w:tc>
        <w:tc>
          <w:tcPr>
            <w:tcW w:w="944" w:type="pct"/>
            <w:gridSpan w:val="2"/>
            <w:tcBorders>
              <w:top w:val="nil"/>
              <w:left w:val="nil"/>
              <w:bottom w:val="nil"/>
              <w:right w:val="nil"/>
            </w:tcBorders>
          </w:tcPr>
          <w:p w14:paraId="3A5B7B08" w14:textId="77777777" w:rsidR="00514D14" w:rsidRPr="00B36420" w:rsidRDefault="00514D14" w:rsidP="00A73422">
            <w:pPr>
              <w:jc w:val="center"/>
              <w:rPr>
                <w:rFonts w:ascii="Times New Roman" w:hAnsi="Times New Roman" w:cs="Times New Roman"/>
              </w:rPr>
            </w:pPr>
            <w:r w:rsidRPr="00520EE5">
              <w:rPr>
                <w:rFonts w:ascii="Times New Roman" w:hAnsi="Times New Roman" w:cs="Times New Roman"/>
              </w:rPr>
              <w:t>0.47</w:t>
            </w:r>
            <w:r w:rsidRPr="00520EE5">
              <w:rPr>
                <w:rFonts w:ascii="Times New Roman" w:hAnsi="Times New Roman" w:cs="Times New Roman"/>
                <w:vertAlign w:val="superscript"/>
              </w:rPr>
              <w:t>***</w:t>
            </w:r>
          </w:p>
        </w:tc>
        <w:tc>
          <w:tcPr>
            <w:tcW w:w="167" w:type="pct"/>
            <w:tcBorders>
              <w:top w:val="nil"/>
              <w:left w:val="nil"/>
              <w:bottom w:val="nil"/>
              <w:right w:val="nil"/>
            </w:tcBorders>
          </w:tcPr>
          <w:p w14:paraId="628BC542" w14:textId="77777777" w:rsidR="00514D14" w:rsidRPr="00B36420" w:rsidRDefault="00514D14" w:rsidP="00A73422">
            <w:pPr>
              <w:jc w:val="center"/>
              <w:rPr>
                <w:rFonts w:ascii="Times New Roman" w:hAnsi="Times New Roman" w:cs="Times New Roman"/>
              </w:rPr>
            </w:pPr>
          </w:p>
        </w:tc>
        <w:tc>
          <w:tcPr>
            <w:tcW w:w="946" w:type="pct"/>
            <w:gridSpan w:val="3"/>
            <w:tcBorders>
              <w:top w:val="nil"/>
              <w:left w:val="nil"/>
              <w:bottom w:val="nil"/>
              <w:right w:val="nil"/>
            </w:tcBorders>
          </w:tcPr>
          <w:p w14:paraId="271B6FA3"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0.48</w:t>
            </w:r>
            <w:r w:rsidRPr="00B36420">
              <w:rPr>
                <w:rFonts w:ascii="Times New Roman" w:hAnsi="Times New Roman" w:cs="Times New Roman"/>
                <w:vertAlign w:val="superscript"/>
              </w:rPr>
              <w:t>***</w:t>
            </w:r>
          </w:p>
        </w:tc>
        <w:tc>
          <w:tcPr>
            <w:tcW w:w="167" w:type="pct"/>
            <w:tcBorders>
              <w:top w:val="nil"/>
              <w:left w:val="nil"/>
              <w:bottom w:val="nil"/>
              <w:right w:val="nil"/>
            </w:tcBorders>
          </w:tcPr>
          <w:p w14:paraId="629680F3" w14:textId="77777777" w:rsidR="00514D14" w:rsidRPr="00B36420" w:rsidRDefault="00514D14" w:rsidP="00A73422">
            <w:pPr>
              <w:jc w:val="center"/>
              <w:rPr>
                <w:rFonts w:ascii="Times New Roman" w:hAnsi="Times New Roman" w:cs="Times New Roman"/>
              </w:rPr>
            </w:pPr>
          </w:p>
        </w:tc>
        <w:tc>
          <w:tcPr>
            <w:tcW w:w="943" w:type="pct"/>
            <w:gridSpan w:val="3"/>
            <w:tcBorders>
              <w:top w:val="nil"/>
              <w:left w:val="nil"/>
              <w:bottom w:val="nil"/>
              <w:right w:val="nil"/>
            </w:tcBorders>
          </w:tcPr>
          <w:p w14:paraId="42DDE815"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0.40</w:t>
            </w:r>
            <w:r w:rsidRPr="00B36420">
              <w:rPr>
                <w:rFonts w:ascii="Times New Roman" w:hAnsi="Times New Roman" w:cs="Times New Roman"/>
                <w:vertAlign w:val="superscript"/>
              </w:rPr>
              <w:t>***</w:t>
            </w:r>
          </w:p>
        </w:tc>
      </w:tr>
      <w:tr w:rsidR="00514D14" w:rsidRPr="003D3598" w14:paraId="17994A41" w14:textId="77777777" w:rsidTr="00FD613B">
        <w:trPr>
          <w:trHeight w:val="252"/>
        </w:trPr>
        <w:tc>
          <w:tcPr>
            <w:tcW w:w="1832" w:type="pct"/>
            <w:tcBorders>
              <w:top w:val="nil"/>
              <w:left w:val="nil"/>
              <w:bottom w:val="nil"/>
              <w:right w:val="nil"/>
            </w:tcBorders>
          </w:tcPr>
          <w:p w14:paraId="3C2639F3"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Program, r</w:t>
            </w:r>
            <w:r w:rsidRPr="00B36420">
              <w:rPr>
                <w:rFonts w:ascii="Times New Roman" w:hAnsi="Times New Roman" w:cs="Times New Roman"/>
                <w:vertAlign w:val="subscript"/>
              </w:rPr>
              <w:t>2</w:t>
            </w:r>
          </w:p>
        </w:tc>
        <w:tc>
          <w:tcPr>
            <w:tcW w:w="944" w:type="pct"/>
            <w:gridSpan w:val="2"/>
            <w:tcBorders>
              <w:top w:val="nil"/>
              <w:left w:val="nil"/>
              <w:bottom w:val="nil"/>
              <w:right w:val="nil"/>
            </w:tcBorders>
          </w:tcPr>
          <w:p w14:paraId="2189E184" w14:textId="77777777" w:rsidR="00514D14" w:rsidRPr="00B36420" w:rsidRDefault="00514D14" w:rsidP="00A73422">
            <w:pPr>
              <w:jc w:val="center"/>
              <w:rPr>
                <w:rFonts w:ascii="Times New Roman" w:hAnsi="Times New Roman" w:cs="Times New Roman"/>
              </w:rPr>
            </w:pPr>
            <w:r w:rsidRPr="00520EE5">
              <w:rPr>
                <w:rFonts w:ascii="Times New Roman" w:hAnsi="Times New Roman" w:cs="Times New Roman"/>
              </w:rPr>
              <w:t>0.03</w:t>
            </w:r>
          </w:p>
        </w:tc>
        <w:tc>
          <w:tcPr>
            <w:tcW w:w="167" w:type="pct"/>
            <w:tcBorders>
              <w:top w:val="nil"/>
              <w:left w:val="nil"/>
              <w:bottom w:val="nil"/>
              <w:right w:val="nil"/>
            </w:tcBorders>
          </w:tcPr>
          <w:p w14:paraId="419D4E4F" w14:textId="77777777" w:rsidR="00514D14" w:rsidRPr="00B36420" w:rsidRDefault="00514D14" w:rsidP="00A73422">
            <w:pPr>
              <w:jc w:val="center"/>
              <w:rPr>
                <w:rFonts w:ascii="Times New Roman" w:hAnsi="Times New Roman" w:cs="Times New Roman"/>
              </w:rPr>
            </w:pPr>
          </w:p>
        </w:tc>
        <w:tc>
          <w:tcPr>
            <w:tcW w:w="946" w:type="pct"/>
            <w:gridSpan w:val="3"/>
            <w:tcBorders>
              <w:top w:val="nil"/>
              <w:left w:val="nil"/>
              <w:bottom w:val="nil"/>
              <w:right w:val="nil"/>
            </w:tcBorders>
          </w:tcPr>
          <w:p w14:paraId="4AD1FFDF"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0.01</w:t>
            </w:r>
          </w:p>
        </w:tc>
        <w:tc>
          <w:tcPr>
            <w:tcW w:w="167" w:type="pct"/>
            <w:tcBorders>
              <w:top w:val="nil"/>
              <w:left w:val="nil"/>
              <w:bottom w:val="nil"/>
              <w:right w:val="nil"/>
            </w:tcBorders>
          </w:tcPr>
          <w:p w14:paraId="7551D950" w14:textId="77777777" w:rsidR="00514D14" w:rsidRPr="00B36420" w:rsidRDefault="00514D14" w:rsidP="00A73422">
            <w:pPr>
              <w:jc w:val="center"/>
              <w:rPr>
                <w:rFonts w:ascii="Times New Roman" w:hAnsi="Times New Roman" w:cs="Times New Roman"/>
              </w:rPr>
            </w:pPr>
          </w:p>
        </w:tc>
        <w:tc>
          <w:tcPr>
            <w:tcW w:w="943" w:type="pct"/>
            <w:gridSpan w:val="3"/>
            <w:tcBorders>
              <w:top w:val="nil"/>
              <w:left w:val="nil"/>
              <w:bottom w:val="nil"/>
              <w:right w:val="nil"/>
            </w:tcBorders>
          </w:tcPr>
          <w:p w14:paraId="600AC0F4" w14:textId="77777777" w:rsidR="00514D14" w:rsidRPr="00B36420" w:rsidRDefault="00514D14" w:rsidP="00A73422">
            <w:pPr>
              <w:jc w:val="center"/>
              <w:rPr>
                <w:rFonts w:ascii="Times New Roman" w:hAnsi="Times New Roman" w:cs="Times New Roman"/>
              </w:rPr>
            </w:pPr>
            <w:r>
              <w:rPr>
                <w:rFonts w:ascii="Times New Roman" w:hAnsi="Times New Roman" w:cs="Times New Roman"/>
              </w:rPr>
              <w:t xml:space="preserve">&lt; </w:t>
            </w:r>
            <w:r w:rsidRPr="00B36420">
              <w:rPr>
                <w:rFonts w:ascii="Times New Roman" w:hAnsi="Times New Roman" w:cs="Times New Roman"/>
              </w:rPr>
              <w:t>0.00</w:t>
            </w:r>
            <w:r>
              <w:rPr>
                <w:rFonts w:ascii="Times New Roman" w:hAnsi="Times New Roman" w:cs="Times New Roman"/>
              </w:rPr>
              <w:t>1</w:t>
            </w:r>
          </w:p>
        </w:tc>
      </w:tr>
      <w:tr w:rsidR="00514D14" w:rsidRPr="003D3598" w14:paraId="56B3DD42" w14:textId="77777777" w:rsidTr="00FD613B">
        <w:trPr>
          <w:trHeight w:val="252"/>
        </w:trPr>
        <w:tc>
          <w:tcPr>
            <w:tcW w:w="1832" w:type="pct"/>
            <w:tcBorders>
              <w:top w:val="nil"/>
              <w:left w:val="nil"/>
              <w:bottom w:val="single" w:sz="12" w:space="0" w:color="auto"/>
              <w:right w:val="nil"/>
            </w:tcBorders>
          </w:tcPr>
          <w:p w14:paraId="6EC24B85" w14:textId="77777777" w:rsidR="00514D14" w:rsidRPr="00B36420" w:rsidRDefault="00514D14" w:rsidP="00A73422">
            <w:pPr>
              <w:rPr>
                <w:rFonts w:ascii="Times New Roman" w:hAnsi="Times New Roman" w:cs="Times New Roman"/>
              </w:rPr>
            </w:pPr>
            <w:r w:rsidRPr="00B36420">
              <w:rPr>
                <w:rFonts w:ascii="Times New Roman" w:hAnsi="Times New Roman" w:cs="Times New Roman"/>
              </w:rPr>
              <w:t>Level-1 error, e</w:t>
            </w:r>
          </w:p>
        </w:tc>
        <w:tc>
          <w:tcPr>
            <w:tcW w:w="944" w:type="pct"/>
            <w:gridSpan w:val="2"/>
            <w:tcBorders>
              <w:top w:val="nil"/>
              <w:left w:val="nil"/>
              <w:bottom w:val="single" w:sz="12" w:space="0" w:color="auto"/>
              <w:right w:val="nil"/>
            </w:tcBorders>
          </w:tcPr>
          <w:p w14:paraId="2ED81817" w14:textId="77777777" w:rsidR="00514D14" w:rsidRPr="00B36420" w:rsidRDefault="00514D14" w:rsidP="00A73422">
            <w:pPr>
              <w:jc w:val="center"/>
              <w:rPr>
                <w:rFonts w:ascii="Times New Roman" w:hAnsi="Times New Roman" w:cs="Times New Roman"/>
              </w:rPr>
            </w:pPr>
            <w:r w:rsidRPr="00520EE5">
              <w:rPr>
                <w:rFonts w:ascii="Times New Roman" w:hAnsi="Times New Roman" w:cs="Times New Roman"/>
              </w:rPr>
              <w:t>0.6</w:t>
            </w:r>
            <w:r>
              <w:rPr>
                <w:rFonts w:ascii="Times New Roman" w:hAnsi="Times New Roman" w:cs="Times New Roman"/>
              </w:rPr>
              <w:t>5</w:t>
            </w:r>
          </w:p>
        </w:tc>
        <w:tc>
          <w:tcPr>
            <w:tcW w:w="167" w:type="pct"/>
            <w:tcBorders>
              <w:top w:val="nil"/>
              <w:left w:val="nil"/>
              <w:bottom w:val="single" w:sz="12" w:space="0" w:color="auto"/>
              <w:right w:val="nil"/>
            </w:tcBorders>
          </w:tcPr>
          <w:p w14:paraId="3320FE0D" w14:textId="77777777" w:rsidR="00514D14" w:rsidRPr="00B36420" w:rsidRDefault="00514D14" w:rsidP="00A73422">
            <w:pPr>
              <w:jc w:val="center"/>
              <w:rPr>
                <w:rFonts w:ascii="Times New Roman" w:hAnsi="Times New Roman" w:cs="Times New Roman"/>
              </w:rPr>
            </w:pPr>
          </w:p>
        </w:tc>
        <w:tc>
          <w:tcPr>
            <w:tcW w:w="946" w:type="pct"/>
            <w:gridSpan w:val="3"/>
            <w:tcBorders>
              <w:top w:val="nil"/>
              <w:left w:val="nil"/>
              <w:bottom w:val="single" w:sz="12" w:space="0" w:color="auto"/>
              <w:right w:val="nil"/>
            </w:tcBorders>
          </w:tcPr>
          <w:p w14:paraId="13BF0E72"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0.41</w:t>
            </w:r>
          </w:p>
        </w:tc>
        <w:tc>
          <w:tcPr>
            <w:tcW w:w="167" w:type="pct"/>
            <w:tcBorders>
              <w:top w:val="nil"/>
              <w:left w:val="nil"/>
              <w:bottom w:val="single" w:sz="12" w:space="0" w:color="auto"/>
              <w:right w:val="nil"/>
            </w:tcBorders>
          </w:tcPr>
          <w:p w14:paraId="2399D719" w14:textId="77777777" w:rsidR="00514D14" w:rsidRPr="00B36420" w:rsidRDefault="00514D14" w:rsidP="00A73422">
            <w:pPr>
              <w:jc w:val="center"/>
              <w:rPr>
                <w:rFonts w:ascii="Times New Roman" w:hAnsi="Times New Roman" w:cs="Times New Roman"/>
              </w:rPr>
            </w:pPr>
          </w:p>
        </w:tc>
        <w:tc>
          <w:tcPr>
            <w:tcW w:w="943" w:type="pct"/>
            <w:gridSpan w:val="3"/>
            <w:tcBorders>
              <w:top w:val="nil"/>
              <w:left w:val="nil"/>
              <w:bottom w:val="single" w:sz="12" w:space="0" w:color="auto"/>
              <w:right w:val="nil"/>
            </w:tcBorders>
          </w:tcPr>
          <w:p w14:paraId="5FDDAFF3" w14:textId="77777777" w:rsidR="00514D14" w:rsidRPr="00B36420" w:rsidRDefault="00514D14" w:rsidP="00A73422">
            <w:pPr>
              <w:jc w:val="center"/>
              <w:rPr>
                <w:rFonts w:ascii="Times New Roman" w:hAnsi="Times New Roman" w:cs="Times New Roman"/>
              </w:rPr>
            </w:pPr>
            <w:r w:rsidRPr="00B36420">
              <w:rPr>
                <w:rFonts w:ascii="Times New Roman" w:hAnsi="Times New Roman" w:cs="Times New Roman"/>
              </w:rPr>
              <w:t>0.71</w:t>
            </w:r>
          </w:p>
        </w:tc>
      </w:tr>
    </w:tbl>
    <w:p w14:paraId="4D3C20F7" w14:textId="77777777" w:rsidR="00514D14" w:rsidRPr="00520EE5" w:rsidRDefault="00514D14" w:rsidP="00A73422">
      <w:pPr>
        <w:rPr>
          <w:rFonts w:ascii="Times New Roman" w:hAnsi="Times New Roman" w:cs="Times New Roman"/>
        </w:rPr>
      </w:pPr>
    </w:p>
    <w:p w14:paraId="16C98477" w14:textId="77777777" w:rsidR="00514D14" w:rsidRPr="003D3598" w:rsidRDefault="00514D14" w:rsidP="00A73422">
      <w:pPr>
        <w:rPr>
          <w:rFonts w:ascii="Times New Roman" w:hAnsi="Times New Roman" w:cs="Times New Roman"/>
          <w:i/>
        </w:rPr>
      </w:pPr>
      <w:r w:rsidRPr="00520EE5">
        <w:rPr>
          <w:rFonts w:ascii="Times New Roman" w:hAnsi="Times New Roman" w:cs="Times New Roman"/>
          <w:i/>
        </w:rPr>
        <w:t>Note</w:t>
      </w:r>
      <w:r w:rsidRPr="00AA2084">
        <w:rPr>
          <w:rFonts w:ascii="Times New Roman" w:hAnsi="Times New Roman" w:cs="Times New Roman"/>
          <w:i/>
        </w:rPr>
        <w:t>s</w:t>
      </w:r>
      <w:r w:rsidRPr="00520EE5">
        <w:rPr>
          <w:rFonts w:ascii="Times New Roman" w:hAnsi="Times New Roman" w:cs="Times New Roman"/>
          <w:i/>
        </w:rPr>
        <w:t>.</w:t>
      </w:r>
      <w:r w:rsidRPr="00AA2084">
        <w:rPr>
          <w:rFonts w:ascii="Times New Roman" w:hAnsi="Times New Roman" w:cs="Times New Roman"/>
        </w:rPr>
        <w:t xml:space="preserve"> ***</w:t>
      </w:r>
      <w:r w:rsidRPr="00AA2084">
        <w:rPr>
          <w:rFonts w:ascii="Times New Roman" w:hAnsi="Times New Roman" w:cs="Times New Roman"/>
          <w:i/>
        </w:rPr>
        <w:t>p</w:t>
      </w:r>
      <w:r w:rsidRPr="00AA2084">
        <w:rPr>
          <w:rFonts w:ascii="Times New Roman" w:hAnsi="Times New Roman" w:cs="Times New Roman"/>
        </w:rPr>
        <w:t xml:space="preserve"> &lt; .001, **</w:t>
      </w:r>
      <w:r w:rsidRPr="00AA2084">
        <w:rPr>
          <w:rFonts w:ascii="Times New Roman" w:hAnsi="Times New Roman" w:cs="Times New Roman"/>
          <w:i/>
        </w:rPr>
        <w:t>p</w:t>
      </w:r>
      <w:r w:rsidRPr="00AA2084">
        <w:rPr>
          <w:rFonts w:ascii="Times New Roman" w:hAnsi="Times New Roman" w:cs="Times New Roman"/>
        </w:rPr>
        <w:t xml:space="preserve"> &lt; .01, *</w:t>
      </w:r>
      <w:r w:rsidRPr="00AA2084">
        <w:rPr>
          <w:rFonts w:ascii="Times New Roman" w:hAnsi="Times New Roman" w:cs="Times New Roman"/>
          <w:i/>
        </w:rPr>
        <w:t>p</w:t>
      </w:r>
      <w:r w:rsidRPr="00AA2084">
        <w:rPr>
          <w:rFonts w:ascii="Times New Roman" w:hAnsi="Times New Roman" w:cs="Times New Roman"/>
        </w:rPr>
        <w:t xml:space="preserve"> &lt; .05. </w:t>
      </w:r>
      <w:r w:rsidRPr="00AA2084">
        <w:rPr>
          <w:rFonts w:ascii="Times New Roman" w:hAnsi="Times New Roman" w:cs="Times New Roman"/>
          <w:vertAlign w:val="superscript"/>
        </w:rPr>
        <w:t xml:space="preserve">a </w:t>
      </w:r>
      <w:r w:rsidRPr="00AA2084">
        <w:rPr>
          <w:rFonts w:ascii="Times New Roman" w:hAnsi="Times New Roman" w:cs="Times New Roman"/>
        </w:rPr>
        <w:t>Reference activity (the activity that these activities are compared to) is non-STEM program activities</w:t>
      </w:r>
      <w:r>
        <w:rPr>
          <w:rFonts w:ascii="Times New Roman" w:hAnsi="Times New Roman" w:cs="Times New Roman"/>
        </w:rPr>
        <w:t>.</w:t>
      </w:r>
    </w:p>
    <w:p w14:paraId="36D4C6E8" w14:textId="77777777" w:rsidR="00514D14" w:rsidRDefault="00514D14" w:rsidP="00A73422">
      <w:pPr>
        <w:contextualSpacing/>
        <w:rPr>
          <w:rFonts w:ascii="Times New Roman" w:hAnsi="Times New Roman" w:cs="Times New Roman"/>
        </w:rPr>
      </w:pPr>
    </w:p>
    <w:p w14:paraId="3B1E77C9" w14:textId="2C078061" w:rsidR="00B216DE" w:rsidRPr="00870EF0" w:rsidRDefault="00E65380" w:rsidP="00A73422">
      <w:pPr>
        <w:contextualSpacing/>
        <w:rPr>
          <w:rFonts w:ascii="Times New Roman" w:hAnsi="Times New Roman" w:cs="Times New Roman"/>
        </w:rPr>
      </w:pPr>
      <w:r w:rsidRPr="003D3598">
        <w:rPr>
          <w:rFonts w:ascii="Times New Roman" w:hAnsi="Times New Roman" w:cs="Times New Roman"/>
        </w:rPr>
        <w:t>Youth who identified as female tended to perceive program activities as less challenging</w:t>
      </w:r>
      <w:r w:rsidR="00FC53FA" w:rsidRPr="003D3598">
        <w:rPr>
          <w:rFonts w:ascii="Times New Roman" w:hAnsi="Times New Roman" w:cs="Times New Roman"/>
        </w:rPr>
        <w:t xml:space="preserve"> (</w:t>
      </w:r>
      <m:oMath>
        <m:r>
          <w:rPr>
            <w:rFonts w:ascii="Cambria Math" w:hAnsi="Cambria Math" w:cs="Times New Roman"/>
          </w:rPr>
          <m:t>β</m:t>
        </m:r>
      </m:oMath>
      <w:r w:rsidR="00FC53FA" w:rsidRPr="00AA2084">
        <w:rPr>
          <w:rFonts w:ascii="Times New Roman" w:hAnsi="Times New Roman" w:cs="Times New Roman"/>
          <w:vertAlign w:val="subscript"/>
        </w:rPr>
        <w:t>02</w:t>
      </w:r>
      <w:r w:rsidRPr="003D3598">
        <w:rPr>
          <w:rFonts w:ascii="Times New Roman" w:hAnsi="Times New Roman" w:cs="Times New Roman"/>
        </w:rPr>
        <w:t xml:space="preserve"> </w:t>
      </w:r>
      <w:r w:rsidR="00FC53FA" w:rsidRPr="00BF6C34">
        <w:rPr>
          <w:rFonts w:ascii="Times New Roman" w:hAnsi="Times New Roman" w:cs="Times New Roman"/>
        </w:rPr>
        <w:t xml:space="preserve">= -.24, </w:t>
      </w:r>
      <w:r w:rsidR="00FC53FA" w:rsidRPr="00931EC8">
        <w:rPr>
          <w:rFonts w:ascii="Times New Roman" w:hAnsi="Times New Roman" w:cs="Times New Roman"/>
          <w:i/>
        </w:rPr>
        <w:t>p</w:t>
      </w:r>
      <w:r w:rsidR="00FC53FA" w:rsidRPr="00931EC8">
        <w:rPr>
          <w:rFonts w:ascii="Times New Roman" w:hAnsi="Times New Roman" w:cs="Times New Roman"/>
        </w:rPr>
        <w:t xml:space="preserve"> &lt; .05) </w:t>
      </w:r>
      <w:r w:rsidRPr="00931EC8">
        <w:rPr>
          <w:rFonts w:ascii="Times New Roman" w:hAnsi="Times New Roman" w:cs="Times New Roman"/>
        </w:rPr>
        <w:t xml:space="preserve">and </w:t>
      </w:r>
      <w:r w:rsidRPr="00DB3561">
        <w:rPr>
          <w:rFonts w:ascii="Times New Roman" w:hAnsi="Times New Roman" w:cs="Times New Roman"/>
        </w:rPr>
        <w:t xml:space="preserve">less relevant </w:t>
      </w:r>
      <w:r w:rsidR="00FC53FA" w:rsidRPr="00FA38A0">
        <w:rPr>
          <w:rFonts w:ascii="Times New Roman" w:hAnsi="Times New Roman" w:cs="Times New Roman"/>
        </w:rPr>
        <w:t>(</w:t>
      </w:r>
      <m:oMath>
        <m:r>
          <w:rPr>
            <w:rFonts w:ascii="Cambria Math" w:hAnsi="Cambria Math" w:cs="Times New Roman"/>
          </w:rPr>
          <m:t xml:space="preserve"> β</m:t>
        </m:r>
      </m:oMath>
      <w:r w:rsidR="00FC53FA" w:rsidRPr="00AA2084">
        <w:rPr>
          <w:rFonts w:ascii="Times New Roman" w:hAnsi="Times New Roman" w:cs="Times New Roman"/>
          <w:vertAlign w:val="subscript"/>
        </w:rPr>
        <w:t xml:space="preserve">02 </w:t>
      </w:r>
      <w:r w:rsidR="00D65AD1" w:rsidRPr="003D3598">
        <w:rPr>
          <w:rFonts w:ascii="Times New Roman" w:hAnsi="Times New Roman" w:cs="Times New Roman"/>
        </w:rPr>
        <w:t>= -.25</w:t>
      </w:r>
      <w:r w:rsidR="00FC53FA" w:rsidRPr="00BF6C34">
        <w:rPr>
          <w:rFonts w:ascii="Times New Roman" w:hAnsi="Times New Roman" w:cs="Times New Roman"/>
        </w:rPr>
        <w:t xml:space="preserve">, </w:t>
      </w:r>
      <w:r w:rsidR="00FC53FA" w:rsidRPr="00931EC8">
        <w:rPr>
          <w:rFonts w:ascii="Times New Roman" w:hAnsi="Times New Roman" w:cs="Times New Roman"/>
          <w:i/>
        </w:rPr>
        <w:t>p</w:t>
      </w:r>
      <w:r w:rsidR="00FC53FA" w:rsidRPr="00931EC8">
        <w:rPr>
          <w:rFonts w:ascii="Times New Roman" w:hAnsi="Times New Roman" w:cs="Times New Roman"/>
        </w:rPr>
        <w:t xml:space="preserve"> &lt; .05) th</w:t>
      </w:r>
      <w:r w:rsidRPr="00931EC8">
        <w:rPr>
          <w:rFonts w:ascii="Times New Roman" w:hAnsi="Times New Roman" w:cs="Times New Roman"/>
        </w:rPr>
        <w:t>an their male peers.</w:t>
      </w:r>
      <w:r w:rsidR="00FC53FA" w:rsidRPr="00DB3561">
        <w:rPr>
          <w:rFonts w:ascii="Times New Roman" w:hAnsi="Times New Roman" w:cs="Times New Roman"/>
        </w:rPr>
        <w:t xml:space="preserve"> Male and female youth did not differ from one another in the degree to which they felt they were learning during the programs (</w:t>
      </w:r>
      <m:oMath>
        <m:r>
          <w:rPr>
            <w:rFonts w:ascii="Cambria Math" w:hAnsi="Cambria Math" w:cs="Times New Roman"/>
          </w:rPr>
          <m:t>β</m:t>
        </m:r>
      </m:oMath>
      <w:r w:rsidR="002A11FE" w:rsidRPr="00AA2084">
        <w:rPr>
          <w:rFonts w:ascii="Times New Roman" w:hAnsi="Times New Roman" w:cs="Times New Roman"/>
          <w:vertAlign w:val="subscript"/>
        </w:rPr>
        <w:t>02</w:t>
      </w:r>
      <w:r w:rsidR="00D65AD1" w:rsidRPr="003D3598">
        <w:rPr>
          <w:rFonts w:ascii="Times New Roman" w:hAnsi="Times New Roman" w:cs="Times New Roman"/>
        </w:rPr>
        <w:t xml:space="preserve"> = -</w:t>
      </w:r>
      <w:r w:rsidR="00FC53FA" w:rsidRPr="00276BD4">
        <w:rPr>
          <w:rFonts w:ascii="Times New Roman" w:hAnsi="Times New Roman" w:cs="Times New Roman"/>
        </w:rPr>
        <w:t xml:space="preserve">.08, </w:t>
      </w:r>
      <w:r w:rsidR="00FC53FA" w:rsidRPr="00DB3561">
        <w:rPr>
          <w:rFonts w:ascii="Times New Roman" w:hAnsi="Times New Roman" w:cs="Times New Roman"/>
          <w:i/>
        </w:rPr>
        <w:t>ns</w:t>
      </w:r>
      <w:r w:rsidR="00FC53FA" w:rsidRPr="00FA38A0">
        <w:rPr>
          <w:rFonts w:ascii="Times New Roman" w:hAnsi="Times New Roman" w:cs="Times New Roman"/>
        </w:rPr>
        <w:t>).</w:t>
      </w:r>
      <w:r w:rsidR="00E0595C" w:rsidRPr="00E12A75">
        <w:rPr>
          <w:rFonts w:ascii="Times New Roman" w:hAnsi="Times New Roman" w:cs="Times New Roman"/>
        </w:rPr>
        <w:t xml:space="preserve"> </w:t>
      </w:r>
    </w:p>
    <w:p w14:paraId="6748B3A2" w14:textId="22697563" w:rsidR="004F307B" w:rsidRPr="00E12A75" w:rsidRDefault="002A11FE" w:rsidP="00A73422">
      <w:pPr>
        <w:ind w:firstLine="720"/>
        <w:contextualSpacing/>
        <w:rPr>
          <w:rFonts w:ascii="Times New Roman" w:hAnsi="Times New Roman" w:cs="Times New Roman"/>
        </w:rPr>
      </w:pPr>
      <w:r w:rsidRPr="00510F66">
        <w:rPr>
          <w:rFonts w:ascii="Times New Roman" w:hAnsi="Times New Roman" w:cs="Times New Roman"/>
        </w:rPr>
        <w:t xml:space="preserve"> Relative to the non-STEM related activities across these programs</w:t>
      </w:r>
      <w:r w:rsidR="00A84B6C" w:rsidRPr="00026666">
        <w:rPr>
          <w:rFonts w:ascii="Times New Roman" w:hAnsi="Times New Roman" w:cs="Times New Roman"/>
        </w:rPr>
        <w:t xml:space="preserve"> (the reference category for activity)</w:t>
      </w:r>
      <w:r w:rsidRPr="00011528">
        <w:rPr>
          <w:rFonts w:ascii="Times New Roman" w:hAnsi="Times New Roman" w:cs="Times New Roman"/>
        </w:rPr>
        <w:t xml:space="preserve">, youth perceived basic skills activities </w:t>
      </w:r>
      <w:r w:rsidR="00567605">
        <w:rPr>
          <w:rFonts w:ascii="Times New Roman" w:hAnsi="Times New Roman" w:cs="Times New Roman"/>
        </w:rPr>
        <w:t>such as</w:t>
      </w:r>
      <w:r w:rsidRPr="00011528">
        <w:rPr>
          <w:rFonts w:ascii="Times New Roman" w:hAnsi="Times New Roman" w:cs="Times New Roman"/>
        </w:rPr>
        <w:t xml:space="preserve"> completing mathematics worksheets or reviewing basic concepts as affording greater opportunity </w:t>
      </w:r>
      <w:r w:rsidR="00325C79" w:rsidRPr="00011528">
        <w:rPr>
          <w:rFonts w:ascii="Times New Roman" w:hAnsi="Times New Roman" w:cs="Times New Roman"/>
        </w:rPr>
        <w:t xml:space="preserve">for </w:t>
      </w:r>
      <w:r w:rsidR="00325C79">
        <w:rPr>
          <w:rFonts w:ascii="Times New Roman" w:hAnsi="Times New Roman" w:cs="Times New Roman"/>
        </w:rPr>
        <w:t>both</w:t>
      </w:r>
      <w:r w:rsidR="00BB22CC">
        <w:rPr>
          <w:rFonts w:ascii="Times New Roman" w:hAnsi="Times New Roman" w:cs="Times New Roman"/>
        </w:rPr>
        <w:t xml:space="preserve"> challenge</w:t>
      </w:r>
      <w:r w:rsidR="00E61923">
        <w:rPr>
          <w:rFonts w:ascii="Times New Roman" w:hAnsi="Times New Roman" w:cs="Times New Roman"/>
        </w:rPr>
        <w:t xml:space="preserve"> </w:t>
      </w:r>
      <w:r w:rsidR="00E61923" w:rsidRPr="00870EF0">
        <w:rPr>
          <w:rFonts w:ascii="Times New Roman" w:hAnsi="Times New Roman" w:cs="Times New Roman"/>
        </w:rPr>
        <w:t>(</w:t>
      </w:r>
      <m:oMath>
        <m:r>
          <w:rPr>
            <w:rFonts w:ascii="Cambria Math" w:hAnsi="Cambria Math" w:cs="Times New Roman"/>
          </w:rPr>
          <m:t>β</m:t>
        </m:r>
      </m:oMath>
      <w:r w:rsidR="00E61923" w:rsidRPr="00AA2084">
        <w:rPr>
          <w:rFonts w:ascii="Times New Roman" w:hAnsi="Times New Roman" w:cs="Times New Roman"/>
          <w:vertAlign w:val="subscript"/>
        </w:rPr>
        <w:t>10</w:t>
      </w:r>
      <w:r w:rsidR="00E61923" w:rsidRPr="003D3598">
        <w:rPr>
          <w:rFonts w:ascii="Times New Roman" w:hAnsi="Times New Roman" w:cs="Times New Roman"/>
        </w:rPr>
        <w:t xml:space="preserve"> = .</w:t>
      </w:r>
      <w:r w:rsidR="00E61923">
        <w:rPr>
          <w:rFonts w:ascii="Times New Roman" w:hAnsi="Times New Roman" w:cs="Times New Roman"/>
        </w:rPr>
        <w:t>13</w:t>
      </w:r>
      <w:r w:rsidR="00E61923" w:rsidRPr="00276BD4">
        <w:rPr>
          <w:rFonts w:ascii="Times New Roman" w:hAnsi="Times New Roman" w:cs="Times New Roman"/>
        </w:rPr>
        <w:t xml:space="preserve">, </w:t>
      </w:r>
      <w:r w:rsidR="00E61923">
        <w:rPr>
          <w:rFonts w:ascii="Times New Roman" w:hAnsi="Times New Roman" w:cs="Times New Roman"/>
          <w:i/>
        </w:rPr>
        <w:t xml:space="preserve">p &lt; </w:t>
      </w:r>
      <w:r w:rsidR="00E61923" w:rsidRPr="00E61923">
        <w:rPr>
          <w:rFonts w:ascii="Times New Roman" w:hAnsi="Times New Roman" w:cs="Times New Roman"/>
        </w:rPr>
        <w:t>.05</w:t>
      </w:r>
      <w:r w:rsidR="00E61923" w:rsidRPr="00FA38A0">
        <w:rPr>
          <w:rFonts w:ascii="Times New Roman" w:hAnsi="Times New Roman" w:cs="Times New Roman"/>
        </w:rPr>
        <w:t>)</w:t>
      </w:r>
      <w:r w:rsidR="00BB22CC">
        <w:rPr>
          <w:rFonts w:ascii="Times New Roman" w:hAnsi="Times New Roman" w:cs="Times New Roman"/>
        </w:rPr>
        <w:t xml:space="preserve"> and </w:t>
      </w:r>
      <w:r w:rsidRPr="00011528">
        <w:rPr>
          <w:rFonts w:ascii="Times New Roman" w:hAnsi="Times New Roman" w:cs="Times New Roman"/>
        </w:rPr>
        <w:t>learni</w:t>
      </w:r>
      <w:r w:rsidRPr="0041527C">
        <w:rPr>
          <w:rFonts w:ascii="Times New Roman" w:hAnsi="Times New Roman" w:cs="Times New Roman"/>
        </w:rPr>
        <w:t>ng (</w:t>
      </w:r>
      <m:oMath>
        <m:r>
          <w:rPr>
            <w:rFonts w:ascii="Cambria Math" w:hAnsi="Cambria Math" w:cs="Times New Roman"/>
          </w:rPr>
          <m:t>β</m:t>
        </m:r>
      </m:oMath>
      <w:r w:rsidRPr="00AA2084">
        <w:rPr>
          <w:rFonts w:ascii="Times New Roman" w:hAnsi="Times New Roman" w:cs="Times New Roman"/>
          <w:vertAlign w:val="subscript"/>
        </w:rPr>
        <w:t>10</w:t>
      </w:r>
      <w:r w:rsidR="00B216DE" w:rsidRPr="003D3598">
        <w:rPr>
          <w:rFonts w:ascii="Times New Roman" w:hAnsi="Times New Roman" w:cs="Times New Roman"/>
        </w:rPr>
        <w:t xml:space="preserve"> = .21</w:t>
      </w:r>
      <w:r w:rsidRPr="00276BD4">
        <w:rPr>
          <w:rFonts w:ascii="Times New Roman" w:hAnsi="Times New Roman" w:cs="Times New Roman"/>
        </w:rPr>
        <w:t xml:space="preserve">, </w:t>
      </w:r>
      <w:r w:rsidRPr="00DB3561">
        <w:rPr>
          <w:rFonts w:ascii="Times New Roman" w:hAnsi="Times New Roman" w:cs="Times New Roman"/>
          <w:i/>
        </w:rPr>
        <w:t>p</w:t>
      </w:r>
      <w:r w:rsidRPr="00FA38A0">
        <w:rPr>
          <w:rFonts w:ascii="Times New Roman" w:hAnsi="Times New Roman" w:cs="Times New Roman"/>
        </w:rPr>
        <w:t xml:space="preserve"> &lt; .0</w:t>
      </w:r>
      <w:r w:rsidR="00B216DE" w:rsidRPr="00E12A75">
        <w:rPr>
          <w:rFonts w:ascii="Times New Roman" w:hAnsi="Times New Roman" w:cs="Times New Roman"/>
        </w:rPr>
        <w:t>0</w:t>
      </w:r>
      <w:r w:rsidRPr="00870EF0">
        <w:rPr>
          <w:rFonts w:ascii="Times New Roman" w:hAnsi="Times New Roman" w:cs="Times New Roman"/>
        </w:rPr>
        <w:t>1)</w:t>
      </w:r>
      <w:r w:rsidRPr="00FA38A0">
        <w:rPr>
          <w:rFonts w:ascii="Times New Roman" w:hAnsi="Times New Roman" w:cs="Times New Roman"/>
        </w:rPr>
        <w:t xml:space="preserve">. Youth also rated basic skills activities as being </w:t>
      </w:r>
      <w:r w:rsidR="00D53423" w:rsidRPr="00E12A75">
        <w:rPr>
          <w:rFonts w:ascii="Times New Roman" w:hAnsi="Times New Roman" w:cs="Times New Roman"/>
        </w:rPr>
        <w:t xml:space="preserve">significantly </w:t>
      </w:r>
      <w:r w:rsidRPr="00870EF0">
        <w:rPr>
          <w:rFonts w:ascii="Times New Roman" w:hAnsi="Times New Roman" w:cs="Times New Roman"/>
        </w:rPr>
        <w:t>more rel</w:t>
      </w:r>
      <w:r w:rsidR="00B216DE" w:rsidRPr="00870EF0">
        <w:rPr>
          <w:rFonts w:ascii="Times New Roman" w:hAnsi="Times New Roman" w:cs="Times New Roman"/>
        </w:rPr>
        <w:t>e</w:t>
      </w:r>
      <w:r w:rsidRPr="00510F66">
        <w:rPr>
          <w:rFonts w:ascii="Times New Roman" w:hAnsi="Times New Roman" w:cs="Times New Roman"/>
        </w:rPr>
        <w:t>vant than the non-STEM related activities in the program, mea</w:t>
      </w:r>
      <w:r w:rsidRPr="00026666">
        <w:rPr>
          <w:rFonts w:ascii="Times New Roman" w:hAnsi="Times New Roman" w:cs="Times New Roman"/>
        </w:rPr>
        <w:t>ning that students felt those activities were important to them and their futures, and would be useful outside of the program</w:t>
      </w:r>
      <w:r w:rsidR="00B216DE" w:rsidRPr="00011528">
        <w:rPr>
          <w:rFonts w:ascii="Times New Roman" w:hAnsi="Times New Roman" w:cs="Times New Roman"/>
        </w:rPr>
        <w:t xml:space="preserve"> (</w:t>
      </w:r>
      <m:oMath>
        <m:r>
          <w:rPr>
            <w:rFonts w:ascii="Cambria Math" w:hAnsi="Cambria Math" w:cs="Times New Roman"/>
          </w:rPr>
          <m:t>β</m:t>
        </m:r>
      </m:oMath>
      <w:r w:rsidR="00B216DE" w:rsidRPr="00AA2084">
        <w:rPr>
          <w:rFonts w:ascii="Times New Roman" w:hAnsi="Times New Roman" w:cs="Times New Roman"/>
          <w:vertAlign w:val="subscript"/>
        </w:rPr>
        <w:t>10</w:t>
      </w:r>
      <w:r w:rsidR="00B216DE" w:rsidRPr="003D3598">
        <w:rPr>
          <w:rFonts w:ascii="Times New Roman" w:hAnsi="Times New Roman" w:cs="Times New Roman"/>
        </w:rPr>
        <w:t xml:space="preserve"> = .1</w:t>
      </w:r>
      <w:r w:rsidR="00E61923">
        <w:rPr>
          <w:rFonts w:ascii="Times New Roman" w:hAnsi="Times New Roman" w:cs="Times New Roman"/>
        </w:rPr>
        <w:t>1</w:t>
      </w:r>
      <w:r w:rsidR="00B216DE" w:rsidRPr="003D3598">
        <w:rPr>
          <w:rFonts w:ascii="Times New Roman" w:hAnsi="Times New Roman" w:cs="Times New Roman"/>
        </w:rPr>
        <w:t xml:space="preserve">, </w:t>
      </w:r>
      <w:r w:rsidR="00B216DE" w:rsidRPr="00276BD4">
        <w:rPr>
          <w:rFonts w:ascii="Times New Roman" w:hAnsi="Times New Roman" w:cs="Times New Roman"/>
          <w:i/>
        </w:rPr>
        <w:t>p</w:t>
      </w:r>
      <w:r w:rsidR="00B216DE" w:rsidRPr="00DB3561">
        <w:rPr>
          <w:rFonts w:ascii="Times New Roman" w:hAnsi="Times New Roman" w:cs="Times New Roman"/>
        </w:rPr>
        <w:t xml:space="preserve"> &lt; .01)</w:t>
      </w:r>
      <w:r w:rsidRPr="00FA38A0">
        <w:rPr>
          <w:rFonts w:ascii="Times New Roman" w:hAnsi="Times New Roman" w:cs="Times New Roman"/>
        </w:rPr>
        <w:t xml:space="preserve">. Activities in which youth were creating a product (e.g., building a robot, constructing a model, preparing </w:t>
      </w:r>
      <w:r w:rsidRPr="00E12A75">
        <w:rPr>
          <w:rFonts w:ascii="Times New Roman" w:hAnsi="Times New Roman" w:cs="Times New Roman"/>
        </w:rPr>
        <w:t xml:space="preserve">an interactive presentation) </w:t>
      </w:r>
      <w:r w:rsidR="00E61923">
        <w:rPr>
          <w:rFonts w:ascii="Times New Roman" w:hAnsi="Times New Roman" w:cs="Times New Roman"/>
        </w:rPr>
        <w:t xml:space="preserve">also </w:t>
      </w:r>
      <w:r w:rsidRPr="00E12A75">
        <w:rPr>
          <w:rFonts w:ascii="Times New Roman" w:hAnsi="Times New Roman" w:cs="Times New Roman"/>
        </w:rPr>
        <w:t xml:space="preserve">stand out as optimal in that youth </w:t>
      </w:r>
      <w:r w:rsidR="00D53423" w:rsidRPr="00870EF0">
        <w:rPr>
          <w:rFonts w:ascii="Times New Roman" w:hAnsi="Times New Roman" w:cs="Times New Roman"/>
        </w:rPr>
        <w:t xml:space="preserve">not only </w:t>
      </w:r>
      <w:r w:rsidRPr="00870EF0">
        <w:rPr>
          <w:rFonts w:ascii="Times New Roman" w:hAnsi="Times New Roman" w:cs="Times New Roman"/>
        </w:rPr>
        <w:t xml:space="preserve">perceive </w:t>
      </w:r>
      <w:r w:rsidR="00EF0A4F" w:rsidRPr="00510F66">
        <w:rPr>
          <w:rFonts w:ascii="Times New Roman" w:hAnsi="Times New Roman" w:cs="Times New Roman"/>
        </w:rPr>
        <w:t>these activities</w:t>
      </w:r>
      <w:r w:rsidRPr="00026666">
        <w:rPr>
          <w:rFonts w:ascii="Times New Roman" w:hAnsi="Times New Roman" w:cs="Times New Roman"/>
        </w:rPr>
        <w:t xml:space="preserve"> as </w:t>
      </w:r>
      <w:r w:rsidR="00EF0A4F" w:rsidRPr="00011528">
        <w:rPr>
          <w:rFonts w:ascii="Times New Roman" w:hAnsi="Times New Roman" w:cs="Times New Roman"/>
        </w:rPr>
        <w:t>highly challenging (</w:t>
      </w:r>
      <m:oMath>
        <m:r>
          <w:rPr>
            <w:rFonts w:ascii="Cambria Math" w:hAnsi="Cambria Math" w:cs="Times New Roman"/>
          </w:rPr>
          <m:t>β</m:t>
        </m:r>
      </m:oMath>
      <w:r w:rsidR="00EF0A4F" w:rsidRPr="00AA2084">
        <w:rPr>
          <w:rFonts w:ascii="Times New Roman" w:hAnsi="Times New Roman" w:cs="Times New Roman"/>
          <w:vertAlign w:val="subscript"/>
        </w:rPr>
        <w:t>20</w:t>
      </w:r>
      <w:r w:rsidR="00B216DE" w:rsidRPr="003D3598">
        <w:rPr>
          <w:rFonts w:ascii="Times New Roman" w:hAnsi="Times New Roman" w:cs="Times New Roman"/>
        </w:rPr>
        <w:t xml:space="preserve"> = .</w:t>
      </w:r>
      <w:r w:rsidR="00E61923">
        <w:rPr>
          <w:rFonts w:ascii="Times New Roman" w:hAnsi="Times New Roman" w:cs="Times New Roman"/>
        </w:rPr>
        <w:t>4</w:t>
      </w:r>
      <w:r w:rsidR="00B216DE" w:rsidRPr="003D3598">
        <w:rPr>
          <w:rFonts w:ascii="Times New Roman" w:hAnsi="Times New Roman" w:cs="Times New Roman"/>
        </w:rPr>
        <w:t>4</w:t>
      </w:r>
      <w:r w:rsidR="00EF0A4F" w:rsidRPr="00276BD4">
        <w:rPr>
          <w:rFonts w:ascii="Times New Roman" w:hAnsi="Times New Roman" w:cs="Times New Roman"/>
        </w:rPr>
        <w:t xml:space="preserve"> </w:t>
      </w:r>
      <w:r w:rsidR="00EF0A4F" w:rsidRPr="00DB3561">
        <w:rPr>
          <w:rFonts w:ascii="Times New Roman" w:hAnsi="Times New Roman" w:cs="Times New Roman"/>
          <w:i/>
        </w:rPr>
        <w:t>p</w:t>
      </w:r>
      <w:r w:rsidR="00EF0A4F" w:rsidRPr="00FA38A0">
        <w:rPr>
          <w:rFonts w:ascii="Times New Roman" w:hAnsi="Times New Roman" w:cs="Times New Roman"/>
        </w:rPr>
        <w:t xml:space="preserve"> &lt; .001) and relevant (</w:t>
      </w:r>
      <m:oMath>
        <m:r>
          <w:rPr>
            <w:rFonts w:ascii="Cambria Math" w:hAnsi="Cambria Math" w:cs="Times New Roman"/>
          </w:rPr>
          <m:t>β</m:t>
        </m:r>
      </m:oMath>
      <w:r w:rsidR="00EF0A4F" w:rsidRPr="00AA2084">
        <w:rPr>
          <w:rFonts w:ascii="Times New Roman" w:hAnsi="Times New Roman" w:cs="Times New Roman"/>
          <w:vertAlign w:val="subscript"/>
        </w:rPr>
        <w:t>20</w:t>
      </w:r>
      <w:r w:rsidR="00EF0A4F" w:rsidRPr="003D3598">
        <w:rPr>
          <w:rFonts w:ascii="Times New Roman" w:hAnsi="Times New Roman" w:cs="Times New Roman"/>
        </w:rPr>
        <w:t xml:space="preserve"> = .</w:t>
      </w:r>
      <w:r w:rsidR="00E61923">
        <w:rPr>
          <w:rFonts w:ascii="Times New Roman" w:hAnsi="Times New Roman" w:cs="Times New Roman"/>
        </w:rPr>
        <w:t>19</w:t>
      </w:r>
      <w:r w:rsidR="00EF0A4F" w:rsidRPr="003D3598">
        <w:rPr>
          <w:rFonts w:ascii="Times New Roman" w:hAnsi="Times New Roman" w:cs="Times New Roman"/>
        </w:rPr>
        <w:t xml:space="preserve">, </w:t>
      </w:r>
      <w:r w:rsidR="00EF0A4F" w:rsidRPr="00276BD4">
        <w:rPr>
          <w:rFonts w:ascii="Times New Roman" w:hAnsi="Times New Roman" w:cs="Times New Roman"/>
          <w:i/>
        </w:rPr>
        <w:t>p</w:t>
      </w:r>
      <w:r w:rsidR="00EF0A4F" w:rsidRPr="00DB3561">
        <w:rPr>
          <w:rFonts w:ascii="Times New Roman" w:hAnsi="Times New Roman" w:cs="Times New Roman"/>
        </w:rPr>
        <w:t xml:space="preserve"> &lt; .001), </w:t>
      </w:r>
      <w:r w:rsidR="00D53423" w:rsidRPr="00FA38A0">
        <w:rPr>
          <w:rFonts w:ascii="Times New Roman" w:hAnsi="Times New Roman" w:cs="Times New Roman"/>
        </w:rPr>
        <w:t xml:space="preserve">but they also </w:t>
      </w:r>
      <w:r w:rsidR="00EF0A4F" w:rsidRPr="00E12A75">
        <w:rPr>
          <w:rFonts w:ascii="Times New Roman" w:hAnsi="Times New Roman" w:cs="Times New Roman"/>
        </w:rPr>
        <w:t xml:space="preserve">feel that they are learning or developing skills while </w:t>
      </w:r>
      <w:r w:rsidR="00EF0A4F" w:rsidRPr="00870EF0">
        <w:rPr>
          <w:rFonts w:ascii="Times New Roman" w:hAnsi="Times New Roman" w:cs="Times New Roman"/>
        </w:rPr>
        <w:t>involved with them (</w:t>
      </w:r>
      <m:oMath>
        <m:r>
          <w:rPr>
            <w:rFonts w:ascii="Cambria Math" w:hAnsi="Cambria Math" w:cs="Times New Roman"/>
          </w:rPr>
          <m:t>β</m:t>
        </m:r>
      </m:oMath>
      <w:r w:rsidR="00EF0A4F" w:rsidRPr="00AA2084">
        <w:rPr>
          <w:rFonts w:ascii="Times New Roman" w:hAnsi="Times New Roman" w:cs="Times New Roman"/>
          <w:vertAlign w:val="subscript"/>
        </w:rPr>
        <w:t xml:space="preserve">20 </w:t>
      </w:r>
      <w:r w:rsidR="00EF0A4F" w:rsidRPr="003D3598">
        <w:rPr>
          <w:rFonts w:ascii="Times New Roman" w:hAnsi="Times New Roman" w:cs="Times New Roman"/>
        </w:rPr>
        <w:t xml:space="preserve">= .11, </w:t>
      </w:r>
      <w:r w:rsidR="00EF0A4F" w:rsidRPr="00276BD4">
        <w:rPr>
          <w:rFonts w:ascii="Times New Roman" w:hAnsi="Times New Roman" w:cs="Times New Roman"/>
          <w:i/>
        </w:rPr>
        <w:t>p</w:t>
      </w:r>
      <w:r w:rsidR="00EF0A4F" w:rsidRPr="00DB3561">
        <w:rPr>
          <w:rFonts w:ascii="Times New Roman" w:hAnsi="Times New Roman" w:cs="Times New Roman"/>
        </w:rPr>
        <w:t xml:space="preserve"> &lt; .05). </w:t>
      </w:r>
      <w:r w:rsidR="00B216DE" w:rsidRPr="00E12A75">
        <w:rPr>
          <w:rFonts w:ascii="Times New Roman" w:hAnsi="Times New Roman" w:cs="Times New Roman"/>
        </w:rPr>
        <w:t>Listening to community experts – an important element to these programs – was perceived by youth as a highly relevant activity (</w:t>
      </w:r>
      <m:oMath>
        <m:r>
          <w:rPr>
            <w:rFonts w:ascii="Cambria Math" w:hAnsi="Cambria Math" w:cs="Times New Roman"/>
          </w:rPr>
          <m:t>β</m:t>
        </m:r>
      </m:oMath>
      <w:r w:rsidR="00B216DE" w:rsidRPr="00AA2084">
        <w:rPr>
          <w:rFonts w:ascii="Times New Roman" w:hAnsi="Times New Roman" w:cs="Times New Roman"/>
          <w:vertAlign w:val="subscript"/>
        </w:rPr>
        <w:t>30</w:t>
      </w:r>
      <w:r w:rsidR="00B216DE" w:rsidRPr="003D3598">
        <w:rPr>
          <w:rFonts w:ascii="Times New Roman" w:hAnsi="Times New Roman" w:cs="Times New Roman"/>
        </w:rPr>
        <w:t>= .2</w:t>
      </w:r>
      <w:r w:rsidR="00E61923">
        <w:rPr>
          <w:rFonts w:ascii="Times New Roman" w:hAnsi="Times New Roman" w:cs="Times New Roman"/>
        </w:rPr>
        <w:t>4</w:t>
      </w:r>
      <w:r w:rsidR="00B216DE" w:rsidRPr="003D3598">
        <w:rPr>
          <w:rFonts w:ascii="Times New Roman" w:hAnsi="Times New Roman" w:cs="Times New Roman"/>
        </w:rPr>
        <w:t xml:space="preserve">, </w:t>
      </w:r>
      <w:r w:rsidR="00B216DE" w:rsidRPr="00567605">
        <w:rPr>
          <w:rFonts w:ascii="Times New Roman" w:hAnsi="Times New Roman" w:cs="Times New Roman"/>
          <w:i/>
        </w:rPr>
        <w:t>p</w:t>
      </w:r>
      <w:r w:rsidR="00B216DE" w:rsidRPr="003D3598">
        <w:rPr>
          <w:rFonts w:ascii="Times New Roman" w:hAnsi="Times New Roman" w:cs="Times New Roman"/>
        </w:rPr>
        <w:t xml:space="preserve"> &lt; .001), though </w:t>
      </w:r>
      <w:r w:rsidR="00DA77F7" w:rsidRPr="00276BD4">
        <w:rPr>
          <w:rFonts w:ascii="Times New Roman" w:hAnsi="Times New Roman" w:cs="Times New Roman"/>
        </w:rPr>
        <w:t>youth</w:t>
      </w:r>
      <w:r w:rsidR="00B216DE" w:rsidRPr="00DB3561">
        <w:rPr>
          <w:rFonts w:ascii="Times New Roman" w:hAnsi="Times New Roman" w:cs="Times New Roman"/>
        </w:rPr>
        <w:t xml:space="preserve"> did not report especially high levels of challenge</w:t>
      </w:r>
      <w:r w:rsidR="00E61923">
        <w:rPr>
          <w:rFonts w:ascii="Times New Roman" w:hAnsi="Times New Roman" w:cs="Times New Roman"/>
        </w:rPr>
        <w:t xml:space="preserve"> </w:t>
      </w:r>
      <w:r w:rsidR="00E61923" w:rsidRPr="00DB3561">
        <w:rPr>
          <w:rFonts w:ascii="Times New Roman" w:hAnsi="Times New Roman" w:cs="Times New Roman"/>
        </w:rPr>
        <w:t>(</w:t>
      </w:r>
      <m:oMath>
        <m:r>
          <w:rPr>
            <w:rFonts w:ascii="Cambria Math" w:hAnsi="Cambria Math" w:cs="Times New Roman"/>
          </w:rPr>
          <m:t>β</m:t>
        </m:r>
      </m:oMath>
      <w:r w:rsidR="00E61923">
        <w:rPr>
          <w:rFonts w:ascii="Times New Roman" w:hAnsi="Times New Roman" w:cs="Times New Roman"/>
          <w:vertAlign w:val="subscript"/>
        </w:rPr>
        <w:t>30</w:t>
      </w:r>
      <w:r w:rsidR="00E61923" w:rsidRPr="003D3598">
        <w:rPr>
          <w:rFonts w:ascii="Times New Roman" w:hAnsi="Times New Roman" w:cs="Times New Roman"/>
        </w:rPr>
        <w:t xml:space="preserve"> = -</w:t>
      </w:r>
      <w:r w:rsidR="00E61923" w:rsidRPr="00276BD4">
        <w:rPr>
          <w:rFonts w:ascii="Times New Roman" w:hAnsi="Times New Roman" w:cs="Times New Roman"/>
        </w:rPr>
        <w:t>.0</w:t>
      </w:r>
      <w:r w:rsidR="00E61923">
        <w:rPr>
          <w:rFonts w:ascii="Times New Roman" w:hAnsi="Times New Roman" w:cs="Times New Roman"/>
        </w:rPr>
        <w:t>5</w:t>
      </w:r>
      <w:r w:rsidR="00E61923" w:rsidRPr="00276BD4">
        <w:rPr>
          <w:rFonts w:ascii="Times New Roman" w:hAnsi="Times New Roman" w:cs="Times New Roman"/>
        </w:rPr>
        <w:t xml:space="preserve">, </w:t>
      </w:r>
      <w:r w:rsidR="00E61923" w:rsidRPr="00DB3561">
        <w:rPr>
          <w:rFonts w:ascii="Times New Roman" w:hAnsi="Times New Roman" w:cs="Times New Roman"/>
          <w:i/>
        </w:rPr>
        <w:t>ns</w:t>
      </w:r>
      <w:r w:rsidR="00E61923" w:rsidRPr="00FA38A0">
        <w:rPr>
          <w:rFonts w:ascii="Times New Roman" w:hAnsi="Times New Roman" w:cs="Times New Roman"/>
        </w:rPr>
        <w:t>)</w:t>
      </w:r>
      <w:r w:rsidR="00B216DE" w:rsidRPr="00DB3561">
        <w:rPr>
          <w:rFonts w:ascii="Times New Roman" w:hAnsi="Times New Roman" w:cs="Times New Roman"/>
        </w:rPr>
        <w:t xml:space="preserve"> </w:t>
      </w:r>
      <w:r w:rsidR="00B216DE" w:rsidRPr="00FA38A0">
        <w:rPr>
          <w:rFonts w:ascii="Times New Roman" w:hAnsi="Times New Roman" w:cs="Times New Roman"/>
        </w:rPr>
        <w:t xml:space="preserve">or learning </w:t>
      </w:r>
      <w:r w:rsidR="00E61923" w:rsidRPr="00DB3561">
        <w:rPr>
          <w:rFonts w:ascii="Times New Roman" w:hAnsi="Times New Roman" w:cs="Times New Roman"/>
        </w:rPr>
        <w:t>(</w:t>
      </w:r>
      <m:oMath>
        <m:r>
          <w:rPr>
            <w:rFonts w:ascii="Cambria Math" w:hAnsi="Cambria Math" w:cs="Times New Roman"/>
          </w:rPr>
          <m:t>β</m:t>
        </m:r>
      </m:oMath>
      <w:r w:rsidR="00E61923">
        <w:rPr>
          <w:rFonts w:ascii="Times New Roman" w:hAnsi="Times New Roman" w:cs="Times New Roman"/>
          <w:vertAlign w:val="subscript"/>
        </w:rPr>
        <w:t>30</w:t>
      </w:r>
      <w:r w:rsidR="00E61923" w:rsidRPr="003D3598">
        <w:rPr>
          <w:rFonts w:ascii="Times New Roman" w:hAnsi="Times New Roman" w:cs="Times New Roman"/>
        </w:rPr>
        <w:t xml:space="preserve"> = </w:t>
      </w:r>
      <w:r w:rsidR="00E61923" w:rsidRPr="00276BD4">
        <w:rPr>
          <w:rFonts w:ascii="Times New Roman" w:hAnsi="Times New Roman" w:cs="Times New Roman"/>
        </w:rPr>
        <w:t>.0</w:t>
      </w:r>
      <w:r w:rsidR="00E61923">
        <w:rPr>
          <w:rFonts w:ascii="Times New Roman" w:hAnsi="Times New Roman" w:cs="Times New Roman"/>
        </w:rPr>
        <w:t>7</w:t>
      </w:r>
      <w:r w:rsidR="00E61923" w:rsidRPr="00276BD4">
        <w:rPr>
          <w:rFonts w:ascii="Times New Roman" w:hAnsi="Times New Roman" w:cs="Times New Roman"/>
        </w:rPr>
        <w:t xml:space="preserve">, </w:t>
      </w:r>
      <w:r w:rsidR="00325C79" w:rsidRPr="00DB3561">
        <w:rPr>
          <w:rFonts w:ascii="Times New Roman" w:hAnsi="Times New Roman" w:cs="Times New Roman"/>
          <w:i/>
        </w:rPr>
        <w:t>ns</w:t>
      </w:r>
      <w:r w:rsidR="00325C79" w:rsidRPr="00FA38A0">
        <w:rPr>
          <w:rFonts w:ascii="Times New Roman" w:hAnsi="Times New Roman" w:cs="Times New Roman"/>
        </w:rPr>
        <w:t>) while</w:t>
      </w:r>
      <w:r w:rsidR="00B216DE" w:rsidRPr="00FA38A0">
        <w:rPr>
          <w:rFonts w:ascii="Times New Roman" w:hAnsi="Times New Roman" w:cs="Times New Roman"/>
        </w:rPr>
        <w:t xml:space="preserve"> do</w:t>
      </w:r>
      <w:r w:rsidR="00C244B8" w:rsidRPr="00E12A75">
        <w:rPr>
          <w:rFonts w:ascii="Times New Roman" w:hAnsi="Times New Roman" w:cs="Times New Roman"/>
        </w:rPr>
        <w:t xml:space="preserve">ing so. </w:t>
      </w:r>
      <w:r w:rsidR="00E61923">
        <w:rPr>
          <w:rFonts w:ascii="Times New Roman" w:hAnsi="Times New Roman" w:cs="Times New Roman"/>
        </w:rPr>
        <w:t>Youth</w:t>
      </w:r>
      <w:r w:rsidR="00C244B8" w:rsidRPr="003D3598">
        <w:rPr>
          <w:rFonts w:ascii="Times New Roman" w:hAnsi="Times New Roman" w:cs="Times New Roman"/>
        </w:rPr>
        <w:t xml:space="preserve"> did not perceive labs </w:t>
      </w:r>
      <w:r w:rsidR="00E61923">
        <w:rPr>
          <w:rFonts w:ascii="Times New Roman" w:hAnsi="Times New Roman" w:cs="Times New Roman"/>
        </w:rPr>
        <w:t xml:space="preserve">or program staff led activities (like lectures and demonstrations) </w:t>
      </w:r>
      <w:r w:rsidR="00C244B8" w:rsidRPr="003D3598">
        <w:rPr>
          <w:rFonts w:ascii="Times New Roman" w:hAnsi="Times New Roman" w:cs="Times New Roman"/>
        </w:rPr>
        <w:t>as particularly challenging or having particular relevance</w:t>
      </w:r>
      <w:r w:rsidR="00E61923">
        <w:rPr>
          <w:rFonts w:ascii="Times New Roman" w:hAnsi="Times New Roman" w:cs="Times New Roman"/>
        </w:rPr>
        <w:t>, and they reported similar levels of learning as they did in non-STEM activities</w:t>
      </w:r>
      <w:r w:rsidR="00C244B8" w:rsidRPr="003D3598">
        <w:rPr>
          <w:rFonts w:ascii="Times New Roman" w:hAnsi="Times New Roman" w:cs="Times New Roman"/>
        </w:rPr>
        <w:t>.</w:t>
      </w:r>
      <w:r w:rsidR="00870EF0">
        <w:rPr>
          <w:rFonts w:ascii="Times New Roman" w:hAnsi="Times New Roman" w:cs="Times New Roman"/>
        </w:rPr>
        <w:t xml:space="preserve">  </w:t>
      </w:r>
    </w:p>
    <w:p w14:paraId="0CA46A76" w14:textId="5FA3101C" w:rsidR="00E134BA" w:rsidRPr="00011528" w:rsidRDefault="00107301" w:rsidP="00A73422">
      <w:pPr>
        <w:contextualSpacing/>
        <w:jc w:val="center"/>
        <w:rPr>
          <w:rFonts w:ascii="Times New Roman" w:hAnsi="Times New Roman" w:cs="Times New Roman"/>
          <w:b/>
        </w:rPr>
      </w:pPr>
      <w:r w:rsidRPr="00510F66">
        <w:rPr>
          <w:rFonts w:ascii="Times New Roman" w:hAnsi="Times New Roman" w:cs="Times New Roman"/>
          <w:b/>
        </w:rPr>
        <w:t>Disc</w:t>
      </w:r>
      <w:r w:rsidRPr="00026666">
        <w:rPr>
          <w:rFonts w:ascii="Times New Roman" w:hAnsi="Times New Roman" w:cs="Times New Roman"/>
          <w:b/>
        </w:rPr>
        <w:t>ussion</w:t>
      </w:r>
    </w:p>
    <w:p w14:paraId="1D2E18C4" w14:textId="74FD86A1" w:rsidR="00E94431" w:rsidRDefault="005F215F" w:rsidP="00A73422">
      <w:pPr>
        <w:ind w:firstLine="720"/>
        <w:contextualSpacing/>
        <w:rPr>
          <w:rFonts w:ascii="Times New Roman" w:hAnsi="Times New Roman" w:cs="Times New Roman"/>
        </w:rPr>
      </w:pPr>
      <w:r w:rsidRPr="00011528">
        <w:rPr>
          <w:rFonts w:ascii="Times New Roman" w:hAnsi="Times New Roman" w:cs="Times New Roman"/>
        </w:rPr>
        <w:t xml:space="preserve">This study </w:t>
      </w:r>
      <w:r w:rsidR="00BD3933" w:rsidRPr="0041527C">
        <w:rPr>
          <w:rFonts w:ascii="Times New Roman" w:hAnsi="Times New Roman" w:cs="Times New Roman"/>
        </w:rPr>
        <w:t>explored</w:t>
      </w:r>
      <w:r w:rsidR="00281351" w:rsidRPr="00111E51">
        <w:rPr>
          <w:rFonts w:ascii="Times New Roman" w:hAnsi="Times New Roman" w:cs="Times New Roman"/>
        </w:rPr>
        <w:t xml:space="preserve"> potential conditions for youth engagement </w:t>
      </w:r>
      <w:r w:rsidRPr="00921F21">
        <w:rPr>
          <w:rFonts w:ascii="Times New Roman" w:hAnsi="Times New Roman" w:cs="Times New Roman"/>
        </w:rPr>
        <w:t xml:space="preserve">in STEM-focused summer programs targeting underserved youth. </w:t>
      </w:r>
      <w:r w:rsidR="002E1366" w:rsidRPr="003D3598">
        <w:rPr>
          <w:rFonts w:ascii="Times New Roman" w:hAnsi="Times New Roman" w:cs="Times New Roman"/>
        </w:rPr>
        <w:t>The</w:t>
      </w:r>
      <w:r w:rsidRPr="003D3598">
        <w:rPr>
          <w:rFonts w:ascii="Times New Roman" w:hAnsi="Times New Roman" w:cs="Times New Roman"/>
        </w:rPr>
        <w:t xml:space="preserve"> results deepen our understanding of how specific </w:t>
      </w:r>
      <w:r w:rsidR="00391968" w:rsidRPr="003D3598">
        <w:rPr>
          <w:rFonts w:ascii="Times New Roman" w:hAnsi="Times New Roman" w:cs="Times New Roman"/>
        </w:rPr>
        <w:t xml:space="preserve">subjective </w:t>
      </w:r>
      <w:r w:rsidR="0071247D" w:rsidRPr="003D3598">
        <w:rPr>
          <w:rFonts w:ascii="Times New Roman" w:hAnsi="Times New Roman" w:cs="Times New Roman"/>
        </w:rPr>
        <w:t xml:space="preserve">experiences </w:t>
      </w:r>
      <w:r w:rsidRPr="003D3598">
        <w:rPr>
          <w:rFonts w:ascii="Times New Roman" w:hAnsi="Times New Roman" w:cs="Times New Roman"/>
        </w:rPr>
        <w:t>cultivate engagement in STEM</w:t>
      </w:r>
      <w:r w:rsidR="00391968" w:rsidRPr="003D3598">
        <w:rPr>
          <w:rFonts w:ascii="Times New Roman" w:hAnsi="Times New Roman" w:cs="Times New Roman"/>
        </w:rPr>
        <w:t xml:space="preserve">, </w:t>
      </w:r>
      <w:r w:rsidRPr="003D3598">
        <w:rPr>
          <w:rFonts w:ascii="Times New Roman" w:hAnsi="Times New Roman" w:cs="Times New Roman"/>
        </w:rPr>
        <w:t xml:space="preserve">how </w:t>
      </w:r>
      <w:r w:rsidR="00281351" w:rsidRPr="003D3598">
        <w:rPr>
          <w:rFonts w:ascii="Times New Roman" w:hAnsi="Times New Roman" w:cs="Times New Roman"/>
        </w:rPr>
        <w:t>the effect</w:t>
      </w:r>
      <w:r w:rsidR="00EC6F5F" w:rsidRPr="003D3598">
        <w:rPr>
          <w:rFonts w:ascii="Times New Roman" w:hAnsi="Times New Roman" w:cs="Times New Roman"/>
        </w:rPr>
        <w:t>s</w:t>
      </w:r>
      <w:r w:rsidR="00281351" w:rsidRPr="003D3598">
        <w:rPr>
          <w:rFonts w:ascii="Times New Roman" w:hAnsi="Times New Roman" w:cs="Times New Roman"/>
        </w:rPr>
        <w:t xml:space="preserve"> of </w:t>
      </w:r>
      <w:r w:rsidRPr="003D3598">
        <w:rPr>
          <w:rFonts w:ascii="Times New Roman" w:hAnsi="Times New Roman" w:cs="Times New Roman"/>
        </w:rPr>
        <w:t>these</w:t>
      </w:r>
      <w:r w:rsidR="00281351" w:rsidRPr="003D3598">
        <w:rPr>
          <w:rFonts w:ascii="Times New Roman" w:hAnsi="Times New Roman" w:cs="Times New Roman"/>
        </w:rPr>
        <w:t xml:space="preserve"> </w:t>
      </w:r>
      <w:r w:rsidR="00391968" w:rsidRPr="003D3598">
        <w:rPr>
          <w:rFonts w:ascii="Times New Roman" w:hAnsi="Times New Roman" w:cs="Times New Roman"/>
        </w:rPr>
        <w:t xml:space="preserve">subjective experiences </w:t>
      </w:r>
      <w:r w:rsidR="00EC6F5F" w:rsidRPr="003D3598">
        <w:rPr>
          <w:rFonts w:ascii="Times New Roman" w:hAnsi="Times New Roman" w:cs="Times New Roman"/>
        </w:rPr>
        <w:t>vary</w:t>
      </w:r>
      <w:r w:rsidRPr="003D3598">
        <w:rPr>
          <w:rFonts w:ascii="Times New Roman" w:hAnsi="Times New Roman" w:cs="Times New Roman"/>
        </w:rPr>
        <w:t xml:space="preserve"> by characteristics of the participating y</w:t>
      </w:r>
      <w:r w:rsidR="004C3F3A" w:rsidRPr="003D3598">
        <w:rPr>
          <w:rFonts w:ascii="Times New Roman" w:hAnsi="Times New Roman" w:cs="Times New Roman"/>
        </w:rPr>
        <w:t>outh</w:t>
      </w:r>
      <w:r w:rsidR="00391968" w:rsidRPr="003D3598">
        <w:rPr>
          <w:rFonts w:ascii="Times New Roman" w:hAnsi="Times New Roman" w:cs="Times New Roman"/>
        </w:rPr>
        <w:t>, and which program activities predict the subjective states youth experience</w:t>
      </w:r>
      <w:r w:rsidR="004C3F3A" w:rsidRPr="003D3598">
        <w:rPr>
          <w:rFonts w:ascii="Times New Roman" w:hAnsi="Times New Roman" w:cs="Times New Roman"/>
        </w:rPr>
        <w:t xml:space="preserve">. </w:t>
      </w:r>
      <w:r w:rsidR="00EC6F5F" w:rsidRPr="003D3598">
        <w:rPr>
          <w:rFonts w:ascii="Times New Roman" w:hAnsi="Times New Roman" w:cs="Times New Roman"/>
        </w:rPr>
        <w:t>Perceived c</w:t>
      </w:r>
      <w:r w:rsidR="00FC273F" w:rsidRPr="003D3598">
        <w:rPr>
          <w:rFonts w:ascii="Times New Roman" w:hAnsi="Times New Roman" w:cs="Times New Roman"/>
        </w:rPr>
        <w:t>hallenge, relevance</w:t>
      </w:r>
      <w:r w:rsidR="00BD3933" w:rsidRPr="003D3598">
        <w:rPr>
          <w:rFonts w:ascii="Times New Roman" w:hAnsi="Times New Roman" w:cs="Times New Roman"/>
        </w:rPr>
        <w:t>,</w:t>
      </w:r>
      <w:r w:rsidR="00FC273F" w:rsidRPr="003D3598">
        <w:rPr>
          <w:rFonts w:ascii="Times New Roman" w:hAnsi="Times New Roman" w:cs="Times New Roman"/>
        </w:rPr>
        <w:t xml:space="preserve"> and </w:t>
      </w:r>
      <w:r w:rsidR="004C3F3A" w:rsidRPr="003D3598">
        <w:rPr>
          <w:rFonts w:ascii="Times New Roman" w:hAnsi="Times New Roman" w:cs="Times New Roman"/>
        </w:rPr>
        <w:t xml:space="preserve">opportunities </w:t>
      </w:r>
      <w:r w:rsidR="004C3F3A" w:rsidRPr="003D3598">
        <w:rPr>
          <w:rFonts w:ascii="Times New Roman" w:hAnsi="Times New Roman" w:cs="Times New Roman"/>
        </w:rPr>
        <w:lastRenderedPageBreak/>
        <w:t xml:space="preserve">for </w:t>
      </w:r>
      <w:r w:rsidR="00FC273F" w:rsidRPr="003D3598">
        <w:rPr>
          <w:rFonts w:ascii="Times New Roman" w:hAnsi="Times New Roman" w:cs="Times New Roman"/>
        </w:rPr>
        <w:t xml:space="preserve">learning </w:t>
      </w:r>
      <w:r w:rsidR="00D1163A" w:rsidRPr="003D3598">
        <w:rPr>
          <w:rFonts w:ascii="Times New Roman" w:hAnsi="Times New Roman" w:cs="Times New Roman"/>
        </w:rPr>
        <w:t xml:space="preserve">each </w:t>
      </w:r>
      <w:r w:rsidR="00EC6F5F" w:rsidRPr="003D3598">
        <w:rPr>
          <w:rFonts w:ascii="Times New Roman" w:hAnsi="Times New Roman" w:cs="Times New Roman"/>
        </w:rPr>
        <w:t xml:space="preserve">emerged as conditions that </w:t>
      </w:r>
      <w:r w:rsidR="004C3F3A" w:rsidRPr="003D3598">
        <w:rPr>
          <w:rFonts w:ascii="Times New Roman" w:hAnsi="Times New Roman" w:cs="Times New Roman"/>
        </w:rPr>
        <w:t>generally</w:t>
      </w:r>
      <w:r w:rsidR="00EC6F5F" w:rsidRPr="003D3598">
        <w:rPr>
          <w:rFonts w:ascii="Times New Roman" w:hAnsi="Times New Roman" w:cs="Times New Roman"/>
        </w:rPr>
        <w:t xml:space="preserve"> heighten youth engagement in summer STEM programs. </w:t>
      </w:r>
      <w:r w:rsidR="00325C79" w:rsidRPr="003D3598">
        <w:rPr>
          <w:rFonts w:ascii="Times New Roman" w:hAnsi="Times New Roman" w:cs="Times New Roman"/>
        </w:rPr>
        <w:t>It is notable—particularly in light of the finding that different program activities seem to differently elicit youths</w:t>
      </w:r>
      <w:r w:rsidR="003C1ED9">
        <w:rPr>
          <w:rFonts w:ascii="Times New Roman" w:hAnsi="Times New Roman" w:cs="Times New Roman"/>
        </w:rPr>
        <w:t>’</w:t>
      </w:r>
      <w:r w:rsidR="00325C79" w:rsidRPr="003D3598">
        <w:rPr>
          <w:rFonts w:ascii="Times New Roman" w:hAnsi="Times New Roman" w:cs="Times New Roman"/>
        </w:rPr>
        <w:t xml:space="preserve"> perceptions of challenge, relevance and learning—that the effects of these conditions upon engagement are independent</w:t>
      </w:r>
      <w:r w:rsidR="00325C79">
        <w:rPr>
          <w:rFonts w:ascii="Times New Roman" w:hAnsi="Times New Roman" w:cs="Times New Roman"/>
        </w:rPr>
        <w:t>.</w:t>
      </w:r>
      <w:r w:rsidR="00325C79" w:rsidRPr="003D3598">
        <w:rPr>
          <w:rFonts w:ascii="Times New Roman" w:hAnsi="Times New Roman" w:cs="Times New Roman"/>
        </w:rPr>
        <w:t xml:space="preserve"> Together these findings demonstrate that there are multiple pathways to engaging youth in summer STEM programs. </w:t>
      </w:r>
      <w:r w:rsidR="00130026" w:rsidRPr="003D3598">
        <w:rPr>
          <w:rFonts w:ascii="Times New Roman" w:hAnsi="Times New Roman" w:cs="Times New Roman"/>
        </w:rPr>
        <w:t>Importantly, our finding</w:t>
      </w:r>
      <w:r w:rsidR="003D2F34" w:rsidRPr="003D3598">
        <w:rPr>
          <w:rFonts w:ascii="Times New Roman" w:hAnsi="Times New Roman" w:cs="Times New Roman"/>
        </w:rPr>
        <w:t xml:space="preserve"> </w:t>
      </w:r>
      <w:r w:rsidR="00130026" w:rsidRPr="003D3598">
        <w:rPr>
          <w:rFonts w:ascii="Times New Roman" w:hAnsi="Times New Roman" w:cs="Times New Roman"/>
        </w:rPr>
        <w:t>that challenge, relevance and opportunities for learning are all associated with increased engagement</w:t>
      </w:r>
      <w:r w:rsidR="00BD3933" w:rsidRPr="003D3598">
        <w:rPr>
          <w:rFonts w:ascii="Times New Roman" w:hAnsi="Times New Roman" w:cs="Times New Roman"/>
        </w:rPr>
        <w:t xml:space="preserve"> (even when all three are considered in models simultaneously)</w:t>
      </w:r>
      <w:r w:rsidR="00130026" w:rsidRPr="003D3598">
        <w:rPr>
          <w:rFonts w:ascii="Times New Roman" w:hAnsi="Times New Roman" w:cs="Times New Roman"/>
        </w:rPr>
        <w:t xml:space="preserve"> is consistent with research conducted in traditional classroom environments</w:t>
      </w:r>
      <w:r w:rsidR="00BD3933" w:rsidRPr="003D3598">
        <w:rPr>
          <w:rFonts w:ascii="Times New Roman" w:hAnsi="Times New Roman" w:cs="Times New Roman"/>
        </w:rPr>
        <w:t xml:space="preserve"> (</w:t>
      </w:r>
      <w:r w:rsidR="001C659C" w:rsidRPr="003D3598">
        <w:rPr>
          <w:rFonts w:ascii="Times New Roman" w:hAnsi="Times New Roman" w:cs="Times New Roman"/>
        </w:rPr>
        <w:t>Fredricks et al</w:t>
      </w:r>
      <w:r w:rsidR="00567605">
        <w:rPr>
          <w:rFonts w:ascii="Times New Roman" w:hAnsi="Times New Roman" w:cs="Times New Roman"/>
        </w:rPr>
        <w:t>.</w:t>
      </w:r>
      <w:r w:rsidR="001C659C" w:rsidRPr="003D3598">
        <w:rPr>
          <w:rFonts w:ascii="Times New Roman" w:hAnsi="Times New Roman" w:cs="Times New Roman"/>
        </w:rPr>
        <w:t xml:space="preserve">, 2002; </w:t>
      </w:r>
      <w:proofErr w:type="spellStart"/>
      <w:r w:rsidR="009D51A6" w:rsidRPr="003D3598">
        <w:rPr>
          <w:rFonts w:ascii="Times New Roman" w:hAnsi="Times New Roman" w:cs="Times New Roman"/>
        </w:rPr>
        <w:t>Koballa</w:t>
      </w:r>
      <w:proofErr w:type="spellEnd"/>
      <w:r w:rsidR="009D51A6" w:rsidRPr="003D3598">
        <w:rPr>
          <w:rFonts w:ascii="Times New Roman" w:hAnsi="Times New Roman" w:cs="Times New Roman"/>
        </w:rPr>
        <w:t xml:space="preserve"> &amp; Glynn, 2007; </w:t>
      </w:r>
      <w:r w:rsidR="001C659C" w:rsidRPr="003D3598">
        <w:rPr>
          <w:rFonts w:ascii="Times New Roman" w:hAnsi="Times New Roman" w:cs="Times New Roman"/>
        </w:rPr>
        <w:t>Lutz et al</w:t>
      </w:r>
      <w:r w:rsidR="00567605">
        <w:rPr>
          <w:rFonts w:ascii="Times New Roman" w:hAnsi="Times New Roman" w:cs="Times New Roman"/>
        </w:rPr>
        <w:t>.</w:t>
      </w:r>
      <w:r w:rsidR="001C659C" w:rsidRPr="003D3598">
        <w:rPr>
          <w:rFonts w:ascii="Times New Roman" w:hAnsi="Times New Roman" w:cs="Times New Roman"/>
        </w:rPr>
        <w:t xml:space="preserve">, 2006; </w:t>
      </w:r>
      <w:proofErr w:type="spellStart"/>
      <w:r w:rsidR="001C659C" w:rsidRPr="003D3598">
        <w:rPr>
          <w:rFonts w:ascii="Times New Roman" w:hAnsi="Times New Roman" w:cs="Times New Roman"/>
        </w:rPr>
        <w:t>Shernoff</w:t>
      </w:r>
      <w:proofErr w:type="spellEnd"/>
      <w:r w:rsidR="001C659C" w:rsidRPr="003D3598">
        <w:rPr>
          <w:rFonts w:ascii="Times New Roman" w:hAnsi="Times New Roman" w:cs="Times New Roman"/>
        </w:rPr>
        <w:t xml:space="preserve"> et al</w:t>
      </w:r>
      <w:r w:rsidR="00567605">
        <w:rPr>
          <w:rFonts w:ascii="Times New Roman" w:hAnsi="Times New Roman" w:cs="Times New Roman"/>
        </w:rPr>
        <w:t>.</w:t>
      </w:r>
      <w:r w:rsidR="001C659C" w:rsidRPr="003D3598">
        <w:rPr>
          <w:rFonts w:ascii="Times New Roman" w:hAnsi="Times New Roman" w:cs="Times New Roman"/>
        </w:rPr>
        <w:t>, 2003</w:t>
      </w:r>
      <w:r w:rsidR="009D51A6" w:rsidRPr="003D3598">
        <w:rPr>
          <w:rFonts w:ascii="Times New Roman" w:hAnsi="Times New Roman" w:cs="Times New Roman"/>
        </w:rPr>
        <w:t>)</w:t>
      </w:r>
      <w:r w:rsidR="00130026" w:rsidRPr="003D3598">
        <w:rPr>
          <w:rFonts w:ascii="Times New Roman" w:hAnsi="Times New Roman" w:cs="Times New Roman"/>
        </w:rPr>
        <w:t>. Even in summer</w:t>
      </w:r>
      <w:r w:rsidR="002B0743">
        <w:rPr>
          <w:rFonts w:ascii="Times New Roman" w:hAnsi="Times New Roman" w:cs="Times New Roman"/>
        </w:rPr>
        <w:t xml:space="preserve"> programs</w:t>
      </w:r>
      <w:r w:rsidR="00130026" w:rsidRPr="003D3598">
        <w:rPr>
          <w:rFonts w:ascii="Times New Roman" w:hAnsi="Times New Roman" w:cs="Times New Roman"/>
        </w:rPr>
        <w:t xml:space="preserve"> when youth tend to be less focused on academic pursui</w:t>
      </w:r>
      <w:r w:rsidR="009D51A6" w:rsidRPr="003D3598">
        <w:rPr>
          <w:rFonts w:ascii="Times New Roman" w:hAnsi="Times New Roman" w:cs="Times New Roman"/>
        </w:rPr>
        <w:t xml:space="preserve">ts, the experience of challenge, </w:t>
      </w:r>
      <w:r w:rsidR="00130026" w:rsidRPr="003D3598">
        <w:rPr>
          <w:rFonts w:ascii="Times New Roman" w:hAnsi="Times New Roman" w:cs="Times New Roman"/>
        </w:rPr>
        <w:t>relevance</w:t>
      </w:r>
      <w:r w:rsidR="009D51A6" w:rsidRPr="003D3598">
        <w:rPr>
          <w:rFonts w:ascii="Times New Roman" w:hAnsi="Times New Roman" w:cs="Times New Roman"/>
        </w:rPr>
        <w:t>, and learning</w:t>
      </w:r>
      <w:r w:rsidR="00130026" w:rsidRPr="003D3598">
        <w:rPr>
          <w:rFonts w:ascii="Times New Roman" w:hAnsi="Times New Roman" w:cs="Times New Roman"/>
        </w:rPr>
        <w:t xml:space="preserve"> tends to</w:t>
      </w:r>
      <w:r w:rsidR="009D51A6" w:rsidRPr="003D3598">
        <w:rPr>
          <w:rFonts w:ascii="Times New Roman" w:hAnsi="Times New Roman" w:cs="Times New Roman"/>
        </w:rPr>
        <w:t xml:space="preserve"> engage youth, as indicated by a composite measure that included youth ratings of </w:t>
      </w:r>
      <w:r w:rsidR="00130026" w:rsidRPr="003D3598">
        <w:rPr>
          <w:rFonts w:ascii="Times New Roman" w:hAnsi="Times New Roman" w:cs="Times New Roman"/>
        </w:rPr>
        <w:t xml:space="preserve">interest, enjoyment, </w:t>
      </w:r>
      <w:r w:rsidR="00A93E74" w:rsidRPr="003D3598">
        <w:rPr>
          <w:rFonts w:ascii="Times New Roman" w:hAnsi="Times New Roman" w:cs="Times New Roman"/>
        </w:rPr>
        <w:t>concentration and an investment of hard work</w:t>
      </w:r>
      <w:r w:rsidR="009D51A6" w:rsidRPr="003D3598">
        <w:rPr>
          <w:rFonts w:ascii="Times New Roman" w:hAnsi="Times New Roman" w:cs="Times New Roman"/>
        </w:rPr>
        <w:t>.</w:t>
      </w:r>
      <w:r w:rsidR="00A93E74" w:rsidRPr="003D3598">
        <w:rPr>
          <w:rFonts w:ascii="Times New Roman" w:hAnsi="Times New Roman" w:cs="Times New Roman"/>
        </w:rPr>
        <w:t xml:space="preserve"> </w:t>
      </w:r>
    </w:p>
    <w:p w14:paraId="5848F4ED" w14:textId="5B845A83" w:rsidR="00E35F14" w:rsidRPr="003D3598" w:rsidRDefault="00E35F14" w:rsidP="00A73422">
      <w:pPr>
        <w:ind w:firstLine="720"/>
        <w:contextualSpacing/>
        <w:rPr>
          <w:rFonts w:ascii="Times New Roman" w:hAnsi="Times New Roman" w:cs="Times New Roman"/>
        </w:rPr>
      </w:pPr>
      <w:r>
        <w:rPr>
          <w:rFonts w:ascii="Times New Roman" w:hAnsi="Times New Roman" w:cs="Times New Roman"/>
        </w:rPr>
        <w:t xml:space="preserve">However, an examination of the magnitude of the coefficients and the calculated effect sizes </w:t>
      </w:r>
      <w:r w:rsidR="004B17EE">
        <w:rPr>
          <w:rFonts w:ascii="Times New Roman" w:hAnsi="Times New Roman" w:cs="Times New Roman"/>
        </w:rPr>
        <w:t xml:space="preserve">for perceived challenge, relevance and learning </w:t>
      </w:r>
      <w:r>
        <w:rPr>
          <w:rFonts w:ascii="Times New Roman" w:hAnsi="Times New Roman" w:cs="Times New Roman"/>
        </w:rPr>
        <w:t xml:space="preserve">suggests that certain of these conditions produce greater gains in engagement than others. Perceiving the activity one is doing as relevant was a more robust predictor of engagement than any other variable in the model, with a moderate effect size. The effect for perceived learning is only slightly smaller, but still would be characterized as moderate. In contrast, the effect of </w:t>
      </w:r>
      <w:proofErr w:type="spellStart"/>
      <w:r>
        <w:rPr>
          <w:rFonts w:ascii="Times New Roman" w:hAnsi="Times New Roman" w:cs="Times New Roman"/>
        </w:rPr>
        <w:t>perccieved</w:t>
      </w:r>
      <w:proofErr w:type="spellEnd"/>
      <w:r>
        <w:rPr>
          <w:rFonts w:ascii="Times New Roman" w:hAnsi="Times New Roman" w:cs="Times New Roman"/>
        </w:rPr>
        <w:t xml:space="preserve"> challenge should be understood as small, both in terms of absolute effect size and relative to the other situational variables examined.</w:t>
      </w:r>
      <w:r w:rsidR="004B17EE">
        <w:rPr>
          <w:rFonts w:ascii="Times New Roman" w:hAnsi="Times New Roman" w:cs="Times New Roman"/>
        </w:rPr>
        <w:t xml:space="preserve"> These results suggest that those interested in increasing youth engagement in summer STEM programs may see greater results by focusing efforts on highlighting activity relevance and making sure activities provide affordances for learning something new, rather than focusing on challenge per se.</w:t>
      </w:r>
    </w:p>
    <w:p w14:paraId="6EA49E2F" w14:textId="07738D57" w:rsidR="007C7BD4" w:rsidRPr="003D3598" w:rsidRDefault="007C7BD4" w:rsidP="00A73422">
      <w:pPr>
        <w:ind w:firstLine="720"/>
        <w:contextualSpacing/>
        <w:rPr>
          <w:rFonts w:ascii="Times New Roman" w:hAnsi="Times New Roman" w:cs="Times New Roman"/>
        </w:rPr>
      </w:pPr>
      <w:r w:rsidRPr="003D3598">
        <w:rPr>
          <w:rFonts w:ascii="Times New Roman" w:hAnsi="Times New Roman" w:cs="Times New Roman"/>
        </w:rPr>
        <w:t>Analyses of specific program activities provide some clues about what youth leaders can do to help students experience challenge, relevance, and learning in the context of summer STEM programs. Activities focused on creating products</w:t>
      </w:r>
      <w:r w:rsidR="00296A44">
        <w:rPr>
          <w:rFonts w:ascii="Times New Roman" w:hAnsi="Times New Roman" w:cs="Times New Roman"/>
        </w:rPr>
        <w:t>, and those emphasizing basic STEM skills</w:t>
      </w:r>
      <w:r w:rsidRPr="003D3598">
        <w:rPr>
          <w:rFonts w:ascii="Times New Roman" w:hAnsi="Times New Roman" w:cs="Times New Roman"/>
        </w:rPr>
        <w:t xml:space="preserve"> stand out</w:t>
      </w:r>
      <w:r w:rsidR="000A7BF6" w:rsidRPr="003D3598">
        <w:rPr>
          <w:rFonts w:ascii="Times New Roman" w:hAnsi="Times New Roman" w:cs="Times New Roman"/>
        </w:rPr>
        <w:t xml:space="preserve"> from other activities</w:t>
      </w:r>
      <w:r w:rsidRPr="003D3598">
        <w:rPr>
          <w:rFonts w:ascii="Times New Roman" w:hAnsi="Times New Roman" w:cs="Times New Roman"/>
        </w:rPr>
        <w:t xml:space="preserve"> as affording all three of these conditions and highlight the potential power of </w:t>
      </w:r>
      <w:r w:rsidR="00296A44">
        <w:rPr>
          <w:rFonts w:ascii="Times New Roman" w:hAnsi="Times New Roman" w:cs="Times New Roman"/>
        </w:rPr>
        <w:t xml:space="preserve">both </w:t>
      </w:r>
      <w:r w:rsidRPr="003D3598">
        <w:rPr>
          <w:rFonts w:ascii="Times New Roman" w:hAnsi="Times New Roman" w:cs="Times New Roman"/>
        </w:rPr>
        <w:t xml:space="preserve">active learning strategies </w:t>
      </w:r>
      <w:r w:rsidR="00296A44">
        <w:rPr>
          <w:rFonts w:ascii="Times New Roman" w:hAnsi="Times New Roman" w:cs="Times New Roman"/>
        </w:rPr>
        <w:t xml:space="preserve">and basic STEM content </w:t>
      </w:r>
      <w:r w:rsidRPr="003D3598">
        <w:rPr>
          <w:rFonts w:ascii="Times New Roman" w:hAnsi="Times New Roman" w:cs="Times New Roman"/>
        </w:rPr>
        <w:t xml:space="preserve">for summer programs. </w:t>
      </w:r>
    </w:p>
    <w:p w14:paraId="72FFF85E" w14:textId="3AFD2014" w:rsidR="00E94431" w:rsidRPr="003D3598" w:rsidRDefault="002444E0" w:rsidP="00A73422">
      <w:pPr>
        <w:contextualSpacing/>
        <w:rPr>
          <w:rFonts w:ascii="Times New Roman" w:hAnsi="Times New Roman" w:cs="Times New Roman"/>
          <w:b/>
        </w:rPr>
      </w:pPr>
      <w:r>
        <w:rPr>
          <w:rFonts w:ascii="Times New Roman" w:hAnsi="Times New Roman" w:cs="Times New Roman"/>
          <w:b/>
        </w:rPr>
        <w:t xml:space="preserve">Gender, Perceived </w:t>
      </w:r>
      <w:proofErr w:type="spellStart"/>
      <w:r>
        <w:rPr>
          <w:rFonts w:ascii="Times New Roman" w:hAnsi="Times New Roman" w:cs="Times New Roman"/>
          <w:b/>
        </w:rPr>
        <w:t>Comptence</w:t>
      </w:r>
      <w:proofErr w:type="spellEnd"/>
      <w:r>
        <w:rPr>
          <w:rFonts w:ascii="Times New Roman" w:hAnsi="Times New Roman" w:cs="Times New Roman"/>
          <w:b/>
        </w:rPr>
        <w:t>,</w:t>
      </w:r>
      <w:r w:rsidR="00E94431" w:rsidRPr="003D3598">
        <w:rPr>
          <w:rFonts w:ascii="Times New Roman" w:hAnsi="Times New Roman" w:cs="Times New Roman"/>
          <w:b/>
        </w:rPr>
        <w:t xml:space="preserve"> and Engagement </w:t>
      </w:r>
    </w:p>
    <w:p w14:paraId="238EB0BB" w14:textId="5492CB75" w:rsidR="00391968" w:rsidRPr="003D3598" w:rsidRDefault="00E94431" w:rsidP="00A73422">
      <w:pPr>
        <w:contextualSpacing/>
        <w:rPr>
          <w:rFonts w:ascii="Times New Roman" w:hAnsi="Times New Roman" w:cs="Times New Roman"/>
        </w:rPr>
      </w:pPr>
      <w:r w:rsidRPr="003D3598">
        <w:rPr>
          <w:rFonts w:ascii="Times New Roman" w:hAnsi="Times New Roman" w:cs="Times New Roman"/>
          <w:b/>
        </w:rPr>
        <w:tab/>
        <w:t>Gender</w:t>
      </w:r>
      <w:r w:rsidRPr="003D3598">
        <w:rPr>
          <w:rFonts w:ascii="Times New Roman" w:hAnsi="Times New Roman" w:cs="Times New Roman"/>
        </w:rPr>
        <w:t xml:space="preserve">. Male </w:t>
      </w:r>
      <w:r w:rsidR="003D2F34" w:rsidRPr="003D3598">
        <w:rPr>
          <w:rFonts w:ascii="Times New Roman" w:hAnsi="Times New Roman" w:cs="Times New Roman"/>
        </w:rPr>
        <w:t xml:space="preserve">and female youth appear to be differently responsive to the conditions of challenge and relevance in terms of its effects on engagement. Whereas male youth evidence </w:t>
      </w:r>
      <w:r w:rsidR="00B72642" w:rsidRPr="003D3598">
        <w:rPr>
          <w:rFonts w:ascii="Times New Roman" w:hAnsi="Times New Roman" w:cs="Times New Roman"/>
        </w:rPr>
        <w:t xml:space="preserve">modest but significant </w:t>
      </w:r>
      <w:r w:rsidR="001D638D" w:rsidRPr="003D3598">
        <w:rPr>
          <w:rFonts w:ascii="Times New Roman" w:hAnsi="Times New Roman" w:cs="Times New Roman"/>
        </w:rPr>
        <w:t>increase</w:t>
      </w:r>
      <w:r w:rsidR="00B72642" w:rsidRPr="003D3598">
        <w:rPr>
          <w:rFonts w:ascii="Times New Roman" w:hAnsi="Times New Roman" w:cs="Times New Roman"/>
        </w:rPr>
        <w:t>s in</w:t>
      </w:r>
      <w:r w:rsidR="003D2F34" w:rsidRPr="003D3598">
        <w:rPr>
          <w:rFonts w:ascii="Times New Roman" w:hAnsi="Times New Roman" w:cs="Times New Roman"/>
        </w:rPr>
        <w:t xml:space="preserve"> engagement when they perceive program activities to be challenging and relevant, the pattern for female youth is </w:t>
      </w:r>
      <w:r w:rsidR="001D638D" w:rsidRPr="003D3598">
        <w:rPr>
          <w:rFonts w:ascii="Times New Roman" w:hAnsi="Times New Roman" w:cs="Times New Roman"/>
        </w:rPr>
        <w:t>significantly</w:t>
      </w:r>
      <w:r w:rsidR="003D2F34" w:rsidRPr="003D3598">
        <w:rPr>
          <w:rFonts w:ascii="Times New Roman" w:hAnsi="Times New Roman" w:cs="Times New Roman"/>
        </w:rPr>
        <w:t xml:space="preserve"> different. </w:t>
      </w:r>
      <w:r w:rsidR="001D638D" w:rsidRPr="003D3598">
        <w:rPr>
          <w:rFonts w:ascii="Times New Roman" w:hAnsi="Times New Roman" w:cs="Times New Roman"/>
        </w:rPr>
        <w:t>Among female youth, mean levels of engagement remained relatively constant, regardless of how much challenge they perceived</w:t>
      </w:r>
      <w:r w:rsidR="00FC14CB" w:rsidRPr="003D3598">
        <w:rPr>
          <w:rFonts w:ascii="Times New Roman" w:hAnsi="Times New Roman" w:cs="Times New Roman"/>
        </w:rPr>
        <w:t xml:space="preserve">. </w:t>
      </w:r>
      <w:r w:rsidR="003D2F34" w:rsidRPr="003D3598">
        <w:rPr>
          <w:rFonts w:ascii="Times New Roman" w:hAnsi="Times New Roman" w:cs="Times New Roman"/>
        </w:rPr>
        <w:t xml:space="preserve">Similar results were obtained in a </w:t>
      </w:r>
      <w:r w:rsidR="00600164">
        <w:rPr>
          <w:rFonts w:ascii="Times New Roman" w:hAnsi="Times New Roman" w:cs="Times New Roman"/>
        </w:rPr>
        <w:t xml:space="preserve">classroom </w:t>
      </w:r>
      <w:r w:rsidR="003D2F34" w:rsidRPr="003D3598">
        <w:rPr>
          <w:rFonts w:ascii="Times New Roman" w:hAnsi="Times New Roman" w:cs="Times New Roman"/>
        </w:rPr>
        <w:t>study using nearly identical methods (</w:t>
      </w:r>
      <w:r w:rsidR="00821EE0">
        <w:rPr>
          <w:rFonts w:ascii="Times New Roman" w:hAnsi="Times New Roman" w:cs="Times New Roman"/>
        </w:rPr>
        <w:t>Authors</w:t>
      </w:r>
      <w:r w:rsidR="00242CCA" w:rsidRPr="003D3598">
        <w:rPr>
          <w:rFonts w:ascii="Times New Roman" w:hAnsi="Times New Roman" w:cs="Times New Roman"/>
        </w:rPr>
        <w:t xml:space="preserve">, 2017). The findings from the present study differ from the study conducted in traditional classrooms in that </w:t>
      </w:r>
      <w:r w:rsidR="00363868" w:rsidRPr="003D3598">
        <w:rPr>
          <w:rFonts w:ascii="Times New Roman" w:hAnsi="Times New Roman" w:cs="Times New Roman"/>
        </w:rPr>
        <w:t xml:space="preserve">on average, </w:t>
      </w:r>
      <w:r w:rsidR="003D2F34" w:rsidRPr="003D3598">
        <w:rPr>
          <w:rFonts w:ascii="Times New Roman" w:hAnsi="Times New Roman" w:cs="Times New Roman"/>
        </w:rPr>
        <w:t>girls perceive</w:t>
      </w:r>
      <w:r w:rsidR="00363868" w:rsidRPr="003D3598">
        <w:rPr>
          <w:rFonts w:ascii="Times New Roman" w:hAnsi="Times New Roman" w:cs="Times New Roman"/>
        </w:rPr>
        <w:t>d</w:t>
      </w:r>
      <w:r w:rsidR="003D2F34" w:rsidRPr="003D3598">
        <w:rPr>
          <w:rFonts w:ascii="Times New Roman" w:hAnsi="Times New Roman" w:cs="Times New Roman"/>
        </w:rPr>
        <w:t xml:space="preserve"> </w:t>
      </w:r>
      <w:r w:rsidR="00391968" w:rsidRPr="003D3598">
        <w:rPr>
          <w:rFonts w:ascii="Times New Roman" w:hAnsi="Times New Roman" w:cs="Times New Roman"/>
        </w:rPr>
        <w:t xml:space="preserve">the informal summer </w:t>
      </w:r>
      <w:r w:rsidR="003D2F34" w:rsidRPr="003D3598">
        <w:rPr>
          <w:rFonts w:ascii="Times New Roman" w:hAnsi="Times New Roman" w:cs="Times New Roman"/>
        </w:rPr>
        <w:t xml:space="preserve">program activities </w:t>
      </w:r>
      <w:r w:rsidR="00363868" w:rsidRPr="003D3598">
        <w:rPr>
          <w:rFonts w:ascii="Times New Roman" w:hAnsi="Times New Roman" w:cs="Times New Roman"/>
        </w:rPr>
        <w:t xml:space="preserve">to be </w:t>
      </w:r>
      <w:r w:rsidR="003D2F34" w:rsidRPr="003D3598">
        <w:rPr>
          <w:rFonts w:ascii="Times New Roman" w:hAnsi="Times New Roman" w:cs="Times New Roman"/>
        </w:rPr>
        <w:t>less challenging than boy</w:t>
      </w:r>
      <w:r w:rsidR="00AF78B7" w:rsidRPr="003D3598">
        <w:rPr>
          <w:rFonts w:ascii="Times New Roman" w:hAnsi="Times New Roman" w:cs="Times New Roman"/>
        </w:rPr>
        <w:t xml:space="preserve">s, </w:t>
      </w:r>
      <w:r w:rsidR="009D51A6" w:rsidRPr="003D3598">
        <w:rPr>
          <w:rFonts w:ascii="Times New Roman" w:hAnsi="Times New Roman" w:cs="Times New Roman"/>
        </w:rPr>
        <w:t>whereas</w:t>
      </w:r>
      <w:r w:rsidR="00242CCA" w:rsidRPr="003D3598">
        <w:rPr>
          <w:rFonts w:ascii="Times New Roman" w:hAnsi="Times New Roman" w:cs="Times New Roman"/>
        </w:rPr>
        <w:t xml:space="preserve"> </w:t>
      </w:r>
      <w:r w:rsidR="009D51A6" w:rsidRPr="003D3598">
        <w:rPr>
          <w:rFonts w:ascii="Times New Roman" w:hAnsi="Times New Roman" w:cs="Times New Roman"/>
        </w:rPr>
        <w:t xml:space="preserve">no </w:t>
      </w:r>
      <w:r w:rsidR="00A93E74" w:rsidRPr="003D3598">
        <w:rPr>
          <w:rFonts w:ascii="Times New Roman" w:hAnsi="Times New Roman" w:cs="Times New Roman"/>
        </w:rPr>
        <w:t xml:space="preserve">gender </w:t>
      </w:r>
      <w:r w:rsidR="00242CCA" w:rsidRPr="003D3598">
        <w:rPr>
          <w:rFonts w:ascii="Times New Roman" w:hAnsi="Times New Roman" w:cs="Times New Roman"/>
        </w:rPr>
        <w:t>differences</w:t>
      </w:r>
      <w:r w:rsidR="00A93E74" w:rsidRPr="003D3598">
        <w:rPr>
          <w:rFonts w:ascii="Times New Roman" w:hAnsi="Times New Roman" w:cs="Times New Roman"/>
        </w:rPr>
        <w:t xml:space="preserve"> in </w:t>
      </w:r>
      <w:r w:rsidR="009D51A6" w:rsidRPr="003D3598">
        <w:rPr>
          <w:rFonts w:ascii="Times New Roman" w:hAnsi="Times New Roman" w:cs="Times New Roman"/>
        </w:rPr>
        <w:t xml:space="preserve">mean levels of </w:t>
      </w:r>
      <w:r w:rsidR="00A93E74" w:rsidRPr="003D3598">
        <w:rPr>
          <w:rFonts w:ascii="Times New Roman" w:hAnsi="Times New Roman" w:cs="Times New Roman"/>
        </w:rPr>
        <w:t>perceived challenge</w:t>
      </w:r>
      <w:r w:rsidR="00242CCA" w:rsidRPr="003D3598">
        <w:rPr>
          <w:rFonts w:ascii="Times New Roman" w:hAnsi="Times New Roman" w:cs="Times New Roman"/>
        </w:rPr>
        <w:t xml:space="preserve"> were</w:t>
      </w:r>
      <w:r w:rsidR="009D51A6" w:rsidRPr="003D3598">
        <w:rPr>
          <w:rFonts w:ascii="Times New Roman" w:hAnsi="Times New Roman" w:cs="Times New Roman"/>
        </w:rPr>
        <w:t xml:space="preserve"> observed in science classrooms</w:t>
      </w:r>
      <w:r w:rsidR="003D2F34" w:rsidRPr="003D3598">
        <w:rPr>
          <w:rFonts w:ascii="Times New Roman" w:hAnsi="Times New Roman" w:cs="Times New Roman"/>
        </w:rPr>
        <w:t xml:space="preserve">. </w:t>
      </w:r>
    </w:p>
    <w:p w14:paraId="61EAB909" w14:textId="7D8825AD" w:rsidR="00FC273F" w:rsidRPr="003D3598" w:rsidRDefault="000E713E" w:rsidP="00A73422">
      <w:pPr>
        <w:ind w:firstLine="720"/>
        <w:contextualSpacing/>
        <w:rPr>
          <w:rFonts w:ascii="Times New Roman" w:hAnsi="Times New Roman" w:cs="Times New Roman"/>
        </w:rPr>
      </w:pPr>
      <w:r>
        <w:rPr>
          <w:rFonts w:ascii="Times New Roman" w:hAnsi="Times New Roman" w:cs="Times New Roman"/>
        </w:rPr>
        <w:t xml:space="preserve">While this intriguing combination of gender differences related to challenge </w:t>
      </w:r>
      <w:proofErr w:type="spellStart"/>
      <w:r>
        <w:rPr>
          <w:rFonts w:ascii="Times New Roman" w:hAnsi="Times New Roman" w:cs="Times New Roman"/>
        </w:rPr>
        <w:t>mertis</w:t>
      </w:r>
      <w:proofErr w:type="spellEnd"/>
      <w:r>
        <w:rPr>
          <w:rFonts w:ascii="Times New Roman" w:hAnsi="Times New Roman" w:cs="Times New Roman"/>
        </w:rPr>
        <w:t xml:space="preserve"> discussion and further examination, we wish to remind the reader that the association between challenge and engagement was small in absolute terms and relative to the associations observed for relevance, so we are discussing gender differences in a relatively small effect. </w:t>
      </w:r>
      <w:r w:rsidR="009D51A6" w:rsidRPr="003D3598">
        <w:rPr>
          <w:rFonts w:ascii="Times New Roman" w:hAnsi="Times New Roman" w:cs="Times New Roman"/>
        </w:rPr>
        <w:t>The combination of</w:t>
      </w:r>
      <w:r w:rsidR="00242CCA" w:rsidRPr="003D3598">
        <w:rPr>
          <w:rFonts w:ascii="Times New Roman" w:hAnsi="Times New Roman" w:cs="Times New Roman"/>
        </w:rPr>
        <w:t xml:space="preserve"> </w:t>
      </w:r>
      <w:r w:rsidR="00A93E74" w:rsidRPr="003D3598">
        <w:rPr>
          <w:rFonts w:ascii="Times New Roman" w:hAnsi="Times New Roman" w:cs="Times New Roman"/>
        </w:rPr>
        <w:t xml:space="preserve">gender </w:t>
      </w:r>
      <w:r w:rsidR="00242CCA" w:rsidRPr="003D3598">
        <w:rPr>
          <w:rFonts w:ascii="Times New Roman" w:hAnsi="Times New Roman" w:cs="Times New Roman"/>
        </w:rPr>
        <w:t xml:space="preserve">differences </w:t>
      </w:r>
      <w:r w:rsidR="00A93E74" w:rsidRPr="003D3598">
        <w:rPr>
          <w:rFonts w:ascii="Times New Roman" w:hAnsi="Times New Roman" w:cs="Times New Roman"/>
        </w:rPr>
        <w:t xml:space="preserve">in </w:t>
      </w:r>
      <w:r w:rsidR="009D51A6" w:rsidRPr="003D3598">
        <w:rPr>
          <w:rFonts w:ascii="Times New Roman" w:hAnsi="Times New Roman" w:cs="Times New Roman"/>
        </w:rPr>
        <w:t xml:space="preserve">mean-level </w:t>
      </w:r>
      <w:r w:rsidR="00A93E74" w:rsidRPr="003D3598">
        <w:rPr>
          <w:rFonts w:ascii="Times New Roman" w:hAnsi="Times New Roman" w:cs="Times New Roman"/>
        </w:rPr>
        <w:t xml:space="preserve">challenge </w:t>
      </w:r>
      <w:r w:rsidR="00242CCA" w:rsidRPr="003D3598">
        <w:rPr>
          <w:rFonts w:ascii="Times New Roman" w:hAnsi="Times New Roman" w:cs="Times New Roman"/>
        </w:rPr>
        <w:t xml:space="preserve">and </w:t>
      </w:r>
      <w:r w:rsidR="00A93E74" w:rsidRPr="003D3598">
        <w:rPr>
          <w:rFonts w:ascii="Times New Roman" w:hAnsi="Times New Roman" w:cs="Times New Roman"/>
        </w:rPr>
        <w:t>gender-</w:t>
      </w:r>
      <w:r w:rsidR="00242CCA" w:rsidRPr="003D3598">
        <w:rPr>
          <w:rFonts w:ascii="Times New Roman" w:hAnsi="Times New Roman" w:cs="Times New Roman"/>
        </w:rPr>
        <w:t xml:space="preserve">different associations </w:t>
      </w:r>
      <w:r w:rsidR="00A93E74" w:rsidRPr="003D3598">
        <w:rPr>
          <w:rFonts w:ascii="Times New Roman" w:hAnsi="Times New Roman" w:cs="Times New Roman"/>
        </w:rPr>
        <w:t>between challenge</w:t>
      </w:r>
      <w:r w:rsidR="00242CCA" w:rsidRPr="003D3598">
        <w:rPr>
          <w:rFonts w:ascii="Times New Roman" w:hAnsi="Times New Roman" w:cs="Times New Roman"/>
        </w:rPr>
        <w:t xml:space="preserve"> </w:t>
      </w:r>
      <w:r w:rsidR="00DA77F7" w:rsidRPr="003D3598">
        <w:rPr>
          <w:rFonts w:ascii="Times New Roman" w:hAnsi="Times New Roman" w:cs="Times New Roman"/>
        </w:rPr>
        <w:t xml:space="preserve">and </w:t>
      </w:r>
      <w:r w:rsidR="00242CCA" w:rsidRPr="003D3598">
        <w:rPr>
          <w:rFonts w:ascii="Times New Roman" w:hAnsi="Times New Roman" w:cs="Times New Roman"/>
        </w:rPr>
        <w:t xml:space="preserve">engagement </w:t>
      </w:r>
      <w:r w:rsidR="00A93E74" w:rsidRPr="003D3598">
        <w:rPr>
          <w:rFonts w:ascii="Times New Roman" w:hAnsi="Times New Roman" w:cs="Times New Roman"/>
        </w:rPr>
        <w:t xml:space="preserve">might be explained in </w:t>
      </w:r>
      <w:r w:rsidR="00482C2C" w:rsidRPr="003D3598">
        <w:rPr>
          <w:rFonts w:ascii="Times New Roman" w:hAnsi="Times New Roman" w:cs="Times New Roman"/>
        </w:rPr>
        <w:t xml:space="preserve">at least </w:t>
      </w:r>
      <w:r w:rsidR="00A93E74" w:rsidRPr="003D3598">
        <w:rPr>
          <w:rFonts w:ascii="Times New Roman" w:hAnsi="Times New Roman" w:cs="Times New Roman"/>
        </w:rPr>
        <w:t>two different ways</w:t>
      </w:r>
      <w:r w:rsidR="003D2F34" w:rsidRPr="003D3598">
        <w:rPr>
          <w:rFonts w:ascii="Times New Roman" w:hAnsi="Times New Roman" w:cs="Times New Roman"/>
        </w:rPr>
        <w:t xml:space="preserve">, and </w:t>
      </w:r>
      <w:r w:rsidR="00A93E74" w:rsidRPr="003D3598">
        <w:rPr>
          <w:rFonts w:ascii="Times New Roman" w:hAnsi="Times New Roman" w:cs="Times New Roman"/>
        </w:rPr>
        <w:t xml:space="preserve">unfortunately </w:t>
      </w:r>
      <w:r w:rsidR="003D2F34" w:rsidRPr="003D3598">
        <w:rPr>
          <w:rFonts w:ascii="Times New Roman" w:hAnsi="Times New Roman" w:cs="Times New Roman"/>
        </w:rPr>
        <w:t>our data do</w:t>
      </w:r>
      <w:r w:rsidR="000D6AD2" w:rsidRPr="003D3598">
        <w:rPr>
          <w:rFonts w:ascii="Times New Roman" w:hAnsi="Times New Roman" w:cs="Times New Roman"/>
        </w:rPr>
        <w:t xml:space="preserve"> not</w:t>
      </w:r>
      <w:r w:rsidR="003D2F34" w:rsidRPr="003D3598">
        <w:rPr>
          <w:rFonts w:ascii="Times New Roman" w:hAnsi="Times New Roman" w:cs="Times New Roman"/>
        </w:rPr>
        <w:t xml:space="preserve"> afford us the opportunity to </w:t>
      </w:r>
      <w:r w:rsidR="00A93E74" w:rsidRPr="003D3598">
        <w:rPr>
          <w:rFonts w:ascii="Times New Roman" w:hAnsi="Times New Roman" w:cs="Times New Roman"/>
        </w:rPr>
        <w:t>test these alternative explanations</w:t>
      </w:r>
      <w:r w:rsidR="003D2F34" w:rsidRPr="003D3598">
        <w:rPr>
          <w:rFonts w:ascii="Times New Roman" w:hAnsi="Times New Roman" w:cs="Times New Roman"/>
        </w:rPr>
        <w:t xml:space="preserve">. The </w:t>
      </w:r>
      <w:r w:rsidR="003D2F34" w:rsidRPr="003D3598">
        <w:rPr>
          <w:rFonts w:ascii="Times New Roman" w:hAnsi="Times New Roman" w:cs="Times New Roman"/>
        </w:rPr>
        <w:lastRenderedPageBreak/>
        <w:t>first possibility is that</w:t>
      </w:r>
      <w:r w:rsidR="00567605">
        <w:rPr>
          <w:rFonts w:ascii="Times New Roman" w:hAnsi="Times New Roman" w:cs="Times New Roman"/>
        </w:rPr>
        <w:t xml:space="preserve"> – in</w:t>
      </w:r>
      <w:r w:rsidR="00DA77F7" w:rsidRPr="003D3598">
        <w:rPr>
          <w:rFonts w:ascii="Times New Roman" w:hAnsi="Times New Roman" w:cs="Times New Roman"/>
        </w:rPr>
        <w:t xml:space="preserve"> STEM areas at least</w:t>
      </w:r>
      <w:r w:rsidR="00567605">
        <w:rPr>
          <w:rFonts w:ascii="Times New Roman" w:hAnsi="Times New Roman" w:cs="Times New Roman"/>
        </w:rPr>
        <w:t xml:space="preserve"> – girls</w:t>
      </w:r>
      <w:r w:rsidR="003D2F34" w:rsidRPr="003D3598">
        <w:rPr>
          <w:rFonts w:ascii="Times New Roman" w:hAnsi="Times New Roman" w:cs="Times New Roman"/>
        </w:rPr>
        <w:t xml:space="preserve"> </w:t>
      </w:r>
      <w:r w:rsidR="00482C2C" w:rsidRPr="003D3598">
        <w:rPr>
          <w:rFonts w:ascii="Times New Roman" w:hAnsi="Times New Roman" w:cs="Times New Roman"/>
        </w:rPr>
        <w:t xml:space="preserve">may </w:t>
      </w:r>
      <w:r w:rsidR="003D2F34" w:rsidRPr="003D3598">
        <w:rPr>
          <w:rFonts w:ascii="Times New Roman" w:hAnsi="Times New Roman" w:cs="Times New Roman"/>
        </w:rPr>
        <w:t>feel more threatened by challenge than boys</w:t>
      </w:r>
      <w:r w:rsidR="00567605">
        <w:rPr>
          <w:rFonts w:ascii="Times New Roman" w:hAnsi="Times New Roman" w:cs="Times New Roman"/>
        </w:rPr>
        <w:t>,</w:t>
      </w:r>
      <w:r w:rsidR="00A93E74" w:rsidRPr="003D3598">
        <w:rPr>
          <w:rFonts w:ascii="Times New Roman" w:hAnsi="Times New Roman" w:cs="Times New Roman"/>
        </w:rPr>
        <w:t xml:space="preserve"> </w:t>
      </w:r>
      <w:r w:rsidR="003D2F34" w:rsidRPr="003D3598">
        <w:rPr>
          <w:rFonts w:ascii="Times New Roman" w:hAnsi="Times New Roman" w:cs="Times New Roman"/>
        </w:rPr>
        <w:t xml:space="preserve">and </w:t>
      </w:r>
      <w:r w:rsidR="009D51A6" w:rsidRPr="003D3598">
        <w:rPr>
          <w:rFonts w:ascii="Times New Roman" w:hAnsi="Times New Roman" w:cs="Times New Roman"/>
        </w:rPr>
        <w:t xml:space="preserve">as a result </w:t>
      </w:r>
      <w:r w:rsidR="003D2F34" w:rsidRPr="003D3598">
        <w:rPr>
          <w:rFonts w:ascii="Times New Roman" w:hAnsi="Times New Roman" w:cs="Times New Roman"/>
        </w:rPr>
        <w:t xml:space="preserve">choose not to engage </w:t>
      </w:r>
      <w:r w:rsidR="009D51A6" w:rsidRPr="003D3598">
        <w:rPr>
          <w:rFonts w:ascii="Times New Roman" w:hAnsi="Times New Roman" w:cs="Times New Roman"/>
        </w:rPr>
        <w:t>as deeply in STEM-related activities</w:t>
      </w:r>
      <w:r w:rsidR="00363868" w:rsidRPr="003D3598">
        <w:rPr>
          <w:rFonts w:ascii="Times New Roman" w:hAnsi="Times New Roman" w:cs="Times New Roman"/>
        </w:rPr>
        <w:t xml:space="preserve"> when they become more challenging</w:t>
      </w:r>
      <w:r w:rsidR="00CA7E3D" w:rsidRPr="003D3598">
        <w:rPr>
          <w:rFonts w:ascii="Times New Roman" w:hAnsi="Times New Roman" w:cs="Times New Roman"/>
        </w:rPr>
        <w:t xml:space="preserve"> (see </w:t>
      </w:r>
      <w:r w:rsidR="00821EE0">
        <w:rPr>
          <w:rFonts w:ascii="Times New Roman" w:hAnsi="Times New Roman" w:cs="Times New Roman"/>
        </w:rPr>
        <w:t>Authors</w:t>
      </w:r>
      <w:r w:rsidR="00CA7E3D" w:rsidRPr="003D3598">
        <w:rPr>
          <w:rFonts w:ascii="Times New Roman" w:hAnsi="Times New Roman" w:cs="Times New Roman"/>
        </w:rPr>
        <w:t>, 2017 for a discussion of this possibility in the context of science classrooms)</w:t>
      </w:r>
      <w:r w:rsidR="003D2F34" w:rsidRPr="003D3598">
        <w:rPr>
          <w:rFonts w:ascii="Times New Roman" w:hAnsi="Times New Roman" w:cs="Times New Roman"/>
        </w:rPr>
        <w:t>. The second</w:t>
      </w:r>
      <w:r w:rsidR="00CA7E3D" w:rsidRPr="003D3598">
        <w:rPr>
          <w:rFonts w:ascii="Times New Roman" w:hAnsi="Times New Roman" w:cs="Times New Roman"/>
        </w:rPr>
        <w:t xml:space="preserve"> possible explanation</w:t>
      </w:r>
      <w:r w:rsidR="003D2F34" w:rsidRPr="003D3598">
        <w:rPr>
          <w:rFonts w:ascii="Times New Roman" w:hAnsi="Times New Roman" w:cs="Times New Roman"/>
        </w:rPr>
        <w:t xml:space="preserve"> is that there is some </w:t>
      </w:r>
      <w:r w:rsidR="00CA7E3D" w:rsidRPr="003D3598">
        <w:rPr>
          <w:rFonts w:ascii="Times New Roman" w:hAnsi="Times New Roman" w:cs="Times New Roman"/>
        </w:rPr>
        <w:t xml:space="preserve">level of challenge that serves as a </w:t>
      </w:r>
      <w:r w:rsidR="003D2F34" w:rsidRPr="003D3598">
        <w:rPr>
          <w:rFonts w:ascii="Times New Roman" w:hAnsi="Times New Roman" w:cs="Times New Roman"/>
        </w:rPr>
        <w:t xml:space="preserve">critical threshold </w:t>
      </w:r>
      <w:r w:rsidR="00CA7E3D" w:rsidRPr="003D3598">
        <w:rPr>
          <w:rFonts w:ascii="Times New Roman" w:hAnsi="Times New Roman" w:cs="Times New Roman"/>
        </w:rPr>
        <w:t xml:space="preserve">beyond which </w:t>
      </w:r>
      <w:r w:rsidR="003D2F34" w:rsidRPr="003D3598">
        <w:rPr>
          <w:rFonts w:ascii="Times New Roman" w:hAnsi="Times New Roman" w:cs="Times New Roman"/>
        </w:rPr>
        <w:t>engagement</w:t>
      </w:r>
      <w:r w:rsidR="00CA7E3D" w:rsidRPr="003D3598">
        <w:rPr>
          <w:rFonts w:ascii="Times New Roman" w:hAnsi="Times New Roman" w:cs="Times New Roman"/>
        </w:rPr>
        <w:t xml:space="preserve"> is triggered,</w:t>
      </w:r>
      <w:r w:rsidR="003D2F34" w:rsidRPr="003D3598">
        <w:rPr>
          <w:rFonts w:ascii="Times New Roman" w:hAnsi="Times New Roman" w:cs="Times New Roman"/>
        </w:rPr>
        <w:t xml:space="preserve"> and girls </w:t>
      </w:r>
      <w:r w:rsidR="00567605">
        <w:rPr>
          <w:rFonts w:ascii="Times New Roman" w:hAnsi="Times New Roman" w:cs="Times New Roman"/>
        </w:rPr>
        <w:t>simply may not be</w:t>
      </w:r>
      <w:r w:rsidR="003D2F34" w:rsidRPr="003D3598">
        <w:rPr>
          <w:rFonts w:ascii="Times New Roman" w:hAnsi="Times New Roman" w:cs="Times New Roman"/>
        </w:rPr>
        <w:t xml:space="preserve"> reaching it in these programs</w:t>
      </w:r>
      <w:r w:rsidR="00DA77F7" w:rsidRPr="003D3598">
        <w:rPr>
          <w:rFonts w:ascii="Times New Roman" w:hAnsi="Times New Roman" w:cs="Times New Roman"/>
        </w:rPr>
        <w:t xml:space="preserve"> (i.e., they are not being challenged enough to </w:t>
      </w:r>
      <w:r w:rsidR="00363868" w:rsidRPr="003D3598">
        <w:rPr>
          <w:rFonts w:ascii="Times New Roman" w:hAnsi="Times New Roman" w:cs="Times New Roman"/>
        </w:rPr>
        <w:t>trigger heightened</w:t>
      </w:r>
      <w:r w:rsidR="00FC14CB" w:rsidRPr="003D3598">
        <w:rPr>
          <w:rFonts w:ascii="Times New Roman" w:hAnsi="Times New Roman" w:cs="Times New Roman"/>
        </w:rPr>
        <w:t xml:space="preserve"> </w:t>
      </w:r>
      <w:r w:rsidR="00DA77F7" w:rsidRPr="003D3598">
        <w:rPr>
          <w:rFonts w:ascii="Times New Roman" w:hAnsi="Times New Roman" w:cs="Times New Roman"/>
        </w:rPr>
        <w:t>engage</w:t>
      </w:r>
      <w:r w:rsidR="00363868" w:rsidRPr="003D3598">
        <w:rPr>
          <w:rFonts w:ascii="Times New Roman" w:hAnsi="Times New Roman" w:cs="Times New Roman"/>
        </w:rPr>
        <w:t>ment</w:t>
      </w:r>
      <w:r w:rsidR="00DA77F7" w:rsidRPr="003D3598">
        <w:rPr>
          <w:rFonts w:ascii="Times New Roman" w:hAnsi="Times New Roman" w:cs="Times New Roman"/>
        </w:rPr>
        <w:t>)</w:t>
      </w:r>
      <w:r w:rsidR="003D2F34" w:rsidRPr="003D3598">
        <w:rPr>
          <w:rFonts w:ascii="Times New Roman" w:hAnsi="Times New Roman" w:cs="Times New Roman"/>
        </w:rPr>
        <w:t>.</w:t>
      </w:r>
      <w:r w:rsidR="00CA7E3D" w:rsidRPr="003D3598">
        <w:rPr>
          <w:rFonts w:ascii="Times New Roman" w:hAnsi="Times New Roman" w:cs="Times New Roman"/>
        </w:rPr>
        <w:t xml:space="preserve"> </w:t>
      </w:r>
      <w:r w:rsidR="00FC14CB" w:rsidRPr="003D3598">
        <w:rPr>
          <w:rFonts w:ascii="Times New Roman" w:hAnsi="Times New Roman" w:cs="Times New Roman"/>
        </w:rPr>
        <w:t>This</w:t>
      </w:r>
      <w:r w:rsidR="00CA7E3D" w:rsidRPr="003D3598">
        <w:rPr>
          <w:rFonts w:ascii="Times New Roman" w:hAnsi="Times New Roman" w:cs="Times New Roman"/>
        </w:rPr>
        <w:t xml:space="preserve"> explanation is consistent with Emergent Motivation Theory (Csikszentmihalyi, 1990), which posits that a certain degree of perceived challenge is a necessary precondition for deep engagement.</w:t>
      </w:r>
      <w:r w:rsidR="00482C2C" w:rsidRPr="003D3598">
        <w:rPr>
          <w:rFonts w:ascii="Times New Roman" w:hAnsi="Times New Roman" w:cs="Times New Roman"/>
        </w:rPr>
        <w:t xml:space="preserve"> </w:t>
      </w:r>
      <w:r w:rsidR="003D2F34" w:rsidRPr="003D3598">
        <w:rPr>
          <w:rFonts w:ascii="Times New Roman" w:hAnsi="Times New Roman" w:cs="Times New Roman"/>
        </w:rPr>
        <w:t xml:space="preserve">These two explanations for </w:t>
      </w:r>
      <w:r w:rsidR="00CA7E3D" w:rsidRPr="003D3598">
        <w:rPr>
          <w:rFonts w:ascii="Times New Roman" w:hAnsi="Times New Roman" w:cs="Times New Roman"/>
        </w:rPr>
        <w:t xml:space="preserve">the observed gender differences </w:t>
      </w:r>
      <w:r w:rsidR="003D2F34" w:rsidRPr="003D3598">
        <w:rPr>
          <w:rFonts w:ascii="Times New Roman" w:hAnsi="Times New Roman" w:cs="Times New Roman"/>
        </w:rPr>
        <w:t xml:space="preserve">suggest two very different </w:t>
      </w:r>
      <w:r w:rsidR="000853E2" w:rsidRPr="003D3598">
        <w:rPr>
          <w:rFonts w:ascii="Times New Roman" w:hAnsi="Times New Roman" w:cs="Times New Roman"/>
        </w:rPr>
        <w:t xml:space="preserve">possibilities </w:t>
      </w:r>
      <w:r w:rsidR="003D2F34" w:rsidRPr="003D3598">
        <w:rPr>
          <w:rFonts w:ascii="Times New Roman" w:hAnsi="Times New Roman" w:cs="Times New Roman"/>
        </w:rPr>
        <w:t>in terms of understanding gendered pathways in STEM areas and the resulting implications for practice. This is an area for future research.</w:t>
      </w:r>
      <w:r w:rsidR="00E0595C" w:rsidRPr="003D3598">
        <w:rPr>
          <w:rFonts w:ascii="Times New Roman" w:hAnsi="Times New Roman" w:cs="Times New Roman"/>
        </w:rPr>
        <w:t xml:space="preserve"> </w:t>
      </w:r>
    </w:p>
    <w:p w14:paraId="2002C9CC" w14:textId="2A0A65C6" w:rsidR="00F9245D" w:rsidRPr="003D3598" w:rsidRDefault="00F9245D" w:rsidP="00A73422">
      <w:pPr>
        <w:ind w:firstLine="720"/>
        <w:contextualSpacing/>
        <w:rPr>
          <w:rFonts w:ascii="Times New Roman" w:hAnsi="Times New Roman" w:cs="Times New Roman"/>
        </w:rPr>
      </w:pPr>
      <w:r w:rsidRPr="003D3598">
        <w:rPr>
          <w:rFonts w:ascii="Times New Roman" w:hAnsi="Times New Roman" w:cs="Times New Roman"/>
        </w:rPr>
        <w:t xml:space="preserve">While both of the above explanations may explain gender differences in the relation between challenge and engagement, neither provides any insight into why girls may be less challenged than boys. These mean-level differences may reflect gender differences in academic achievement in STEM disciplines during the adolescent years. For example, research indicates that girls tend to earn higher course grades in mathematics than boys (American Association of University Women, 2008; </w:t>
      </w:r>
      <w:proofErr w:type="spellStart"/>
      <w:r w:rsidRPr="003D3598">
        <w:rPr>
          <w:rFonts w:ascii="Times New Roman" w:hAnsi="Times New Roman" w:cs="Times New Roman"/>
        </w:rPr>
        <w:t>Voyer</w:t>
      </w:r>
      <w:proofErr w:type="spellEnd"/>
      <w:r w:rsidRPr="003D3598">
        <w:rPr>
          <w:rFonts w:ascii="Times New Roman" w:hAnsi="Times New Roman" w:cs="Times New Roman"/>
        </w:rPr>
        <w:t xml:space="preserve"> and </w:t>
      </w:r>
      <w:proofErr w:type="spellStart"/>
      <w:r w:rsidRPr="003D3598">
        <w:rPr>
          <w:rFonts w:ascii="Times New Roman" w:hAnsi="Times New Roman" w:cs="Times New Roman"/>
        </w:rPr>
        <w:t>Voyer</w:t>
      </w:r>
      <w:proofErr w:type="spellEnd"/>
      <w:r w:rsidRPr="003D3598">
        <w:rPr>
          <w:rFonts w:ascii="Times New Roman" w:hAnsi="Times New Roman" w:cs="Times New Roman"/>
        </w:rPr>
        <w:t xml:space="preserve">, 2014). </w:t>
      </w:r>
      <w:r w:rsidR="00800146" w:rsidRPr="003D3598">
        <w:rPr>
          <w:rFonts w:ascii="Times New Roman" w:hAnsi="Times New Roman" w:cs="Times New Roman"/>
        </w:rPr>
        <w:t>While these trends are not necessarily indicative of any gender-related differences in ability, it might suggest that girls are generally more equipped or motivated to take on school-related tasks in ways that result in higher grades. Girls may similarly feel more equipped to take on STEM-related activities in summer programs</w:t>
      </w:r>
      <w:r w:rsidR="003C1BDE">
        <w:rPr>
          <w:rFonts w:ascii="Times New Roman" w:hAnsi="Times New Roman" w:cs="Times New Roman"/>
        </w:rPr>
        <w:t>,</w:t>
      </w:r>
      <w:r w:rsidR="00800146" w:rsidRPr="003D3598">
        <w:rPr>
          <w:rFonts w:ascii="Times New Roman" w:hAnsi="Times New Roman" w:cs="Times New Roman"/>
        </w:rPr>
        <w:t xml:space="preserve"> and thus may find those activities to be less challenging. Alternatively, if girls see STEM activities as less relevant than boys do (see discussion below), thinking about whether those (potentially less valuable) activities are challenging or not may not be a salient concern.</w:t>
      </w:r>
      <w:r w:rsidR="00BF7964">
        <w:rPr>
          <w:rFonts w:ascii="Times New Roman" w:hAnsi="Times New Roman" w:cs="Times New Roman"/>
        </w:rPr>
        <w:t xml:space="preserve"> A final possibility is that</w:t>
      </w:r>
    </w:p>
    <w:p w14:paraId="2214DA81" w14:textId="5190D631" w:rsidR="00242CCA" w:rsidRPr="00026666" w:rsidRDefault="00FC14CB" w:rsidP="00A73422">
      <w:pPr>
        <w:ind w:firstLine="720"/>
        <w:contextualSpacing/>
        <w:rPr>
          <w:rFonts w:ascii="Times New Roman" w:hAnsi="Times New Roman" w:cs="Times New Roman"/>
        </w:rPr>
      </w:pPr>
      <w:r w:rsidRPr="003D3598">
        <w:rPr>
          <w:rFonts w:ascii="Times New Roman" w:hAnsi="Times New Roman" w:cs="Times New Roman"/>
        </w:rPr>
        <w:t xml:space="preserve">As was </w:t>
      </w:r>
      <w:r w:rsidR="00827661" w:rsidRPr="003D3598">
        <w:rPr>
          <w:rFonts w:ascii="Times New Roman" w:hAnsi="Times New Roman" w:cs="Times New Roman"/>
        </w:rPr>
        <w:t xml:space="preserve">the case </w:t>
      </w:r>
      <w:r w:rsidRPr="003D3598">
        <w:rPr>
          <w:rFonts w:ascii="Times New Roman" w:hAnsi="Times New Roman" w:cs="Times New Roman"/>
        </w:rPr>
        <w:t>for challenge,</w:t>
      </w:r>
      <w:r w:rsidR="00242CCA" w:rsidRPr="003D3598">
        <w:rPr>
          <w:rFonts w:ascii="Times New Roman" w:hAnsi="Times New Roman" w:cs="Times New Roman"/>
        </w:rPr>
        <w:t xml:space="preserve"> not only do </w:t>
      </w:r>
      <w:r w:rsidR="00DA77F7" w:rsidRPr="003D3598">
        <w:rPr>
          <w:rFonts w:ascii="Times New Roman" w:hAnsi="Times New Roman" w:cs="Times New Roman"/>
        </w:rPr>
        <w:t>girls</w:t>
      </w:r>
      <w:r w:rsidR="00242CCA" w:rsidRPr="003D3598">
        <w:rPr>
          <w:rFonts w:ascii="Times New Roman" w:hAnsi="Times New Roman" w:cs="Times New Roman"/>
        </w:rPr>
        <w:t xml:space="preserve"> </w:t>
      </w:r>
      <w:r w:rsidR="00CA7E3D" w:rsidRPr="003D3598">
        <w:rPr>
          <w:rFonts w:ascii="Times New Roman" w:hAnsi="Times New Roman" w:cs="Times New Roman"/>
        </w:rPr>
        <w:t xml:space="preserve">generally </w:t>
      </w:r>
      <w:r w:rsidR="00242CCA" w:rsidRPr="003D3598">
        <w:rPr>
          <w:rFonts w:ascii="Times New Roman" w:hAnsi="Times New Roman" w:cs="Times New Roman"/>
        </w:rPr>
        <w:t xml:space="preserve">see </w:t>
      </w:r>
      <w:r w:rsidR="00DA77F7" w:rsidRPr="003D3598">
        <w:rPr>
          <w:rFonts w:ascii="Times New Roman" w:hAnsi="Times New Roman" w:cs="Times New Roman"/>
        </w:rPr>
        <w:t>summer STEM</w:t>
      </w:r>
      <w:r w:rsidR="00242CCA" w:rsidRPr="003D3598">
        <w:rPr>
          <w:rFonts w:ascii="Times New Roman" w:hAnsi="Times New Roman" w:cs="Times New Roman"/>
        </w:rPr>
        <w:t xml:space="preserve"> program activities as less </w:t>
      </w:r>
      <w:r w:rsidR="00363868" w:rsidRPr="003D3598">
        <w:rPr>
          <w:rFonts w:ascii="Times New Roman" w:hAnsi="Times New Roman" w:cs="Times New Roman"/>
        </w:rPr>
        <w:t>personally relevant</w:t>
      </w:r>
      <w:r w:rsidR="00242CCA" w:rsidRPr="003D3598">
        <w:rPr>
          <w:rFonts w:ascii="Times New Roman" w:hAnsi="Times New Roman" w:cs="Times New Roman"/>
        </w:rPr>
        <w:t xml:space="preserve">, </w:t>
      </w:r>
      <w:r w:rsidR="00742071" w:rsidRPr="003D3598">
        <w:rPr>
          <w:rFonts w:ascii="Times New Roman" w:hAnsi="Times New Roman" w:cs="Times New Roman"/>
        </w:rPr>
        <w:t xml:space="preserve">but </w:t>
      </w:r>
      <w:r w:rsidR="00363868" w:rsidRPr="003D3598">
        <w:rPr>
          <w:rFonts w:ascii="Times New Roman" w:hAnsi="Times New Roman" w:cs="Times New Roman"/>
        </w:rPr>
        <w:t xml:space="preserve">even when they do perceive an activity as highly relevant, their engagement is not triggered </w:t>
      </w:r>
      <w:r w:rsidR="00242CCA" w:rsidRPr="003D3598">
        <w:rPr>
          <w:rFonts w:ascii="Times New Roman" w:hAnsi="Times New Roman" w:cs="Times New Roman"/>
        </w:rPr>
        <w:t xml:space="preserve">to the same extent as it </w:t>
      </w:r>
      <w:r w:rsidR="00363868" w:rsidRPr="003D3598">
        <w:rPr>
          <w:rFonts w:ascii="Times New Roman" w:hAnsi="Times New Roman" w:cs="Times New Roman"/>
        </w:rPr>
        <w:t xml:space="preserve">is </w:t>
      </w:r>
      <w:r w:rsidR="00242CCA" w:rsidRPr="003D3598">
        <w:rPr>
          <w:rFonts w:ascii="Times New Roman" w:hAnsi="Times New Roman" w:cs="Times New Roman"/>
        </w:rPr>
        <w:t>for boys.</w:t>
      </w:r>
      <w:r w:rsidRPr="003D3598">
        <w:rPr>
          <w:rFonts w:ascii="Times New Roman" w:hAnsi="Times New Roman" w:cs="Times New Roman"/>
        </w:rPr>
        <w:t xml:space="preserve"> </w:t>
      </w:r>
      <w:r w:rsidR="003C1BDE">
        <w:rPr>
          <w:rFonts w:ascii="Times New Roman" w:hAnsi="Times New Roman" w:cs="Times New Roman"/>
        </w:rPr>
        <w:t>Our f</w:t>
      </w:r>
      <w:r w:rsidRPr="003D3598">
        <w:rPr>
          <w:rFonts w:ascii="Times New Roman" w:hAnsi="Times New Roman" w:cs="Times New Roman"/>
        </w:rPr>
        <w:t>indings regarding relevance differ from those regarding challenge in two important ways</w:t>
      </w:r>
      <w:r w:rsidR="002B0743">
        <w:rPr>
          <w:rFonts w:ascii="Times New Roman" w:hAnsi="Times New Roman" w:cs="Times New Roman"/>
        </w:rPr>
        <w:t>, however</w:t>
      </w:r>
      <w:r w:rsidRPr="003D3598">
        <w:rPr>
          <w:rFonts w:ascii="Times New Roman" w:hAnsi="Times New Roman" w:cs="Times New Roman"/>
        </w:rPr>
        <w:t xml:space="preserve">. First, the magnitude of association </w:t>
      </w:r>
      <w:r w:rsidR="002B0743">
        <w:rPr>
          <w:rFonts w:ascii="Times New Roman" w:hAnsi="Times New Roman" w:cs="Times New Roman"/>
        </w:rPr>
        <w:t xml:space="preserve">between relevance and engagement </w:t>
      </w:r>
      <w:r w:rsidRPr="003D3598">
        <w:rPr>
          <w:rFonts w:ascii="Times New Roman" w:hAnsi="Times New Roman" w:cs="Times New Roman"/>
        </w:rPr>
        <w:t xml:space="preserve">is much greater than </w:t>
      </w:r>
      <w:r w:rsidR="002B0743">
        <w:rPr>
          <w:rFonts w:ascii="Times New Roman" w:hAnsi="Times New Roman" w:cs="Times New Roman"/>
        </w:rPr>
        <w:t>the association between</w:t>
      </w:r>
      <w:r w:rsidRPr="003D3598">
        <w:rPr>
          <w:rFonts w:ascii="Times New Roman" w:hAnsi="Times New Roman" w:cs="Times New Roman"/>
        </w:rPr>
        <w:t xml:space="preserve"> challenge</w:t>
      </w:r>
      <w:r w:rsidR="002B0743">
        <w:rPr>
          <w:rFonts w:ascii="Times New Roman" w:hAnsi="Times New Roman" w:cs="Times New Roman"/>
        </w:rPr>
        <w:t xml:space="preserve"> and engagement</w:t>
      </w:r>
      <w:r w:rsidRPr="003D3598">
        <w:rPr>
          <w:rFonts w:ascii="Times New Roman" w:hAnsi="Times New Roman" w:cs="Times New Roman"/>
        </w:rPr>
        <w:t xml:space="preserve">. In other words, increases in relevance result in much larger changes in engagement than do increases in challenge. Second, associations between relevance and engagement are </w:t>
      </w:r>
      <w:r w:rsidR="00363868" w:rsidRPr="003D3598">
        <w:rPr>
          <w:rFonts w:ascii="Times New Roman" w:hAnsi="Times New Roman" w:cs="Times New Roman"/>
        </w:rPr>
        <w:t xml:space="preserve">decidedly </w:t>
      </w:r>
      <w:r w:rsidRPr="003D3598">
        <w:rPr>
          <w:rFonts w:ascii="Times New Roman" w:hAnsi="Times New Roman" w:cs="Times New Roman"/>
        </w:rPr>
        <w:t xml:space="preserve">positive for female youth, just less so than for male youth, whereas </w:t>
      </w:r>
      <w:r w:rsidR="0030277C" w:rsidRPr="003D3598">
        <w:rPr>
          <w:rFonts w:ascii="Times New Roman" w:hAnsi="Times New Roman" w:cs="Times New Roman"/>
        </w:rPr>
        <w:t>associations between challenge and engagement were essentially flat for female youth.</w:t>
      </w:r>
      <w:r w:rsidR="00242CCA" w:rsidRPr="003D3598">
        <w:rPr>
          <w:rFonts w:ascii="Times New Roman" w:hAnsi="Times New Roman" w:cs="Times New Roman"/>
        </w:rPr>
        <w:t xml:space="preserve"> </w:t>
      </w:r>
      <w:r w:rsidR="0030277C" w:rsidRPr="003D3598">
        <w:rPr>
          <w:rFonts w:ascii="Times New Roman" w:hAnsi="Times New Roman" w:cs="Times New Roman"/>
        </w:rPr>
        <w:t>It will be important for future research to explore the</w:t>
      </w:r>
      <w:r w:rsidR="00742071" w:rsidRPr="003D3598">
        <w:rPr>
          <w:rFonts w:ascii="Times New Roman" w:hAnsi="Times New Roman" w:cs="Times New Roman"/>
        </w:rPr>
        <w:t xml:space="preserve"> reasons behind </w:t>
      </w:r>
      <w:r w:rsidR="0030277C" w:rsidRPr="003D3598">
        <w:rPr>
          <w:rFonts w:ascii="Times New Roman" w:hAnsi="Times New Roman" w:cs="Times New Roman"/>
        </w:rPr>
        <w:t xml:space="preserve">these gender differences in perceptions of relevance. </w:t>
      </w:r>
      <w:r w:rsidR="00524C14">
        <w:rPr>
          <w:rFonts w:ascii="Times New Roman" w:hAnsi="Times New Roman" w:cs="Times New Roman"/>
        </w:rPr>
        <w:t xml:space="preserve">Researchers who focus on both formal and informal STEM learning have identified a number of gender-equitable instructional strategies, and one key strategy is making instruction personally relevant and meaningful (Karl, McLain, &amp; Santiago, 2017). </w:t>
      </w:r>
      <w:r w:rsidR="0030277C" w:rsidRPr="003D3598">
        <w:rPr>
          <w:rFonts w:ascii="Times New Roman" w:hAnsi="Times New Roman" w:cs="Times New Roman"/>
        </w:rPr>
        <w:t xml:space="preserve">Multiple researchers have documented that </w:t>
      </w:r>
      <w:r w:rsidR="00991D54" w:rsidRPr="003D3598">
        <w:rPr>
          <w:rFonts w:ascii="Times New Roman" w:hAnsi="Times New Roman" w:cs="Times New Roman"/>
        </w:rPr>
        <w:t>STEM careers are still largely seen as “male” professions (</w:t>
      </w:r>
      <w:r w:rsidR="00265279" w:rsidRPr="003D3598">
        <w:rPr>
          <w:rFonts w:ascii="Times New Roman" w:hAnsi="Times New Roman" w:cs="Times New Roman"/>
          <w:color w:val="222222"/>
          <w:shd w:val="clear" w:color="auto" w:fill="FFFFFF"/>
        </w:rPr>
        <w:t xml:space="preserve">Miller, </w:t>
      </w:r>
      <w:proofErr w:type="spellStart"/>
      <w:r w:rsidR="00265279" w:rsidRPr="003D3598">
        <w:rPr>
          <w:rFonts w:ascii="Times New Roman" w:hAnsi="Times New Roman" w:cs="Times New Roman"/>
          <w:color w:val="222222"/>
          <w:shd w:val="clear" w:color="auto" w:fill="FFFFFF"/>
        </w:rPr>
        <w:t>Nolla</w:t>
      </w:r>
      <w:proofErr w:type="spellEnd"/>
      <w:r w:rsidR="00265279" w:rsidRPr="003D3598">
        <w:rPr>
          <w:rFonts w:ascii="Times New Roman" w:hAnsi="Times New Roman" w:cs="Times New Roman"/>
          <w:color w:val="222222"/>
          <w:shd w:val="clear" w:color="auto" w:fill="FFFFFF"/>
        </w:rPr>
        <w:t xml:space="preserve">, </w:t>
      </w:r>
      <w:proofErr w:type="spellStart"/>
      <w:r w:rsidR="00265279" w:rsidRPr="003D3598">
        <w:rPr>
          <w:rFonts w:ascii="Times New Roman" w:hAnsi="Times New Roman" w:cs="Times New Roman"/>
          <w:color w:val="222222"/>
          <w:shd w:val="clear" w:color="auto" w:fill="FFFFFF"/>
        </w:rPr>
        <w:t>Eagly</w:t>
      </w:r>
      <w:proofErr w:type="spellEnd"/>
      <w:r w:rsidR="00265279" w:rsidRPr="003D3598">
        <w:rPr>
          <w:rFonts w:ascii="Times New Roman" w:hAnsi="Times New Roman" w:cs="Times New Roman"/>
          <w:color w:val="222222"/>
          <w:shd w:val="clear" w:color="auto" w:fill="FFFFFF"/>
        </w:rPr>
        <w:t xml:space="preserve">, &amp; </w:t>
      </w:r>
      <w:proofErr w:type="spellStart"/>
      <w:r w:rsidR="00265279" w:rsidRPr="003D3598">
        <w:rPr>
          <w:rFonts w:ascii="Times New Roman" w:hAnsi="Times New Roman" w:cs="Times New Roman"/>
          <w:color w:val="222222"/>
          <w:shd w:val="clear" w:color="auto" w:fill="FFFFFF"/>
        </w:rPr>
        <w:t>Uttal</w:t>
      </w:r>
      <w:proofErr w:type="spellEnd"/>
      <w:r w:rsidR="00265279" w:rsidRPr="003D3598">
        <w:rPr>
          <w:rFonts w:ascii="Times New Roman" w:hAnsi="Times New Roman" w:cs="Times New Roman"/>
          <w:color w:val="222222"/>
          <w:shd w:val="clear" w:color="auto" w:fill="FFFFFF"/>
        </w:rPr>
        <w:t>, 2018</w:t>
      </w:r>
      <w:r w:rsidR="0030529B" w:rsidRPr="003D3598">
        <w:rPr>
          <w:rFonts w:ascii="Times New Roman" w:hAnsi="Times New Roman" w:cs="Times New Roman"/>
          <w:color w:val="222222"/>
          <w:shd w:val="clear" w:color="auto" w:fill="FFFFFF"/>
        </w:rPr>
        <w:t xml:space="preserve">; </w:t>
      </w:r>
      <w:r w:rsidR="0030529B" w:rsidRPr="00AA2084">
        <w:rPr>
          <w:rFonts w:ascii="Times New Roman" w:hAnsi="Times New Roman" w:cs="Times New Roman"/>
        </w:rPr>
        <w:t>Stout, Ito, Finkelstein, &amp; Pollock, 2013</w:t>
      </w:r>
      <w:r w:rsidR="00265279" w:rsidRPr="003D3598">
        <w:rPr>
          <w:rFonts w:ascii="Times New Roman" w:hAnsi="Times New Roman" w:cs="Times New Roman"/>
          <w:color w:val="222222"/>
          <w:shd w:val="clear" w:color="auto" w:fill="FFFFFF"/>
        </w:rPr>
        <w:t>)</w:t>
      </w:r>
      <w:r w:rsidR="00991D54" w:rsidRPr="00DB3561">
        <w:rPr>
          <w:rFonts w:ascii="Times New Roman" w:hAnsi="Times New Roman" w:cs="Times New Roman"/>
        </w:rPr>
        <w:t xml:space="preserve"> and that </w:t>
      </w:r>
      <w:r w:rsidR="0030277C" w:rsidRPr="00E12A75">
        <w:rPr>
          <w:rFonts w:ascii="Times New Roman" w:hAnsi="Times New Roman" w:cs="Times New Roman"/>
        </w:rPr>
        <w:t>women and girls are less likely to see themselves as having a future in STEM disciplines (</w:t>
      </w:r>
      <w:proofErr w:type="spellStart"/>
      <w:r w:rsidR="00265279" w:rsidRPr="00510F66">
        <w:rPr>
          <w:rFonts w:ascii="Times New Roman" w:hAnsi="Times New Roman" w:cs="Times New Roman"/>
          <w:color w:val="222222"/>
          <w:shd w:val="clear" w:color="auto" w:fill="FFFFFF"/>
        </w:rPr>
        <w:t>Cheryan</w:t>
      </w:r>
      <w:proofErr w:type="spellEnd"/>
      <w:r w:rsidR="00265279" w:rsidRPr="00510F66">
        <w:rPr>
          <w:rFonts w:ascii="Times New Roman" w:hAnsi="Times New Roman" w:cs="Times New Roman"/>
          <w:color w:val="222222"/>
          <w:shd w:val="clear" w:color="auto" w:fill="FFFFFF"/>
        </w:rPr>
        <w:t xml:space="preserve">, </w:t>
      </w:r>
      <w:r w:rsidR="00265279" w:rsidRPr="007442AD">
        <w:rPr>
          <w:rFonts w:ascii="Times New Roman" w:hAnsi="Times New Roman" w:cs="Times New Roman"/>
          <w:color w:val="222222"/>
          <w:shd w:val="clear" w:color="auto" w:fill="FFFFFF"/>
        </w:rPr>
        <w:t xml:space="preserve">Master, </w:t>
      </w:r>
      <w:r w:rsidR="00265279" w:rsidRPr="00011528">
        <w:rPr>
          <w:rFonts w:ascii="Times New Roman" w:hAnsi="Times New Roman" w:cs="Times New Roman"/>
          <w:color w:val="222222"/>
          <w:shd w:val="clear" w:color="auto" w:fill="FFFFFF"/>
        </w:rPr>
        <w:t>&amp; Meltzoff, 2015</w:t>
      </w:r>
      <w:r w:rsidR="005721E5" w:rsidRPr="0041527C">
        <w:rPr>
          <w:rFonts w:ascii="Times New Roman" w:hAnsi="Times New Roman" w:cs="Times New Roman"/>
          <w:color w:val="222222"/>
          <w:shd w:val="clear" w:color="auto" w:fill="FFFFFF"/>
        </w:rPr>
        <w:t xml:space="preserve">; </w:t>
      </w:r>
      <w:r w:rsidR="005721E5" w:rsidRPr="00111E51">
        <w:rPr>
          <w:rFonts w:ascii="Times New Roman" w:hAnsi="Times New Roman" w:cs="Times New Roman"/>
        </w:rPr>
        <w:t>Wang</w:t>
      </w:r>
      <w:r w:rsidR="005721E5" w:rsidRPr="00617156">
        <w:rPr>
          <w:rFonts w:ascii="Times New Roman" w:hAnsi="Times New Roman" w:cs="Times New Roman"/>
        </w:rPr>
        <w:t xml:space="preserve"> &amp; </w:t>
      </w:r>
      <w:proofErr w:type="spellStart"/>
      <w:r w:rsidR="005721E5" w:rsidRPr="00617156">
        <w:rPr>
          <w:rFonts w:ascii="Times New Roman" w:hAnsi="Times New Roman" w:cs="Times New Roman"/>
        </w:rPr>
        <w:t>Degol</w:t>
      </w:r>
      <w:proofErr w:type="spellEnd"/>
      <w:r w:rsidR="005721E5" w:rsidRPr="00617156">
        <w:rPr>
          <w:rFonts w:ascii="Times New Roman" w:hAnsi="Times New Roman" w:cs="Times New Roman"/>
        </w:rPr>
        <w:t>, 2017).</w:t>
      </w:r>
      <w:r w:rsidR="00991D54" w:rsidRPr="003D3598">
        <w:rPr>
          <w:rFonts w:ascii="Times New Roman" w:hAnsi="Times New Roman" w:cs="Times New Roman"/>
        </w:rPr>
        <w:t xml:space="preserve"> </w:t>
      </w:r>
      <w:r w:rsidR="000F7A26">
        <w:rPr>
          <w:rFonts w:ascii="Times New Roman" w:hAnsi="Times New Roman" w:cs="Times New Roman"/>
        </w:rPr>
        <w:t xml:space="preserve">A recent national poll of youth indicates that </w:t>
      </w:r>
      <w:r w:rsidR="00F42026">
        <w:rPr>
          <w:rFonts w:ascii="Times New Roman" w:hAnsi="Times New Roman" w:cs="Times New Roman"/>
        </w:rPr>
        <w:t xml:space="preserve">women and </w:t>
      </w:r>
      <w:r w:rsidR="000F7A26">
        <w:rPr>
          <w:rFonts w:ascii="Times New Roman" w:hAnsi="Times New Roman" w:cs="Times New Roman"/>
        </w:rPr>
        <w:t>girls see fewer connections between themselves and science</w:t>
      </w:r>
      <w:r w:rsidR="00F42026">
        <w:rPr>
          <w:rFonts w:ascii="Times New Roman" w:hAnsi="Times New Roman" w:cs="Times New Roman"/>
        </w:rPr>
        <w:t xml:space="preserve"> (</w:t>
      </w:r>
      <w:r w:rsidR="003A0138">
        <w:rPr>
          <w:rFonts w:ascii="Times New Roman" w:hAnsi="Times New Roman" w:cs="Times New Roman"/>
        </w:rPr>
        <w:t xml:space="preserve">National Academy of Sciences, </w:t>
      </w:r>
      <w:r w:rsidR="00050E64">
        <w:rPr>
          <w:rFonts w:ascii="Times New Roman" w:hAnsi="Times New Roman" w:cs="Times New Roman"/>
        </w:rPr>
        <w:t>2020</w:t>
      </w:r>
      <w:r w:rsidR="00F42026">
        <w:rPr>
          <w:rFonts w:ascii="Times New Roman" w:hAnsi="Times New Roman" w:cs="Times New Roman"/>
        </w:rPr>
        <w:t xml:space="preserve">). </w:t>
      </w:r>
      <w:r w:rsidR="00991D54" w:rsidRPr="003D3598">
        <w:rPr>
          <w:rFonts w:ascii="Times New Roman" w:hAnsi="Times New Roman" w:cs="Times New Roman"/>
        </w:rPr>
        <w:t xml:space="preserve">Such gendered beliefs about STEM may have </w:t>
      </w:r>
      <w:r w:rsidR="007C7BD4" w:rsidRPr="003D3598">
        <w:rPr>
          <w:rFonts w:ascii="Times New Roman" w:hAnsi="Times New Roman" w:cs="Times New Roman"/>
        </w:rPr>
        <w:t xml:space="preserve">contributed </w:t>
      </w:r>
      <w:r w:rsidR="00991D54" w:rsidRPr="003D3598">
        <w:rPr>
          <w:rFonts w:ascii="Times New Roman" w:hAnsi="Times New Roman" w:cs="Times New Roman"/>
        </w:rPr>
        <w:t>to a general perception among the female youth in our study</w:t>
      </w:r>
      <w:r w:rsidR="0030277C" w:rsidRPr="003D3598">
        <w:rPr>
          <w:rFonts w:ascii="Times New Roman" w:hAnsi="Times New Roman" w:cs="Times New Roman"/>
        </w:rPr>
        <w:t xml:space="preserve"> </w:t>
      </w:r>
      <w:r w:rsidR="00991D54" w:rsidRPr="003D3598">
        <w:rPr>
          <w:rFonts w:ascii="Times New Roman" w:hAnsi="Times New Roman" w:cs="Times New Roman"/>
        </w:rPr>
        <w:t>that the summer STEM activities were less relevant to their lives</w:t>
      </w:r>
      <w:r w:rsidR="007C7BD4" w:rsidRPr="003D3598">
        <w:rPr>
          <w:rFonts w:ascii="Times New Roman" w:hAnsi="Times New Roman" w:cs="Times New Roman"/>
        </w:rPr>
        <w:t>,</w:t>
      </w:r>
      <w:r w:rsidR="00363868" w:rsidRPr="003D3598">
        <w:rPr>
          <w:rFonts w:ascii="Times New Roman" w:hAnsi="Times New Roman" w:cs="Times New Roman"/>
        </w:rPr>
        <w:t xml:space="preserve"> and because the activities were seen as less relevant, they may have been slightly less likely to trigger student engagement</w:t>
      </w:r>
      <w:r w:rsidR="00F42026">
        <w:rPr>
          <w:rFonts w:ascii="Times New Roman" w:hAnsi="Times New Roman" w:cs="Times New Roman"/>
        </w:rPr>
        <w:t xml:space="preserve"> in the moment</w:t>
      </w:r>
      <w:r w:rsidR="00363868" w:rsidRPr="003D3598">
        <w:rPr>
          <w:rFonts w:ascii="Times New Roman" w:hAnsi="Times New Roman" w:cs="Times New Roman"/>
        </w:rPr>
        <w:t xml:space="preserve">. Of course, </w:t>
      </w:r>
      <w:r w:rsidR="00363868" w:rsidRPr="003D3598">
        <w:rPr>
          <w:rFonts w:ascii="Times New Roman" w:hAnsi="Times New Roman" w:cs="Times New Roman"/>
        </w:rPr>
        <w:lastRenderedPageBreak/>
        <w:t>this</w:t>
      </w:r>
      <w:r w:rsidR="007C7BD4" w:rsidRPr="003D3598">
        <w:rPr>
          <w:rFonts w:ascii="Times New Roman" w:hAnsi="Times New Roman" w:cs="Times New Roman"/>
        </w:rPr>
        <w:t xml:space="preserve"> explanation is speculative</w:t>
      </w:r>
      <w:r w:rsidR="007C7BD4" w:rsidRPr="00026666">
        <w:rPr>
          <w:rFonts w:ascii="Times New Roman" w:hAnsi="Times New Roman" w:cs="Times New Roman"/>
        </w:rPr>
        <w:t xml:space="preserve"> at this point</w:t>
      </w:r>
      <w:r w:rsidR="00F42026">
        <w:rPr>
          <w:rFonts w:ascii="Times New Roman" w:hAnsi="Times New Roman" w:cs="Times New Roman"/>
        </w:rPr>
        <w:t xml:space="preserve"> but seems consistent with </w:t>
      </w:r>
      <w:r w:rsidR="00172D70">
        <w:rPr>
          <w:rFonts w:ascii="Times New Roman" w:hAnsi="Times New Roman" w:cs="Times New Roman"/>
        </w:rPr>
        <w:t>trends observed among young adults</w:t>
      </w:r>
      <w:r w:rsidR="00991D54" w:rsidRPr="00EE39D7">
        <w:rPr>
          <w:rFonts w:ascii="Times New Roman" w:hAnsi="Times New Roman" w:cs="Times New Roman"/>
        </w:rPr>
        <w:t>.</w:t>
      </w:r>
      <w:r w:rsidR="00172D70">
        <w:rPr>
          <w:rFonts w:ascii="Times New Roman" w:hAnsi="Times New Roman" w:cs="Times New Roman"/>
        </w:rPr>
        <w:t xml:space="preserve"> For example, the national poll mentioned above reports that millennials who fail to see connections between their lives and science tend to engage less frequently in a variety of STEM-related community experiences as adults, and are </w:t>
      </w:r>
      <w:r w:rsidR="003A0138">
        <w:rPr>
          <w:rFonts w:ascii="Times New Roman" w:hAnsi="Times New Roman" w:cs="Times New Roman"/>
        </w:rPr>
        <w:t>less likely</w:t>
      </w:r>
      <w:r w:rsidR="00172D70">
        <w:rPr>
          <w:rFonts w:ascii="Times New Roman" w:hAnsi="Times New Roman" w:cs="Times New Roman"/>
        </w:rPr>
        <w:t xml:space="preserve"> to </w:t>
      </w:r>
      <w:r w:rsidR="003A0138">
        <w:rPr>
          <w:rFonts w:ascii="Times New Roman" w:hAnsi="Times New Roman" w:cs="Times New Roman"/>
        </w:rPr>
        <w:t>hold the belief that local issues that are important to them like pollution and public health could be improved through a scientific approach</w:t>
      </w:r>
      <w:r w:rsidR="00172D70">
        <w:rPr>
          <w:rFonts w:ascii="Times New Roman" w:hAnsi="Times New Roman" w:cs="Times New Roman"/>
        </w:rPr>
        <w:t>.</w:t>
      </w:r>
      <w:r w:rsidR="003A0138">
        <w:rPr>
          <w:rFonts w:ascii="Times New Roman" w:hAnsi="Times New Roman" w:cs="Times New Roman"/>
        </w:rPr>
        <w:t xml:space="preserve"> Thus, helping youth in general and girls in particular appreciate the relevance of their STEM activities, could have long lasting effects on their engagement as adults. </w:t>
      </w:r>
    </w:p>
    <w:p w14:paraId="1A65E01F" w14:textId="0DAFEAE8" w:rsidR="00242CCA" w:rsidRPr="003D3598" w:rsidRDefault="0057687E" w:rsidP="00A73422">
      <w:pPr>
        <w:ind w:firstLine="720"/>
        <w:contextualSpacing/>
        <w:rPr>
          <w:rFonts w:ascii="Times New Roman" w:hAnsi="Times New Roman" w:cs="Times New Roman"/>
        </w:rPr>
      </w:pPr>
      <w:r w:rsidRPr="007442AD">
        <w:rPr>
          <w:rFonts w:ascii="Times New Roman" w:hAnsi="Times New Roman" w:cs="Times New Roman"/>
        </w:rPr>
        <w:t xml:space="preserve">An important point to consider in understanding the aforementioned gender differences is that male and female youth did not appear to </w:t>
      </w:r>
      <w:r w:rsidRPr="00011528">
        <w:rPr>
          <w:rFonts w:ascii="Times New Roman" w:hAnsi="Times New Roman" w:cs="Times New Roman"/>
        </w:rPr>
        <w:t>differ from one another in how they perceived specific program activities in terms of their affordances of relative challenge or relevance. While girls generally saw all of their program activities as less challenging and relevant than boys</w:t>
      </w:r>
      <w:r w:rsidR="00C22FFB" w:rsidRPr="0041527C">
        <w:rPr>
          <w:rFonts w:ascii="Times New Roman" w:hAnsi="Times New Roman" w:cs="Times New Roman"/>
        </w:rPr>
        <w:t xml:space="preserve"> did</w:t>
      </w:r>
      <w:r w:rsidRPr="00111E51">
        <w:rPr>
          <w:rFonts w:ascii="Times New Roman" w:hAnsi="Times New Roman" w:cs="Times New Roman"/>
        </w:rPr>
        <w:t>,</w:t>
      </w:r>
      <w:r w:rsidR="00C22FFB" w:rsidRPr="00617156">
        <w:rPr>
          <w:rFonts w:ascii="Times New Roman" w:hAnsi="Times New Roman" w:cs="Times New Roman"/>
        </w:rPr>
        <w:t xml:space="preserve"> </w:t>
      </w:r>
      <w:r w:rsidR="00C22FFB" w:rsidRPr="003D3598">
        <w:rPr>
          <w:rFonts w:ascii="Times New Roman" w:hAnsi="Times New Roman" w:cs="Times New Roman"/>
        </w:rPr>
        <w:t>the various activities we explored had the same affordances for challenge and relevance relative to one another</w:t>
      </w:r>
      <w:r w:rsidR="003C1BDE">
        <w:rPr>
          <w:rFonts w:ascii="Times New Roman" w:hAnsi="Times New Roman" w:cs="Times New Roman"/>
        </w:rPr>
        <w:t xml:space="preserve"> within gender</w:t>
      </w:r>
      <w:r w:rsidR="00C22FFB" w:rsidRPr="003D3598">
        <w:rPr>
          <w:rFonts w:ascii="Times New Roman" w:hAnsi="Times New Roman" w:cs="Times New Roman"/>
        </w:rPr>
        <w:t xml:space="preserve">. In other words, </w:t>
      </w:r>
      <w:r w:rsidR="00482C2C" w:rsidRPr="003D3598">
        <w:rPr>
          <w:rFonts w:ascii="Times New Roman" w:hAnsi="Times New Roman" w:cs="Times New Roman"/>
        </w:rPr>
        <w:t xml:space="preserve">the same </w:t>
      </w:r>
      <w:r w:rsidR="00C22FFB" w:rsidRPr="003D3598">
        <w:rPr>
          <w:rFonts w:ascii="Times New Roman" w:hAnsi="Times New Roman" w:cs="Times New Roman"/>
        </w:rPr>
        <w:t xml:space="preserve">activities that </w:t>
      </w:r>
      <w:r w:rsidR="00482C2C" w:rsidRPr="003D3598">
        <w:rPr>
          <w:rFonts w:ascii="Times New Roman" w:hAnsi="Times New Roman" w:cs="Times New Roman"/>
        </w:rPr>
        <w:t xml:space="preserve">boys saw as having </w:t>
      </w:r>
      <w:r w:rsidR="00C22FFB" w:rsidRPr="003D3598">
        <w:rPr>
          <w:rFonts w:ascii="Times New Roman" w:hAnsi="Times New Roman" w:cs="Times New Roman"/>
        </w:rPr>
        <w:t>high</w:t>
      </w:r>
      <w:r w:rsidR="00466410">
        <w:rPr>
          <w:rFonts w:ascii="Times New Roman" w:hAnsi="Times New Roman" w:cs="Times New Roman"/>
        </w:rPr>
        <w:t>er</w:t>
      </w:r>
      <w:r w:rsidR="00482C2C" w:rsidRPr="003D3598">
        <w:rPr>
          <w:rFonts w:ascii="Times New Roman" w:hAnsi="Times New Roman" w:cs="Times New Roman"/>
        </w:rPr>
        <w:t xml:space="preserve"> </w:t>
      </w:r>
      <w:r w:rsidR="00C22FFB" w:rsidRPr="003D3598">
        <w:rPr>
          <w:rFonts w:ascii="Times New Roman" w:hAnsi="Times New Roman" w:cs="Times New Roman"/>
        </w:rPr>
        <w:t xml:space="preserve">relevance (or challenge) were also </w:t>
      </w:r>
      <w:r w:rsidR="00482C2C" w:rsidRPr="003D3598">
        <w:rPr>
          <w:rFonts w:ascii="Times New Roman" w:hAnsi="Times New Roman" w:cs="Times New Roman"/>
        </w:rPr>
        <w:t xml:space="preserve">seen by girls as having higher relative </w:t>
      </w:r>
      <w:r w:rsidR="00C22FFB" w:rsidRPr="003D3598">
        <w:rPr>
          <w:rFonts w:ascii="Times New Roman" w:hAnsi="Times New Roman" w:cs="Times New Roman"/>
        </w:rPr>
        <w:t xml:space="preserve">relevance (or challenge). </w:t>
      </w:r>
      <w:r w:rsidR="00606CCD" w:rsidRPr="003D3598">
        <w:rPr>
          <w:rFonts w:ascii="Times New Roman" w:hAnsi="Times New Roman" w:cs="Times New Roman"/>
        </w:rPr>
        <w:t xml:space="preserve">The difference is in the </w:t>
      </w:r>
      <w:r w:rsidR="00C22FFB" w:rsidRPr="003D3598">
        <w:rPr>
          <w:rFonts w:ascii="Times New Roman" w:hAnsi="Times New Roman" w:cs="Times New Roman"/>
        </w:rPr>
        <w:t xml:space="preserve">overall mean levels and in the </w:t>
      </w:r>
      <w:r w:rsidR="00606CCD" w:rsidRPr="003D3598">
        <w:rPr>
          <w:rFonts w:ascii="Times New Roman" w:hAnsi="Times New Roman" w:cs="Times New Roman"/>
        </w:rPr>
        <w:t xml:space="preserve">degree to </w:t>
      </w:r>
      <w:r w:rsidR="00742071" w:rsidRPr="003D3598">
        <w:rPr>
          <w:rFonts w:ascii="Times New Roman" w:hAnsi="Times New Roman" w:cs="Times New Roman"/>
        </w:rPr>
        <w:t xml:space="preserve">which </w:t>
      </w:r>
      <w:r w:rsidR="00606CCD" w:rsidRPr="003D3598">
        <w:rPr>
          <w:rFonts w:ascii="Times New Roman" w:hAnsi="Times New Roman" w:cs="Times New Roman"/>
        </w:rPr>
        <w:t>the perception of challenge and relevance (regardless of its source) triggers engagement</w:t>
      </w:r>
      <w:r w:rsidR="00C22FFB" w:rsidRPr="003D3598">
        <w:rPr>
          <w:rFonts w:ascii="Times New Roman" w:hAnsi="Times New Roman" w:cs="Times New Roman"/>
        </w:rPr>
        <w:t>.</w:t>
      </w:r>
      <w:r w:rsidR="006165B5" w:rsidRPr="003D3598">
        <w:rPr>
          <w:rFonts w:ascii="Times New Roman" w:hAnsi="Times New Roman" w:cs="Times New Roman"/>
        </w:rPr>
        <w:t xml:space="preserve"> The</w:t>
      </w:r>
      <w:r w:rsidR="00606CCD" w:rsidRPr="003D3598">
        <w:rPr>
          <w:rFonts w:ascii="Times New Roman" w:hAnsi="Times New Roman" w:cs="Times New Roman"/>
        </w:rPr>
        <w:t xml:space="preserve"> conditions</w:t>
      </w:r>
      <w:r w:rsidR="006165B5" w:rsidRPr="003D3598">
        <w:rPr>
          <w:rFonts w:ascii="Times New Roman" w:hAnsi="Times New Roman" w:cs="Times New Roman"/>
        </w:rPr>
        <w:t xml:space="preserve"> of challenge and relevance</w:t>
      </w:r>
      <w:r w:rsidR="00606CCD" w:rsidRPr="003D3598">
        <w:rPr>
          <w:rFonts w:ascii="Times New Roman" w:hAnsi="Times New Roman" w:cs="Times New Roman"/>
        </w:rPr>
        <w:t xml:space="preserve"> </w:t>
      </w:r>
      <w:r w:rsidR="006165B5" w:rsidRPr="003D3598">
        <w:rPr>
          <w:rFonts w:ascii="Times New Roman" w:hAnsi="Times New Roman" w:cs="Times New Roman"/>
        </w:rPr>
        <w:t>were observed</w:t>
      </w:r>
      <w:r w:rsidR="00742071" w:rsidRPr="003D3598">
        <w:rPr>
          <w:rFonts w:ascii="Times New Roman" w:hAnsi="Times New Roman" w:cs="Times New Roman"/>
        </w:rPr>
        <w:t xml:space="preserve"> at higher levels for boys and seem to </w:t>
      </w:r>
      <w:r w:rsidR="00606CCD" w:rsidRPr="003D3598">
        <w:rPr>
          <w:rFonts w:ascii="Times New Roman" w:hAnsi="Times New Roman" w:cs="Times New Roman"/>
        </w:rPr>
        <w:t xml:space="preserve">more </w:t>
      </w:r>
      <w:r w:rsidR="006165B5" w:rsidRPr="003D3598">
        <w:rPr>
          <w:rFonts w:ascii="Times New Roman" w:hAnsi="Times New Roman" w:cs="Times New Roman"/>
        </w:rPr>
        <w:t>consistently</w:t>
      </w:r>
      <w:r w:rsidR="00606CCD" w:rsidRPr="003D3598">
        <w:rPr>
          <w:rFonts w:ascii="Times New Roman" w:hAnsi="Times New Roman" w:cs="Times New Roman"/>
        </w:rPr>
        <w:t xml:space="preserve"> trigger engagement for boys than girls. </w:t>
      </w:r>
    </w:p>
    <w:p w14:paraId="6EB00BB9" w14:textId="476C6120" w:rsidR="005E3854" w:rsidRPr="003D3598" w:rsidRDefault="000C5413" w:rsidP="00A73422">
      <w:pPr>
        <w:ind w:firstLine="720"/>
        <w:contextualSpacing/>
        <w:rPr>
          <w:rFonts w:ascii="Times New Roman" w:hAnsi="Times New Roman" w:cs="Times New Roman"/>
        </w:rPr>
      </w:pPr>
      <w:r w:rsidRPr="003D3598">
        <w:rPr>
          <w:rFonts w:ascii="Times New Roman" w:hAnsi="Times New Roman" w:cs="Times New Roman"/>
        </w:rPr>
        <w:t>We</w:t>
      </w:r>
      <w:r w:rsidR="00C22FFB" w:rsidRPr="003D3598">
        <w:rPr>
          <w:rFonts w:ascii="Times New Roman" w:hAnsi="Times New Roman" w:cs="Times New Roman"/>
        </w:rPr>
        <w:t xml:space="preserve"> observed no gender differences with respect to youths</w:t>
      </w:r>
      <w:r w:rsidR="003C1ED9">
        <w:rPr>
          <w:rFonts w:ascii="Times New Roman" w:hAnsi="Times New Roman" w:cs="Times New Roman"/>
        </w:rPr>
        <w:t>’</w:t>
      </w:r>
      <w:r w:rsidR="00C22FFB" w:rsidRPr="003D3598">
        <w:rPr>
          <w:rFonts w:ascii="Times New Roman" w:hAnsi="Times New Roman" w:cs="Times New Roman"/>
        </w:rPr>
        <w:t xml:space="preserve"> perception of learning something new</w:t>
      </w:r>
      <w:r w:rsidR="00946D50" w:rsidRPr="003D3598">
        <w:rPr>
          <w:rFonts w:ascii="Times New Roman" w:hAnsi="Times New Roman" w:cs="Times New Roman"/>
        </w:rPr>
        <w:t xml:space="preserve"> during their time in the programs</w:t>
      </w:r>
      <w:r w:rsidR="00C22FFB" w:rsidRPr="003D3598">
        <w:rPr>
          <w:rFonts w:ascii="Times New Roman" w:hAnsi="Times New Roman" w:cs="Times New Roman"/>
        </w:rPr>
        <w:t xml:space="preserve">. </w:t>
      </w:r>
      <w:r w:rsidR="005E3854" w:rsidRPr="003D3598">
        <w:rPr>
          <w:rFonts w:ascii="Times New Roman" w:hAnsi="Times New Roman" w:cs="Times New Roman"/>
        </w:rPr>
        <w:t xml:space="preserve">Not only did male and female youth in the study perceive similar levels of learning during program activities, </w:t>
      </w:r>
      <w:r w:rsidR="00466410">
        <w:rPr>
          <w:rFonts w:ascii="Times New Roman" w:hAnsi="Times New Roman" w:cs="Times New Roman"/>
        </w:rPr>
        <w:t>they also</w:t>
      </w:r>
      <w:r w:rsidR="005E3854" w:rsidRPr="003D3598">
        <w:rPr>
          <w:rFonts w:ascii="Times New Roman" w:hAnsi="Times New Roman" w:cs="Times New Roman"/>
        </w:rPr>
        <w:t xml:space="preserve"> </w:t>
      </w:r>
      <w:r w:rsidR="00466410">
        <w:rPr>
          <w:rFonts w:ascii="Times New Roman" w:hAnsi="Times New Roman" w:cs="Times New Roman"/>
        </w:rPr>
        <w:t xml:space="preserve">evidenced similar associations between learning and engagement. </w:t>
      </w:r>
      <w:r w:rsidR="00C22FFB" w:rsidRPr="003D3598">
        <w:rPr>
          <w:rFonts w:ascii="Times New Roman" w:hAnsi="Times New Roman" w:cs="Times New Roman"/>
        </w:rPr>
        <w:t xml:space="preserve">This suggests that female youth in the programs felt they were learning as much as male youth, and this learning was engaging to a similar extent for both groups. </w:t>
      </w:r>
    </w:p>
    <w:p w14:paraId="4F6CF995" w14:textId="15E48ECE" w:rsidR="00E94431" w:rsidRPr="003D3598" w:rsidRDefault="00FC10D9" w:rsidP="00A73422">
      <w:pPr>
        <w:ind w:firstLine="720"/>
        <w:contextualSpacing/>
        <w:rPr>
          <w:rFonts w:ascii="Times New Roman" w:hAnsi="Times New Roman" w:cs="Times New Roman"/>
        </w:rPr>
      </w:pPr>
      <w:r w:rsidRPr="003D3598">
        <w:rPr>
          <w:rFonts w:ascii="Times New Roman" w:hAnsi="Times New Roman" w:cs="Times New Roman"/>
          <w:b/>
        </w:rPr>
        <w:t>Perceived competence</w:t>
      </w:r>
      <w:r w:rsidRPr="003D3598">
        <w:rPr>
          <w:rFonts w:ascii="Times New Roman" w:hAnsi="Times New Roman" w:cs="Times New Roman"/>
        </w:rPr>
        <w:t>.</w:t>
      </w:r>
      <w:r w:rsidR="00E0595C" w:rsidRPr="003D3598">
        <w:rPr>
          <w:rFonts w:ascii="Times New Roman" w:hAnsi="Times New Roman" w:cs="Times New Roman"/>
        </w:rPr>
        <w:t xml:space="preserve"> </w:t>
      </w:r>
      <w:r w:rsidR="003C1ED9">
        <w:rPr>
          <w:rFonts w:ascii="Times New Roman" w:hAnsi="Times New Roman" w:cs="Times New Roman"/>
        </w:rPr>
        <w:t>I</w:t>
      </w:r>
      <w:r w:rsidRPr="003D3598">
        <w:rPr>
          <w:rFonts w:ascii="Times New Roman" w:hAnsi="Times New Roman" w:cs="Times New Roman"/>
        </w:rPr>
        <w:t>nitial competence</w:t>
      </w:r>
      <w:r w:rsidR="00CE2B0C" w:rsidRPr="003D3598">
        <w:rPr>
          <w:rFonts w:ascii="Times New Roman" w:hAnsi="Times New Roman" w:cs="Times New Roman"/>
        </w:rPr>
        <w:t xml:space="preserve"> beliefs</w:t>
      </w:r>
      <w:r w:rsidRPr="003D3598">
        <w:rPr>
          <w:rFonts w:ascii="Times New Roman" w:hAnsi="Times New Roman" w:cs="Times New Roman"/>
        </w:rPr>
        <w:t xml:space="preserve"> did not</w:t>
      </w:r>
      <w:r w:rsidR="00550EE7" w:rsidRPr="003D3598">
        <w:rPr>
          <w:rFonts w:ascii="Times New Roman" w:hAnsi="Times New Roman" w:cs="Times New Roman"/>
        </w:rPr>
        <w:t xml:space="preserve"> moderat</w:t>
      </w:r>
      <w:r w:rsidR="00E53A9D" w:rsidRPr="003D3598">
        <w:rPr>
          <w:rFonts w:ascii="Times New Roman" w:hAnsi="Times New Roman" w:cs="Times New Roman"/>
        </w:rPr>
        <w:t>e</w:t>
      </w:r>
      <w:r w:rsidR="00550EE7" w:rsidRPr="003D3598">
        <w:rPr>
          <w:rFonts w:ascii="Times New Roman" w:hAnsi="Times New Roman" w:cs="Times New Roman"/>
        </w:rPr>
        <w:t xml:space="preserve"> </w:t>
      </w:r>
      <w:r w:rsidR="00CE2B0C" w:rsidRPr="003D3598">
        <w:rPr>
          <w:rFonts w:ascii="Times New Roman" w:hAnsi="Times New Roman" w:cs="Times New Roman"/>
        </w:rPr>
        <w:t>the associations between youths</w:t>
      </w:r>
      <w:r w:rsidR="003C1ED9">
        <w:rPr>
          <w:rFonts w:ascii="Times New Roman" w:hAnsi="Times New Roman" w:cs="Times New Roman"/>
        </w:rPr>
        <w:t>’</w:t>
      </w:r>
      <w:r w:rsidR="00CE2B0C" w:rsidRPr="003D3598">
        <w:rPr>
          <w:rFonts w:ascii="Times New Roman" w:hAnsi="Times New Roman" w:cs="Times New Roman"/>
        </w:rPr>
        <w:t xml:space="preserve"> </w:t>
      </w:r>
      <w:r w:rsidR="00550EE7" w:rsidRPr="003D3598">
        <w:rPr>
          <w:rFonts w:ascii="Times New Roman" w:hAnsi="Times New Roman" w:cs="Times New Roman"/>
        </w:rPr>
        <w:t>subjective experience and their engagement.</w:t>
      </w:r>
      <w:r w:rsidR="00E53A9D" w:rsidRPr="003D3598">
        <w:rPr>
          <w:rFonts w:ascii="Times New Roman" w:hAnsi="Times New Roman" w:cs="Times New Roman"/>
        </w:rPr>
        <w:t xml:space="preserve"> Initial competence beliefs have been </w:t>
      </w:r>
      <w:r w:rsidR="00CE2B0C" w:rsidRPr="003D3598">
        <w:rPr>
          <w:rFonts w:ascii="Times New Roman" w:hAnsi="Times New Roman" w:cs="Times New Roman"/>
        </w:rPr>
        <w:t>shown to moderate</w:t>
      </w:r>
      <w:r w:rsidR="00E53A9D" w:rsidRPr="003D3598">
        <w:rPr>
          <w:rFonts w:ascii="Times New Roman" w:hAnsi="Times New Roman" w:cs="Times New Roman"/>
        </w:rPr>
        <w:t xml:space="preserve"> youths</w:t>
      </w:r>
      <w:r w:rsidR="003C1ED9">
        <w:rPr>
          <w:rFonts w:ascii="Times New Roman" w:hAnsi="Times New Roman" w:cs="Times New Roman"/>
        </w:rPr>
        <w:t>’</w:t>
      </w:r>
      <w:r w:rsidR="00E53A9D" w:rsidRPr="003D3598">
        <w:rPr>
          <w:rFonts w:ascii="Times New Roman" w:hAnsi="Times New Roman" w:cs="Times New Roman"/>
        </w:rPr>
        <w:t xml:space="preserve"> reactions to school-based</w:t>
      </w:r>
      <w:r w:rsidR="00550EE7" w:rsidRPr="003D3598">
        <w:rPr>
          <w:rFonts w:ascii="Times New Roman" w:hAnsi="Times New Roman" w:cs="Times New Roman"/>
        </w:rPr>
        <w:t xml:space="preserve"> </w:t>
      </w:r>
      <w:r w:rsidR="00E53A9D" w:rsidRPr="003D3598">
        <w:rPr>
          <w:rFonts w:ascii="Times New Roman" w:hAnsi="Times New Roman" w:cs="Times New Roman"/>
        </w:rPr>
        <w:t xml:space="preserve">relevance interventions in STEM </w:t>
      </w:r>
      <w:r w:rsidR="00CE2B0C" w:rsidRPr="003D3598">
        <w:rPr>
          <w:rFonts w:ascii="Times New Roman" w:hAnsi="Times New Roman" w:cs="Times New Roman"/>
        </w:rPr>
        <w:t xml:space="preserve">and other disciplines </w:t>
      </w:r>
      <w:r w:rsidR="00E53A9D" w:rsidRPr="003D3598">
        <w:rPr>
          <w:rFonts w:ascii="Times New Roman" w:hAnsi="Times New Roman" w:cs="Times New Roman"/>
        </w:rPr>
        <w:t>(</w:t>
      </w:r>
      <w:proofErr w:type="spellStart"/>
      <w:r w:rsidR="00CE2B0C" w:rsidRPr="003D3598">
        <w:rPr>
          <w:rFonts w:ascii="Times New Roman" w:hAnsi="Times New Roman" w:cs="Times New Roman"/>
        </w:rPr>
        <w:t>Hulleman</w:t>
      </w:r>
      <w:proofErr w:type="spellEnd"/>
      <w:r w:rsidR="00CE2B0C" w:rsidRPr="003D3598">
        <w:rPr>
          <w:rFonts w:ascii="Times New Roman" w:hAnsi="Times New Roman" w:cs="Times New Roman"/>
        </w:rPr>
        <w:t xml:space="preserve"> </w:t>
      </w:r>
      <w:r w:rsidR="005B7412">
        <w:rPr>
          <w:rFonts w:ascii="Times New Roman" w:hAnsi="Times New Roman" w:cs="Times New Roman"/>
        </w:rPr>
        <w:t>&amp;</w:t>
      </w:r>
      <w:r w:rsidR="00CE2B0C" w:rsidRPr="003D3598">
        <w:rPr>
          <w:rFonts w:ascii="Times New Roman" w:hAnsi="Times New Roman" w:cs="Times New Roman"/>
        </w:rPr>
        <w:t xml:space="preserve"> </w:t>
      </w:r>
      <w:proofErr w:type="spellStart"/>
      <w:r w:rsidR="00CE2B0C" w:rsidRPr="003D3598">
        <w:rPr>
          <w:rFonts w:ascii="Times New Roman" w:hAnsi="Times New Roman" w:cs="Times New Roman"/>
        </w:rPr>
        <w:t>Harackiewicz</w:t>
      </w:r>
      <w:proofErr w:type="spellEnd"/>
      <w:r w:rsidR="00CE2B0C" w:rsidRPr="003D3598">
        <w:rPr>
          <w:rFonts w:ascii="Times New Roman" w:hAnsi="Times New Roman" w:cs="Times New Roman"/>
        </w:rPr>
        <w:t xml:space="preserve">, 2009; </w:t>
      </w:r>
      <w:proofErr w:type="spellStart"/>
      <w:r w:rsidR="00CE2B0C" w:rsidRPr="003D3598">
        <w:rPr>
          <w:rFonts w:ascii="Times New Roman" w:hAnsi="Times New Roman" w:cs="Times New Roman"/>
        </w:rPr>
        <w:t>Hulleman</w:t>
      </w:r>
      <w:proofErr w:type="spellEnd"/>
      <w:r w:rsidR="00CE2B0C" w:rsidRPr="003D3598">
        <w:rPr>
          <w:rFonts w:ascii="Times New Roman" w:hAnsi="Times New Roman" w:cs="Times New Roman"/>
        </w:rPr>
        <w:t>, et al., 2010</w:t>
      </w:r>
      <w:r w:rsidR="00E53A9D" w:rsidRPr="003D3598">
        <w:rPr>
          <w:rFonts w:ascii="Times New Roman" w:hAnsi="Times New Roman" w:cs="Times New Roman"/>
        </w:rPr>
        <w:t>). The finding in this study</w:t>
      </w:r>
      <w:r w:rsidR="00550EE7" w:rsidRPr="003D3598">
        <w:rPr>
          <w:rFonts w:ascii="Times New Roman" w:hAnsi="Times New Roman" w:cs="Times New Roman"/>
        </w:rPr>
        <w:t xml:space="preserve"> might suggest that youth approach informal summer program experiences differently than they do formal schooling. </w:t>
      </w:r>
      <w:r w:rsidR="00E53A9D" w:rsidRPr="003D3598">
        <w:rPr>
          <w:rFonts w:ascii="Times New Roman" w:hAnsi="Times New Roman" w:cs="Times New Roman"/>
        </w:rPr>
        <w:t>Perhaps they are more open to participating in the informal settings in which they are not pressured to achieve</w:t>
      </w:r>
      <w:r w:rsidR="00466410">
        <w:rPr>
          <w:rFonts w:ascii="Times New Roman" w:hAnsi="Times New Roman" w:cs="Times New Roman"/>
        </w:rPr>
        <w:t>, and thus their competence in the domain is less salient</w:t>
      </w:r>
      <w:r w:rsidR="00E53A9D" w:rsidRPr="003D3598">
        <w:rPr>
          <w:rFonts w:ascii="Times New Roman" w:hAnsi="Times New Roman" w:cs="Times New Roman"/>
        </w:rPr>
        <w:t>.</w:t>
      </w:r>
    </w:p>
    <w:p w14:paraId="4BE19C4D" w14:textId="4D866431" w:rsidR="00E94431" w:rsidRPr="003D3598" w:rsidRDefault="00E94431" w:rsidP="00A73422">
      <w:pPr>
        <w:contextualSpacing/>
        <w:rPr>
          <w:rFonts w:ascii="Times New Roman" w:hAnsi="Times New Roman" w:cs="Times New Roman"/>
          <w:b/>
        </w:rPr>
      </w:pPr>
      <w:r w:rsidRPr="003D3598">
        <w:rPr>
          <w:rFonts w:ascii="Times New Roman" w:hAnsi="Times New Roman" w:cs="Times New Roman"/>
          <w:b/>
        </w:rPr>
        <w:t>Program Activities</w:t>
      </w:r>
      <w:r w:rsidR="004C5A59" w:rsidRPr="003D3598">
        <w:rPr>
          <w:rFonts w:ascii="Times New Roman" w:hAnsi="Times New Roman" w:cs="Times New Roman"/>
          <w:b/>
        </w:rPr>
        <w:t xml:space="preserve"> as Creating Conditions for Engagement</w:t>
      </w:r>
    </w:p>
    <w:p w14:paraId="100ECB2D" w14:textId="13E65D7B" w:rsidR="00A812DC" w:rsidRDefault="00554126" w:rsidP="00A73422">
      <w:pPr>
        <w:contextualSpacing/>
        <w:rPr>
          <w:rFonts w:ascii="Times New Roman" w:hAnsi="Times New Roman" w:cs="Times New Roman"/>
        </w:rPr>
      </w:pPr>
      <w:r w:rsidRPr="003D3598">
        <w:rPr>
          <w:rFonts w:ascii="Times New Roman" w:hAnsi="Times New Roman" w:cs="Times New Roman"/>
        </w:rPr>
        <w:tab/>
      </w:r>
      <w:r w:rsidR="005B7412">
        <w:rPr>
          <w:rFonts w:ascii="Times New Roman" w:hAnsi="Times New Roman" w:cs="Times New Roman"/>
        </w:rPr>
        <w:t>Our results indicated that y</w:t>
      </w:r>
      <w:r w:rsidRPr="003D3598">
        <w:rPr>
          <w:rFonts w:ascii="Times New Roman" w:hAnsi="Times New Roman" w:cs="Times New Roman"/>
        </w:rPr>
        <w:t xml:space="preserve">outh responded positively to </w:t>
      </w:r>
      <w:r w:rsidR="006E29B9">
        <w:rPr>
          <w:rFonts w:ascii="Times New Roman" w:hAnsi="Times New Roman" w:cs="Times New Roman"/>
        </w:rPr>
        <w:t xml:space="preserve">both </w:t>
      </w:r>
      <w:r w:rsidR="009760E3" w:rsidRPr="003D3598">
        <w:rPr>
          <w:rFonts w:ascii="Times New Roman" w:hAnsi="Times New Roman" w:cs="Times New Roman"/>
        </w:rPr>
        <w:t>creating products</w:t>
      </w:r>
      <w:r w:rsidR="006E29B9">
        <w:rPr>
          <w:rFonts w:ascii="Times New Roman" w:hAnsi="Times New Roman" w:cs="Times New Roman"/>
        </w:rPr>
        <w:t xml:space="preserve"> and basic skills activities: </w:t>
      </w:r>
      <w:r w:rsidR="00F91F58">
        <w:rPr>
          <w:rFonts w:ascii="Times New Roman" w:hAnsi="Times New Roman" w:cs="Times New Roman"/>
        </w:rPr>
        <w:t>These are the only two activities that y</w:t>
      </w:r>
      <w:r w:rsidR="006E29B9">
        <w:rPr>
          <w:rFonts w:ascii="Times New Roman" w:hAnsi="Times New Roman" w:cs="Times New Roman"/>
        </w:rPr>
        <w:t>outh reported</w:t>
      </w:r>
      <w:r w:rsidR="00F91F58">
        <w:rPr>
          <w:rFonts w:ascii="Times New Roman" w:hAnsi="Times New Roman" w:cs="Times New Roman"/>
        </w:rPr>
        <w:t xml:space="preserve"> to be</w:t>
      </w:r>
      <w:r w:rsidR="006E29B9">
        <w:rPr>
          <w:rFonts w:ascii="Times New Roman" w:hAnsi="Times New Roman" w:cs="Times New Roman"/>
        </w:rPr>
        <w:t xml:space="preserve"> </w:t>
      </w:r>
      <w:r w:rsidR="008260A6" w:rsidRPr="003D3598">
        <w:rPr>
          <w:rFonts w:ascii="Times New Roman" w:hAnsi="Times New Roman" w:cs="Times New Roman"/>
        </w:rPr>
        <w:t xml:space="preserve">relevant, challenging, and educational. </w:t>
      </w:r>
      <w:r w:rsidR="006E29B9">
        <w:rPr>
          <w:rFonts w:ascii="Times New Roman" w:hAnsi="Times New Roman" w:cs="Times New Roman"/>
        </w:rPr>
        <w:t>That students held these perceptions of these two activities is surprising</w:t>
      </w:r>
      <w:r w:rsidR="00F91F58">
        <w:rPr>
          <w:rFonts w:ascii="Times New Roman" w:hAnsi="Times New Roman" w:cs="Times New Roman"/>
        </w:rPr>
        <w:t>, as in many ways they represent opposite ends of the activity spectrum we observed. The basic skills activities looked very much like traditional school activities, and included worksheets, other seat work, and practice drills</w:t>
      </w:r>
      <w:r w:rsidR="00A812DC">
        <w:rPr>
          <w:rFonts w:ascii="Times New Roman" w:hAnsi="Times New Roman" w:cs="Times New Roman"/>
        </w:rPr>
        <w:t xml:space="preserve"> that might not be the most appealing activities to youth as a summer activity</w:t>
      </w:r>
      <w:r w:rsidR="00F91F58">
        <w:rPr>
          <w:rFonts w:ascii="Times New Roman" w:hAnsi="Times New Roman" w:cs="Times New Roman"/>
        </w:rPr>
        <w:t>. The activities coded as “creating products,” on the other hand, included designing and building machines, creating models to represent concepts</w:t>
      </w:r>
      <w:r w:rsidR="00A812DC">
        <w:rPr>
          <w:rFonts w:ascii="Times New Roman" w:hAnsi="Times New Roman" w:cs="Times New Roman"/>
        </w:rPr>
        <w:t>, and other more presumably active and creative pursuits</w:t>
      </w:r>
      <w:r w:rsidR="00F91F58">
        <w:rPr>
          <w:rFonts w:ascii="Times New Roman" w:hAnsi="Times New Roman" w:cs="Times New Roman"/>
        </w:rPr>
        <w:t>.</w:t>
      </w:r>
      <w:r w:rsidR="00A812DC">
        <w:rPr>
          <w:rFonts w:ascii="Times New Roman" w:hAnsi="Times New Roman" w:cs="Times New Roman"/>
        </w:rPr>
        <w:t xml:space="preserve"> What these two types of activities may share in common however, is that they each required that students either practice or apply their STEM knowledge and skills. It is important for OST educators to understand that both types of STEM-focused activity are engaging for youth. </w:t>
      </w:r>
      <w:r w:rsidR="0046230D">
        <w:rPr>
          <w:rFonts w:ascii="Times New Roman" w:hAnsi="Times New Roman" w:cs="Times New Roman"/>
        </w:rPr>
        <w:t>A longitudinal study of the career trajectories of participants in a STEM focused OST program identified having diverse opportunities to practice science as a key program design principle that contributed to persistence in STEM (</w:t>
      </w:r>
      <w:proofErr w:type="spellStart"/>
      <w:r w:rsidR="0046230D">
        <w:rPr>
          <w:rFonts w:ascii="Times New Roman" w:hAnsi="Times New Roman" w:cs="Times New Roman"/>
        </w:rPr>
        <w:t>Habig</w:t>
      </w:r>
      <w:proofErr w:type="spellEnd"/>
      <w:r w:rsidR="0046230D">
        <w:rPr>
          <w:rFonts w:ascii="Times New Roman" w:hAnsi="Times New Roman" w:cs="Times New Roman"/>
        </w:rPr>
        <w:t xml:space="preserve">, Gupta, Levine &amp; </w:t>
      </w:r>
      <w:r w:rsidR="0046230D">
        <w:rPr>
          <w:rFonts w:ascii="Times New Roman" w:hAnsi="Times New Roman" w:cs="Times New Roman"/>
        </w:rPr>
        <w:lastRenderedPageBreak/>
        <w:t xml:space="preserve">Adams, 2018). As such, offering multiple ways for youth to interact with science content may not only be engaging in the moment, but </w:t>
      </w:r>
      <w:r w:rsidR="0002108F">
        <w:rPr>
          <w:rFonts w:ascii="Times New Roman" w:hAnsi="Times New Roman" w:cs="Times New Roman"/>
        </w:rPr>
        <w:t xml:space="preserve">if sustained over time </w:t>
      </w:r>
      <w:r w:rsidR="0046230D">
        <w:rPr>
          <w:rFonts w:ascii="Times New Roman" w:hAnsi="Times New Roman" w:cs="Times New Roman"/>
        </w:rPr>
        <w:t xml:space="preserve">may have longer-term impacts </w:t>
      </w:r>
      <w:r w:rsidR="0002108F">
        <w:rPr>
          <w:rFonts w:ascii="Times New Roman" w:hAnsi="Times New Roman" w:cs="Times New Roman"/>
        </w:rPr>
        <w:t xml:space="preserve">on career development </w:t>
      </w:r>
      <w:r w:rsidR="0046230D">
        <w:rPr>
          <w:rFonts w:ascii="Times New Roman" w:hAnsi="Times New Roman" w:cs="Times New Roman"/>
        </w:rPr>
        <w:t xml:space="preserve">as well.  </w:t>
      </w:r>
    </w:p>
    <w:p w14:paraId="06F08764" w14:textId="4E09DEBE" w:rsidR="00081634" w:rsidRPr="00EE39D7" w:rsidRDefault="00A812DC" w:rsidP="00A73422">
      <w:pPr>
        <w:contextualSpacing/>
        <w:rPr>
          <w:rFonts w:ascii="Times New Roman" w:hAnsi="Times New Roman" w:cs="Times New Roman"/>
        </w:rPr>
      </w:pPr>
      <w:r>
        <w:rPr>
          <w:rFonts w:ascii="Times New Roman" w:hAnsi="Times New Roman" w:cs="Times New Roman"/>
        </w:rPr>
        <w:t xml:space="preserve">  </w:t>
      </w:r>
      <w:r w:rsidR="00F91F58">
        <w:rPr>
          <w:rFonts w:ascii="Times New Roman" w:hAnsi="Times New Roman" w:cs="Times New Roman"/>
        </w:rPr>
        <w:t xml:space="preserve">  </w:t>
      </w:r>
      <w:r>
        <w:rPr>
          <w:rFonts w:ascii="Times New Roman" w:hAnsi="Times New Roman" w:cs="Times New Roman"/>
        </w:rPr>
        <w:tab/>
      </w:r>
      <w:r w:rsidR="000B7632">
        <w:rPr>
          <w:rFonts w:ascii="Times New Roman" w:hAnsi="Times New Roman" w:cs="Times New Roman"/>
        </w:rPr>
        <w:t>O</w:t>
      </w:r>
      <w:r w:rsidR="009610D9" w:rsidRPr="003D3598">
        <w:rPr>
          <w:rFonts w:ascii="Times New Roman" w:hAnsi="Times New Roman" w:cs="Times New Roman"/>
        </w:rPr>
        <w:t>n the surface</w:t>
      </w:r>
      <w:r w:rsidR="00296A44">
        <w:rPr>
          <w:rFonts w:ascii="Times New Roman" w:hAnsi="Times New Roman" w:cs="Times New Roman"/>
        </w:rPr>
        <w:t>,</w:t>
      </w:r>
      <w:r w:rsidR="009610D9" w:rsidRPr="003D3598">
        <w:rPr>
          <w:rFonts w:ascii="Times New Roman" w:hAnsi="Times New Roman" w:cs="Times New Roman"/>
        </w:rPr>
        <w:t xml:space="preserve"> lab</w:t>
      </w:r>
      <w:r w:rsidR="00296A44">
        <w:rPr>
          <w:rFonts w:ascii="Times New Roman" w:hAnsi="Times New Roman" w:cs="Times New Roman"/>
        </w:rPr>
        <w:t xml:space="preserve"> activities</w:t>
      </w:r>
      <w:r w:rsidR="009610D9" w:rsidRPr="003D3598">
        <w:rPr>
          <w:rFonts w:ascii="Times New Roman" w:hAnsi="Times New Roman" w:cs="Times New Roman"/>
        </w:rPr>
        <w:t xml:space="preserve"> and creating</w:t>
      </w:r>
      <w:r w:rsidR="00296A44">
        <w:rPr>
          <w:rFonts w:ascii="Times New Roman" w:hAnsi="Times New Roman" w:cs="Times New Roman"/>
        </w:rPr>
        <w:t xml:space="preserve"> products</w:t>
      </w:r>
      <w:r w:rsidR="009610D9" w:rsidRPr="003D3598">
        <w:rPr>
          <w:rFonts w:ascii="Times New Roman" w:hAnsi="Times New Roman" w:cs="Times New Roman"/>
        </w:rPr>
        <w:t xml:space="preserve"> </w:t>
      </w:r>
      <w:r w:rsidR="00296A44">
        <w:rPr>
          <w:rFonts w:ascii="Times New Roman" w:hAnsi="Times New Roman" w:cs="Times New Roman"/>
        </w:rPr>
        <w:t>may</w:t>
      </w:r>
      <w:r w:rsidR="009610D9" w:rsidRPr="003D3598">
        <w:rPr>
          <w:rFonts w:ascii="Times New Roman" w:hAnsi="Times New Roman" w:cs="Times New Roman"/>
        </w:rPr>
        <w:t xml:space="preserve"> seem to share some characteristics</w:t>
      </w:r>
      <w:r w:rsidR="00296A44">
        <w:rPr>
          <w:rFonts w:ascii="Times New Roman" w:hAnsi="Times New Roman" w:cs="Times New Roman"/>
        </w:rPr>
        <w:t xml:space="preserve"> in that b</w:t>
      </w:r>
      <w:r w:rsidR="009610D9" w:rsidRPr="003D3598">
        <w:rPr>
          <w:rFonts w:ascii="Times New Roman" w:hAnsi="Times New Roman" w:cs="Times New Roman"/>
        </w:rPr>
        <w:t xml:space="preserve">oth </w:t>
      </w:r>
      <w:r w:rsidR="00296A44">
        <w:rPr>
          <w:rFonts w:ascii="Times New Roman" w:hAnsi="Times New Roman" w:cs="Times New Roman"/>
        </w:rPr>
        <w:t xml:space="preserve">are “hands-on” </w:t>
      </w:r>
      <w:r w:rsidR="000B7632">
        <w:rPr>
          <w:rFonts w:ascii="Times New Roman" w:hAnsi="Times New Roman" w:cs="Times New Roman"/>
        </w:rPr>
        <w:t>activities that</w:t>
      </w:r>
      <w:r w:rsidR="00296A44">
        <w:rPr>
          <w:rFonts w:ascii="Times New Roman" w:hAnsi="Times New Roman" w:cs="Times New Roman"/>
        </w:rPr>
        <w:t xml:space="preserve"> </w:t>
      </w:r>
      <w:r w:rsidR="009610D9" w:rsidRPr="003D3598">
        <w:rPr>
          <w:rFonts w:ascii="Times New Roman" w:hAnsi="Times New Roman" w:cs="Times New Roman"/>
        </w:rPr>
        <w:t>require active participation</w:t>
      </w:r>
      <w:r w:rsidR="00074861" w:rsidRPr="003D3598">
        <w:rPr>
          <w:rFonts w:ascii="Times New Roman" w:hAnsi="Times New Roman" w:cs="Times New Roman"/>
        </w:rPr>
        <w:t xml:space="preserve"> to complete</w:t>
      </w:r>
      <w:r w:rsidR="009610D9" w:rsidRPr="003D3598">
        <w:rPr>
          <w:rFonts w:ascii="Times New Roman" w:hAnsi="Times New Roman" w:cs="Times New Roman"/>
        </w:rPr>
        <w:t>.</w:t>
      </w:r>
      <w:r w:rsidR="00E0595C" w:rsidRPr="003D3598">
        <w:rPr>
          <w:rFonts w:ascii="Times New Roman" w:hAnsi="Times New Roman" w:cs="Times New Roman"/>
        </w:rPr>
        <w:t xml:space="preserve"> </w:t>
      </w:r>
      <w:r w:rsidR="000B7632">
        <w:rPr>
          <w:rFonts w:ascii="Times New Roman" w:hAnsi="Times New Roman" w:cs="Times New Roman"/>
        </w:rPr>
        <w:t xml:space="preserve">However, the youth in our study perceived lab activities very differently from creating products. Youth reported that labs did not engender any of the </w:t>
      </w:r>
      <w:r w:rsidR="00325C79">
        <w:rPr>
          <w:rFonts w:ascii="Times New Roman" w:hAnsi="Times New Roman" w:cs="Times New Roman"/>
        </w:rPr>
        <w:t>conditions</w:t>
      </w:r>
      <w:r w:rsidR="000B7632">
        <w:rPr>
          <w:rFonts w:ascii="Times New Roman" w:hAnsi="Times New Roman" w:cs="Times New Roman"/>
        </w:rPr>
        <w:t xml:space="preserve"> for engagement in that they were not especially challenging, relevant, or educational relative to other activities they did in their programs. </w:t>
      </w:r>
      <w:r w:rsidR="009610D9" w:rsidRPr="003D3598">
        <w:rPr>
          <w:rFonts w:ascii="Times New Roman" w:hAnsi="Times New Roman" w:cs="Times New Roman"/>
        </w:rPr>
        <w:t xml:space="preserve">In these </w:t>
      </w:r>
      <w:r w:rsidR="000B7632">
        <w:rPr>
          <w:rFonts w:ascii="Times New Roman" w:hAnsi="Times New Roman" w:cs="Times New Roman"/>
        </w:rPr>
        <w:t xml:space="preserve">particular </w:t>
      </w:r>
      <w:r w:rsidR="009610D9" w:rsidRPr="003D3598">
        <w:rPr>
          <w:rFonts w:ascii="Times New Roman" w:hAnsi="Times New Roman" w:cs="Times New Roman"/>
        </w:rPr>
        <w:t>programs, however, labs were rarely designed by the youth</w:t>
      </w:r>
      <w:r w:rsidR="000B7632">
        <w:rPr>
          <w:rFonts w:ascii="Times New Roman" w:hAnsi="Times New Roman" w:cs="Times New Roman"/>
        </w:rPr>
        <w:t>,</w:t>
      </w:r>
      <w:r w:rsidR="009610D9" w:rsidRPr="003D3598">
        <w:rPr>
          <w:rFonts w:ascii="Times New Roman" w:hAnsi="Times New Roman" w:cs="Times New Roman"/>
        </w:rPr>
        <w:t xml:space="preserve"> whereas </w:t>
      </w:r>
      <w:r w:rsidR="002B78FB" w:rsidRPr="003D3598">
        <w:rPr>
          <w:rFonts w:ascii="Times New Roman" w:hAnsi="Times New Roman" w:cs="Times New Roman"/>
        </w:rPr>
        <w:t xml:space="preserve">youth </w:t>
      </w:r>
      <w:r w:rsidR="009610D9" w:rsidRPr="003D3598">
        <w:rPr>
          <w:rFonts w:ascii="Times New Roman" w:hAnsi="Times New Roman" w:cs="Times New Roman"/>
        </w:rPr>
        <w:t>were responsible for planning and designing the products</w:t>
      </w:r>
      <w:r w:rsidR="007B03C6" w:rsidRPr="003D3598">
        <w:rPr>
          <w:rFonts w:ascii="Times New Roman" w:hAnsi="Times New Roman" w:cs="Times New Roman"/>
        </w:rPr>
        <w:t xml:space="preserve"> they created</w:t>
      </w:r>
      <w:r w:rsidR="009610D9" w:rsidRPr="003D3598">
        <w:rPr>
          <w:rFonts w:ascii="Times New Roman" w:hAnsi="Times New Roman" w:cs="Times New Roman"/>
        </w:rPr>
        <w:t xml:space="preserve">. </w:t>
      </w:r>
      <w:r w:rsidR="002B78FB" w:rsidRPr="003D3598">
        <w:rPr>
          <w:rFonts w:ascii="Times New Roman" w:hAnsi="Times New Roman" w:cs="Times New Roman"/>
        </w:rPr>
        <w:t>The lab activities that we observed across these programs tended to suffer from some of the same limitations researchers have observed in science classrooms</w:t>
      </w:r>
      <w:r w:rsidR="00A318C8">
        <w:rPr>
          <w:rFonts w:ascii="Times New Roman" w:hAnsi="Times New Roman" w:cs="Times New Roman"/>
        </w:rPr>
        <w:t xml:space="preserve">: </w:t>
      </w:r>
      <w:r w:rsidR="005B7412">
        <w:rPr>
          <w:rFonts w:ascii="Times New Roman" w:hAnsi="Times New Roman" w:cs="Times New Roman"/>
        </w:rPr>
        <w:t>T</w:t>
      </w:r>
      <w:r w:rsidR="002B78FB" w:rsidRPr="007442AD">
        <w:rPr>
          <w:rFonts w:ascii="Times New Roman" w:hAnsi="Times New Roman" w:cs="Times New Roman"/>
        </w:rPr>
        <w:t>hey were structured as opportunities for students to follow a series of pre-determined steps in order to reach a known “</w:t>
      </w:r>
      <w:r w:rsidR="00D41A97">
        <w:rPr>
          <w:rFonts w:ascii="Times New Roman" w:hAnsi="Times New Roman" w:cs="Times New Roman"/>
        </w:rPr>
        <w:t xml:space="preserve">right </w:t>
      </w:r>
      <w:r w:rsidR="002B78FB" w:rsidRPr="00D41A97">
        <w:rPr>
          <w:rFonts w:ascii="Times New Roman" w:hAnsi="Times New Roman" w:cs="Times New Roman"/>
        </w:rPr>
        <w:t>answer</w:t>
      </w:r>
      <w:r w:rsidR="00A318C8">
        <w:rPr>
          <w:rFonts w:ascii="Times New Roman" w:hAnsi="Times New Roman" w:cs="Times New Roman"/>
        </w:rPr>
        <w:t>,</w:t>
      </w:r>
      <w:r w:rsidR="002B78FB" w:rsidRPr="00D41A97">
        <w:rPr>
          <w:rFonts w:ascii="Times New Roman" w:hAnsi="Times New Roman" w:cs="Times New Roman"/>
        </w:rPr>
        <w:t xml:space="preserve">” rather than </w:t>
      </w:r>
      <w:r w:rsidR="005B7412">
        <w:rPr>
          <w:rFonts w:ascii="Times New Roman" w:hAnsi="Times New Roman" w:cs="Times New Roman"/>
        </w:rPr>
        <w:t xml:space="preserve">as </w:t>
      </w:r>
      <w:r w:rsidR="002B78FB" w:rsidRPr="00D41A97">
        <w:rPr>
          <w:rFonts w:ascii="Times New Roman" w:hAnsi="Times New Roman" w:cs="Times New Roman"/>
        </w:rPr>
        <w:t>a process of more authentic inquiry and discovery</w:t>
      </w:r>
      <w:r w:rsidR="007442AD">
        <w:rPr>
          <w:rFonts w:ascii="Times New Roman" w:hAnsi="Times New Roman" w:cs="Times New Roman"/>
        </w:rPr>
        <w:t xml:space="preserve">. </w:t>
      </w:r>
      <w:r w:rsidR="004F7499" w:rsidRPr="00D41A97">
        <w:rPr>
          <w:rFonts w:ascii="Times New Roman" w:hAnsi="Times New Roman" w:cs="Times New Roman"/>
        </w:rPr>
        <w:t xml:space="preserve"> (</w:t>
      </w:r>
      <w:proofErr w:type="spellStart"/>
      <w:r w:rsidR="00011528">
        <w:rPr>
          <w:rFonts w:ascii="Times New Roman" w:hAnsi="Times New Roman" w:cs="Times New Roman"/>
        </w:rPr>
        <w:t>Furtak</w:t>
      </w:r>
      <w:proofErr w:type="spellEnd"/>
      <w:r w:rsidR="00011528">
        <w:rPr>
          <w:rFonts w:ascii="Times New Roman" w:hAnsi="Times New Roman" w:cs="Times New Roman"/>
        </w:rPr>
        <w:t xml:space="preserve"> &amp; Penuel, 2019; </w:t>
      </w:r>
      <w:r w:rsidR="004F7499" w:rsidRPr="00D41A97">
        <w:rPr>
          <w:rFonts w:ascii="Times New Roman" w:hAnsi="Times New Roman" w:cs="Times New Roman"/>
        </w:rPr>
        <w:t xml:space="preserve">Kang, </w:t>
      </w:r>
      <w:proofErr w:type="spellStart"/>
      <w:r w:rsidR="004F7499" w:rsidRPr="00D41A97">
        <w:rPr>
          <w:rFonts w:ascii="Times New Roman" w:hAnsi="Times New Roman" w:cs="Times New Roman"/>
        </w:rPr>
        <w:t>Windschitl</w:t>
      </w:r>
      <w:proofErr w:type="spellEnd"/>
      <w:r w:rsidR="004F7499" w:rsidRPr="00D41A97">
        <w:rPr>
          <w:rFonts w:ascii="Times New Roman" w:hAnsi="Times New Roman" w:cs="Times New Roman"/>
        </w:rPr>
        <w:t xml:space="preserve">, </w:t>
      </w:r>
      <w:proofErr w:type="spellStart"/>
      <w:r w:rsidR="004F7499" w:rsidRPr="00D41A97">
        <w:rPr>
          <w:rFonts w:ascii="Times New Roman" w:hAnsi="Times New Roman" w:cs="Times New Roman"/>
        </w:rPr>
        <w:t>Stroupe</w:t>
      </w:r>
      <w:proofErr w:type="spellEnd"/>
      <w:r w:rsidR="005B7412">
        <w:rPr>
          <w:rFonts w:ascii="Times New Roman" w:hAnsi="Times New Roman" w:cs="Times New Roman"/>
        </w:rPr>
        <w:t>,</w:t>
      </w:r>
      <w:r w:rsidR="004F7499" w:rsidRPr="00D41A97">
        <w:rPr>
          <w:rFonts w:ascii="Times New Roman" w:hAnsi="Times New Roman" w:cs="Times New Roman"/>
        </w:rPr>
        <w:t xml:space="preserve"> &amp; Thompson, 2016</w:t>
      </w:r>
      <w:r w:rsidR="00011528">
        <w:rPr>
          <w:rFonts w:ascii="Times New Roman" w:hAnsi="Times New Roman" w:cs="Times New Roman"/>
        </w:rPr>
        <w:t>;</w:t>
      </w:r>
      <w:r w:rsidR="00617156">
        <w:rPr>
          <w:rFonts w:ascii="Times New Roman" w:hAnsi="Times New Roman" w:cs="Times New Roman"/>
        </w:rPr>
        <w:t xml:space="preserve"> National Research Council, 2018;</w:t>
      </w:r>
      <w:r w:rsidR="00011528">
        <w:rPr>
          <w:rFonts w:ascii="Times New Roman" w:hAnsi="Times New Roman" w:cs="Times New Roman"/>
        </w:rPr>
        <w:t xml:space="preserve"> </w:t>
      </w:r>
      <w:r w:rsidR="004F7499" w:rsidRPr="00A318C8">
        <w:rPr>
          <w:rFonts w:ascii="Times New Roman" w:hAnsi="Times New Roman" w:cs="Times New Roman"/>
        </w:rPr>
        <w:t xml:space="preserve">Roth, Garnier, Chen, </w:t>
      </w:r>
      <w:proofErr w:type="spellStart"/>
      <w:r w:rsidR="004F7499" w:rsidRPr="00A318C8">
        <w:rPr>
          <w:rFonts w:ascii="Times New Roman" w:hAnsi="Times New Roman" w:cs="Times New Roman"/>
        </w:rPr>
        <w:t>Lemmens</w:t>
      </w:r>
      <w:proofErr w:type="spellEnd"/>
      <w:r w:rsidR="004F7499" w:rsidRPr="00A318C8">
        <w:rPr>
          <w:rFonts w:ascii="Times New Roman" w:hAnsi="Times New Roman" w:cs="Times New Roman"/>
        </w:rPr>
        <w:t xml:space="preserve">, </w:t>
      </w:r>
      <w:proofErr w:type="spellStart"/>
      <w:r w:rsidR="004F7499" w:rsidRPr="00A318C8">
        <w:rPr>
          <w:rFonts w:ascii="Times New Roman" w:hAnsi="Times New Roman" w:cs="Times New Roman"/>
        </w:rPr>
        <w:t>Schwille</w:t>
      </w:r>
      <w:proofErr w:type="spellEnd"/>
      <w:r w:rsidR="005B7412">
        <w:rPr>
          <w:rFonts w:ascii="Times New Roman" w:hAnsi="Times New Roman" w:cs="Times New Roman"/>
        </w:rPr>
        <w:t>, &amp;</w:t>
      </w:r>
      <w:r w:rsidR="004F7499" w:rsidRPr="007442AD">
        <w:rPr>
          <w:rFonts w:ascii="Times New Roman" w:hAnsi="Times New Roman" w:cs="Times New Roman"/>
        </w:rPr>
        <w:t xml:space="preserve"> </w:t>
      </w:r>
      <w:proofErr w:type="spellStart"/>
      <w:r w:rsidR="004F7499" w:rsidRPr="007442AD">
        <w:rPr>
          <w:rFonts w:ascii="Times New Roman" w:hAnsi="Times New Roman" w:cs="Times New Roman"/>
        </w:rPr>
        <w:t>Wickler</w:t>
      </w:r>
      <w:proofErr w:type="spellEnd"/>
      <w:r w:rsidR="004F7499" w:rsidRPr="007442AD">
        <w:rPr>
          <w:rFonts w:ascii="Times New Roman" w:hAnsi="Times New Roman" w:cs="Times New Roman"/>
        </w:rPr>
        <w:t>, 2011)</w:t>
      </w:r>
      <w:r w:rsidR="002B78FB" w:rsidRPr="007442AD">
        <w:rPr>
          <w:rFonts w:ascii="Times New Roman" w:hAnsi="Times New Roman" w:cs="Times New Roman"/>
        </w:rPr>
        <w:t>. Additionally</w:t>
      </w:r>
      <w:r w:rsidR="00074861" w:rsidRPr="007442AD">
        <w:rPr>
          <w:rFonts w:ascii="Times New Roman" w:hAnsi="Times New Roman" w:cs="Times New Roman"/>
        </w:rPr>
        <w:t xml:space="preserve">, creating </w:t>
      </w:r>
      <w:r w:rsidR="00081634" w:rsidRPr="00011528">
        <w:rPr>
          <w:rFonts w:ascii="Times New Roman" w:hAnsi="Times New Roman" w:cs="Times New Roman"/>
        </w:rPr>
        <w:t>products w</w:t>
      </w:r>
      <w:r w:rsidR="00074861" w:rsidRPr="00011528">
        <w:rPr>
          <w:rFonts w:ascii="Times New Roman" w:hAnsi="Times New Roman" w:cs="Times New Roman"/>
        </w:rPr>
        <w:t>as</w:t>
      </w:r>
      <w:r w:rsidR="00081634" w:rsidRPr="00011528">
        <w:rPr>
          <w:rFonts w:ascii="Times New Roman" w:hAnsi="Times New Roman" w:cs="Times New Roman"/>
        </w:rPr>
        <w:t xml:space="preserve"> central to the </w:t>
      </w:r>
      <w:r w:rsidR="00074861" w:rsidRPr="00011528">
        <w:rPr>
          <w:rFonts w:ascii="Times New Roman" w:hAnsi="Times New Roman" w:cs="Times New Roman"/>
        </w:rPr>
        <w:t xml:space="preserve">purpose and </w:t>
      </w:r>
      <w:r w:rsidR="00074861" w:rsidRPr="00EE39D7">
        <w:rPr>
          <w:rFonts w:ascii="Times New Roman" w:hAnsi="Times New Roman" w:cs="Times New Roman"/>
        </w:rPr>
        <w:t xml:space="preserve">identity of several of the programs in this study in </w:t>
      </w:r>
      <w:r w:rsidR="004C5A59" w:rsidRPr="00EE39D7">
        <w:rPr>
          <w:rFonts w:ascii="Times New Roman" w:hAnsi="Times New Roman" w:cs="Times New Roman"/>
        </w:rPr>
        <w:t>a</w:t>
      </w:r>
      <w:r w:rsidR="00074861" w:rsidRPr="00EE39D7">
        <w:rPr>
          <w:rFonts w:ascii="Times New Roman" w:hAnsi="Times New Roman" w:cs="Times New Roman"/>
        </w:rPr>
        <w:t xml:space="preserve"> way that labs were not</w:t>
      </w:r>
      <w:r w:rsidR="005B7412">
        <w:rPr>
          <w:rFonts w:ascii="Times New Roman" w:hAnsi="Times New Roman" w:cs="Times New Roman"/>
        </w:rPr>
        <w:t xml:space="preserve"> (i.e., the program</w:t>
      </w:r>
      <w:r w:rsidR="000B7632">
        <w:rPr>
          <w:rFonts w:ascii="Times New Roman" w:hAnsi="Times New Roman" w:cs="Times New Roman"/>
        </w:rPr>
        <w:t>s</w:t>
      </w:r>
      <w:r w:rsidR="005B7412">
        <w:rPr>
          <w:rFonts w:ascii="Times New Roman" w:hAnsi="Times New Roman" w:cs="Times New Roman"/>
        </w:rPr>
        <w:t xml:space="preserve"> </w:t>
      </w:r>
      <w:r w:rsidR="000B7632">
        <w:rPr>
          <w:rFonts w:ascii="Times New Roman" w:hAnsi="Times New Roman" w:cs="Times New Roman"/>
        </w:rPr>
        <w:t>were</w:t>
      </w:r>
      <w:r w:rsidR="005B7412">
        <w:rPr>
          <w:rFonts w:ascii="Times New Roman" w:hAnsi="Times New Roman" w:cs="Times New Roman"/>
        </w:rPr>
        <w:t xml:space="preserve"> billed as a “building” program</w:t>
      </w:r>
      <w:r w:rsidR="000B7632">
        <w:rPr>
          <w:rFonts w:ascii="Times New Roman" w:hAnsi="Times New Roman" w:cs="Times New Roman"/>
        </w:rPr>
        <w:t>s whereas lab activities were conducted in the service learning about something else</w:t>
      </w:r>
      <w:r w:rsidR="005B7412">
        <w:rPr>
          <w:rFonts w:ascii="Times New Roman" w:hAnsi="Times New Roman" w:cs="Times New Roman"/>
        </w:rPr>
        <w:t>)</w:t>
      </w:r>
      <w:r w:rsidR="008945C0">
        <w:rPr>
          <w:rFonts w:ascii="Times New Roman" w:hAnsi="Times New Roman" w:cs="Times New Roman"/>
        </w:rPr>
        <w:t>. Thus,</w:t>
      </w:r>
      <w:r w:rsidR="00074861" w:rsidRPr="00EE39D7">
        <w:rPr>
          <w:rFonts w:ascii="Times New Roman" w:hAnsi="Times New Roman" w:cs="Times New Roman"/>
        </w:rPr>
        <w:t xml:space="preserve"> it might be that the program staff </w:t>
      </w:r>
      <w:r w:rsidR="003B6F2C" w:rsidRPr="00EE39D7">
        <w:rPr>
          <w:rFonts w:ascii="Times New Roman" w:hAnsi="Times New Roman" w:cs="Times New Roman"/>
        </w:rPr>
        <w:t xml:space="preserve">were </w:t>
      </w:r>
      <w:r w:rsidR="00912339" w:rsidRPr="00EE39D7">
        <w:rPr>
          <w:rFonts w:ascii="Times New Roman" w:hAnsi="Times New Roman" w:cs="Times New Roman"/>
        </w:rPr>
        <w:t xml:space="preserve">particularly </w:t>
      </w:r>
      <w:r w:rsidR="003B6F2C" w:rsidRPr="00EE39D7">
        <w:rPr>
          <w:rFonts w:ascii="Times New Roman" w:hAnsi="Times New Roman" w:cs="Times New Roman"/>
        </w:rPr>
        <w:t>committed to facilitating the youth experie</w:t>
      </w:r>
      <w:r w:rsidR="004C5A59" w:rsidRPr="00EE39D7">
        <w:rPr>
          <w:rFonts w:ascii="Times New Roman" w:hAnsi="Times New Roman" w:cs="Times New Roman"/>
        </w:rPr>
        <w:t>nce in product creation.</w:t>
      </w:r>
      <w:r w:rsidR="00870EF0">
        <w:rPr>
          <w:rFonts w:ascii="Times New Roman" w:hAnsi="Times New Roman" w:cs="Times New Roman"/>
        </w:rPr>
        <w:t xml:space="preserve"> </w:t>
      </w:r>
      <w:r w:rsidR="00CF724A">
        <w:rPr>
          <w:rFonts w:ascii="Times New Roman" w:hAnsi="Times New Roman" w:cs="Times New Roman"/>
        </w:rPr>
        <w:t xml:space="preserve">The </w:t>
      </w:r>
      <w:r w:rsidR="00912339" w:rsidRPr="00510F66">
        <w:rPr>
          <w:rFonts w:ascii="Times New Roman" w:hAnsi="Times New Roman" w:cs="Times New Roman"/>
        </w:rPr>
        <w:t xml:space="preserve">observed differences in student experience in lab </w:t>
      </w:r>
      <w:r w:rsidR="00CF724A">
        <w:rPr>
          <w:rFonts w:ascii="Times New Roman" w:hAnsi="Times New Roman" w:cs="Times New Roman"/>
        </w:rPr>
        <w:t>relative to creating products</w:t>
      </w:r>
      <w:r w:rsidR="00912339" w:rsidRPr="00026666">
        <w:rPr>
          <w:rFonts w:ascii="Times New Roman" w:hAnsi="Times New Roman" w:cs="Times New Roman"/>
        </w:rPr>
        <w:t xml:space="preserve"> might reflect the programmatic emphasis in the nine programs we studied, and </w:t>
      </w:r>
      <w:r w:rsidR="00875C38">
        <w:rPr>
          <w:rFonts w:ascii="Times New Roman" w:hAnsi="Times New Roman" w:cs="Times New Roman"/>
        </w:rPr>
        <w:t xml:space="preserve">so </w:t>
      </w:r>
      <w:r w:rsidR="00912339" w:rsidRPr="00026666">
        <w:rPr>
          <w:rFonts w:ascii="Times New Roman" w:hAnsi="Times New Roman" w:cs="Times New Roman"/>
        </w:rPr>
        <w:t>results might look different in programs where lab activities are more</w:t>
      </w:r>
      <w:r w:rsidR="00DB70B7">
        <w:rPr>
          <w:rFonts w:ascii="Times New Roman" w:hAnsi="Times New Roman" w:cs="Times New Roman"/>
        </w:rPr>
        <w:t xml:space="preserve"> integral.</w:t>
      </w:r>
    </w:p>
    <w:p w14:paraId="1053D790" w14:textId="0CB6BCD1" w:rsidR="00554126" w:rsidRPr="003D3598" w:rsidRDefault="00081634" w:rsidP="00A73422">
      <w:pPr>
        <w:contextualSpacing/>
        <w:rPr>
          <w:rFonts w:ascii="Times New Roman" w:hAnsi="Times New Roman" w:cs="Times New Roman"/>
        </w:rPr>
      </w:pPr>
      <w:r w:rsidRPr="00EE39D7">
        <w:rPr>
          <w:rFonts w:ascii="Times New Roman" w:hAnsi="Times New Roman" w:cs="Times New Roman"/>
        </w:rPr>
        <w:tab/>
      </w:r>
      <w:r w:rsidR="00E764FE" w:rsidRPr="00EE39D7">
        <w:rPr>
          <w:rFonts w:ascii="Times New Roman" w:hAnsi="Times New Roman" w:cs="Times New Roman"/>
        </w:rPr>
        <w:t>Y</w:t>
      </w:r>
      <w:r w:rsidR="008260A6" w:rsidRPr="00EE39D7">
        <w:rPr>
          <w:rFonts w:ascii="Times New Roman" w:hAnsi="Times New Roman" w:cs="Times New Roman"/>
        </w:rPr>
        <w:t>outh reported th</w:t>
      </w:r>
      <w:r w:rsidR="009760E3" w:rsidRPr="00EE39D7">
        <w:rPr>
          <w:rFonts w:ascii="Times New Roman" w:hAnsi="Times New Roman" w:cs="Times New Roman"/>
        </w:rPr>
        <w:t xml:space="preserve">at </w:t>
      </w:r>
      <w:r w:rsidR="008260A6" w:rsidRPr="00EE39D7">
        <w:rPr>
          <w:rFonts w:ascii="Times New Roman" w:hAnsi="Times New Roman" w:cs="Times New Roman"/>
        </w:rPr>
        <w:t>listening to presentations of community experts</w:t>
      </w:r>
      <w:r w:rsidR="00296A44">
        <w:rPr>
          <w:rFonts w:ascii="Times New Roman" w:hAnsi="Times New Roman" w:cs="Times New Roman"/>
        </w:rPr>
        <w:t xml:space="preserve"> was</w:t>
      </w:r>
      <w:r w:rsidR="008260A6" w:rsidRPr="00617156">
        <w:rPr>
          <w:rFonts w:ascii="Times New Roman" w:hAnsi="Times New Roman" w:cs="Times New Roman"/>
        </w:rPr>
        <w:t xml:space="preserve"> relevant</w:t>
      </w:r>
      <w:r w:rsidR="009760E3" w:rsidRPr="00617156">
        <w:rPr>
          <w:rFonts w:ascii="Times New Roman" w:hAnsi="Times New Roman" w:cs="Times New Roman"/>
        </w:rPr>
        <w:t xml:space="preserve"> to them</w:t>
      </w:r>
      <w:r w:rsidR="00296A44">
        <w:rPr>
          <w:rFonts w:ascii="Times New Roman" w:hAnsi="Times New Roman" w:cs="Times New Roman"/>
        </w:rPr>
        <w:t xml:space="preserve">, though they didn’t </w:t>
      </w:r>
      <w:r w:rsidR="006E29B9">
        <w:rPr>
          <w:rFonts w:ascii="Times New Roman" w:hAnsi="Times New Roman" w:cs="Times New Roman"/>
        </w:rPr>
        <w:t xml:space="preserve">see this activity as challenging or as providing opportunities for learning. </w:t>
      </w:r>
      <w:r w:rsidR="00523296" w:rsidRPr="003D3598">
        <w:rPr>
          <w:rFonts w:ascii="Times New Roman" w:hAnsi="Times New Roman" w:cs="Times New Roman"/>
        </w:rPr>
        <w:t xml:space="preserve">It might be that </w:t>
      </w:r>
      <w:r w:rsidR="00466410">
        <w:rPr>
          <w:rFonts w:ascii="Times New Roman" w:hAnsi="Times New Roman" w:cs="Times New Roman"/>
        </w:rPr>
        <w:t xml:space="preserve">youth don’t see </w:t>
      </w:r>
      <w:r w:rsidR="00523296" w:rsidRPr="003D3598">
        <w:rPr>
          <w:rFonts w:ascii="Times New Roman" w:hAnsi="Times New Roman" w:cs="Times New Roman"/>
        </w:rPr>
        <w:t>listening as</w:t>
      </w:r>
      <w:r w:rsidR="006E29B9">
        <w:rPr>
          <w:rFonts w:ascii="Times New Roman" w:hAnsi="Times New Roman" w:cs="Times New Roman"/>
        </w:rPr>
        <w:t xml:space="preserve"> an activity that is</w:t>
      </w:r>
      <w:r w:rsidR="00523296" w:rsidRPr="003D3598">
        <w:rPr>
          <w:rFonts w:ascii="Times New Roman" w:hAnsi="Times New Roman" w:cs="Times New Roman"/>
        </w:rPr>
        <w:t xml:space="preserve"> challenging</w:t>
      </w:r>
      <w:r w:rsidR="006E29B9">
        <w:rPr>
          <w:rFonts w:ascii="Times New Roman" w:hAnsi="Times New Roman" w:cs="Times New Roman"/>
        </w:rPr>
        <w:t xml:space="preserve">, or it may be </w:t>
      </w:r>
      <w:r w:rsidR="00523296" w:rsidRPr="003D3598">
        <w:rPr>
          <w:rFonts w:ascii="Times New Roman" w:hAnsi="Times New Roman" w:cs="Times New Roman"/>
        </w:rPr>
        <w:t xml:space="preserve">that the presentations were </w:t>
      </w:r>
      <w:r w:rsidR="006E29B9">
        <w:rPr>
          <w:rFonts w:ascii="Times New Roman" w:hAnsi="Times New Roman" w:cs="Times New Roman"/>
        </w:rPr>
        <w:t xml:space="preserve">simply </w:t>
      </w:r>
      <w:r w:rsidR="00201909" w:rsidRPr="003D3598">
        <w:rPr>
          <w:rFonts w:ascii="Times New Roman" w:hAnsi="Times New Roman" w:cs="Times New Roman"/>
        </w:rPr>
        <w:t>clear</w:t>
      </w:r>
      <w:r w:rsidR="00523296" w:rsidRPr="003D3598">
        <w:rPr>
          <w:rFonts w:ascii="Times New Roman" w:hAnsi="Times New Roman" w:cs="Times New Roman"/>
        </w:rPr>
        <w:t xml:space="preserve"> and</w:t>
      </w:r>
      <w:r w:rsidR="00201909" w:rsidRPr="003D3598">
        <w:rPr>
          <w:rFonts w:ascii="Times New Roman" w:hAnsi="Times New Roman" w:cs="Times New Roman"/>
        </w:rPr>
        <w:t xml:space="preserve"> easy to follow. </w:t>
      </w:r>
      <w:r w:rsidR="006E29B9">
        <w:rPr>
          <w:rFonts w:ascii="Times New Roman" w:hAnsi="Times New Roman" w:cs="Times New Roman"/>
        </w:rPr>
        <w:t>Youths</w:t>
      </w:r>
      <w:r w:rsidR="003C1ED9">
        <w:rPr>
          <w:rFonts w:ascii="Times New Roman" w:hAnsi="Times New Roman" w:cs="Times New Roman"/>
        </w:rPr>
        <w:t>’</w:t>
      </w:r>
      <w:r w:rsidR="006E29B9">
        <w:rPr>
          <w:rFonts w:ascii="Times New Roman" w:hAnsi="Times New Roman" w:cs="Times New Roman"/>
        </w:rPr>
        <w:t xml:space="preserve"> assessment that they were not learning something new from the expert presentations is consistent with the idea that they were not challenged. </w:t>
      </w:r>
      <w:r w:rsidR="0002108F">
        <w:rPr>
          <w:rFonts w:ascii="Times New Roman" w:hAnsi="Times New Roman" w:cs="Times New Roman"/>
        </w:rPr>
        <w:t xml:space="preserve">Recall, however that youth’s perception of relevance was more predictive of their engagement than was their perception of challenge or learning, so community experts may have an important role to play in facilitating youths’ engagement in summer STEM programs. </w:t>
      </w:r>
      <w:r w:rsidR="00927FAB">
        <w:rPr>
          <w:rFonts w:ascii="Times New Roman" w:hAnsi="Times New Roman" w:cs="Times New Roman"/>
        </w:rPr>
        <w:t xml:space="preserve">Other longitudinal research suggests effects of interaction with experts on longer-term engagement outcomes as well. For example, </w:t>
      </w:r>
      <w:proofErr w:type="spellStart"/>
      <w:r w:rsidR="00927FAB">
        <w:rPr>
          <w:rFonts w:ascii="Times New Roman" w:hAnsi="Times New Roman" w:cs="Times New Roman"/>
        </w:rPr>
        <w:t>Habig</w:t>
      </w:r>
      <w:proofErr w:type="spellEnd"/>
      <w:r w:rsidR="00927FAB">
        <w:rPr>
          <w:rFonts w:ascii="Times New Roman" w:hAnsi="Times New Roman" w:cs="Times New Roman"/>
        </w:rPr>
        <w:t xml:space="preserve"> et al (2018) finds that exposure to STEM professionals within the context of OST programs is a program design feature that is associated with persistence in a STEM career, and they further explain that the value of this type of exposure is the development of shared science identities and building of social networks</w:t>
      </w:r>
      <w:r w:rsidR="001C06A4">
        <w:rPr>
          <w:rFonts w:ascii="Times New Roman" w:hAnsi="Times New Roman" w:cs="Times New Roman"/>
        </w:rPr>
        <w:t xml:space="preserve"> (rather than transmission of specific STEM content knowledge per se)</w:t>
      </w:r>
      <w:r w:rsidR="00927FAB">
        <w:rPr>
          <w:rFonts w:ascii="Times New Roman" w:hAnsi="Times New Roman" w:cs="Times New Roman"/>
        </w:rPr>
        <w:t>.</w:t>
      </w:r>
      <w:r w:rsidR="001C06A4">
        <w:rPr>
          <w:rFonts w:ascii="Times New Roman" w:hAnsi="Times New Roman" w:cs="Times New Roman"/>
        </w:rPr>
        <w:t xml:space="preserve"> Thus, at a very fine grain size, the results of our exploratory analysis of program activities might be reflecting the broader phenomenon that different design aspects of OST programming support youth engagement in STEM through different “channels,” with some activities (like interacting with community </w:t>
      </w:r>
      <w:proofErr w:type="spellStart"/>
      <w:r w:rsidR="001C06A4">
        <w:rPr>
          <w:rFonts w:ascii="Times New Roman" w:hAnsi="Times New Roman" w:cs="Times New Roman"/>
        </w:rPr>
        <w:t>epxperts</w:t>
      </w:r>
      <w:proofErr w:type="spellEnd"/>
      <w:r w:rsidR="001C06A4">
        <w:rPr>
          <w:rFonts w:ascii="Times New Roman" w:hAnsi="Times New Roman" w:cs="Times New Roman"/>
        </w:rPr>
        <w:t>) primarily addressing issues of relevance (and in the longer-term, identity</w:t>
      </w:r>
      <w:r w:rsidR="00E23A39">
        <w:rPr>
          <w:rFonts w:ascii="Times New Roman" w:hAnsi="Times New Roman" w:cs="Times New Roman"/>
        </w:rPr>
        <w:t xml:space="preserve"> and networks</w:t>
      </w:r>
      <w:r w:rsidR="001C06A4">
        <w:rPr>
          <w:rFonts w:ascii="Times New Roman" w:hAnsi="Times New Roman" w:cs="Times New Roman"/>
        </w:rPr>
        <w:t xml:space="preserve">), whereas other activities </w:t>
      </w:r>
      <w:r w:rsidR="00E23A39">
        <w:rPr>
          <w:rFonts w:ascii="Times New Roman" w:hAnsi="Times New Roman" w:cs="Times New Roman"/>
        </w:rPr>
        <w:t xml:space="preserve">(like creating products) provide challenge and affordances for learning as well. </w:t>
      </w:r>
      <w:r w:rsidR="001C06A4">
        <w:rPr>
          <w:rFonts w:ascii="Times New Roman" w:hAnsi="Times New Roman" w:cs="Times New Roman"/>
        </w:rPr>
        <w:t xml:space="preserve"> </w:t>
      </w:r>
      <w:r w:rsidR="00927FAB">
        <w:rPr>
          <w:rFonts w:ascii="Times New Roman" w:hAnsi="Times New Roman" w:cs="Times New Roman"/>
        </w:rPr>
        <w:t xml:space="preserve">  </w:t>
      </w:r>
    </w:p>
    <w:p w14:paraId="757CD344" w14:textId="45B193E7" w:rsidR="004C5A59" w:rsidRPr="003D3598" w:rsidRDefault="004C5A59" w:rsidP="00A73422">
      <w:pPr>
        <w:contextualSpacing/>
        <w:rPr>
          <w:rFonts w:ascii="Times New Roman" w:hAnsi="Times New Roman" w:cs="Times New Roman"/>
          <w:b/>
        </w:rPr>
      </w:pPr>
      <w:r w:rsidRPr="003D3598">
        <w:rPr>
          <w:rFonts w:ascii="Times New Roman" w:hAnsi="Times New Roman" w:cs="Times New Roman"/>
          <w:b/>
        </w:rPr>
        <w:t>Limitations</w:t>
      </w:r>
      <w:r w:rsidR="00A70FBD">
        <w:rPr>
          <w:rFonts w:ascii="Times New Roman" w:hAnsi="Times New Roman" w:cs="Times New Roman"/>
          <w:b/>
        </w:rPr>
        <w:t xml:space="preserve"> and Future Directions</w:t>
      </w:r>
      <w:r w:rsidRPr="003D3598">
        <w:rPr>
          <w:rFonts w:ascii="Times New Roman" w:hAnsi="Times New Roman" w:cs="Times New Roman"/>
          <w:b/>
        </w:rPr>
        <w:t xml:space="preserve"> </w:t>
      </w:r>
    </w:p>
    <w:p w14:paraId="50C1C3D3" w14:textId="2D4532B2" w:rsidR="004C5A59" w:rsidRPr="00510F66" w:rsidRDefault="00E764FE" w:rsidP="00A73422">
      <w:pPr>
        <w:ind w:firstLine="720"/>
        <w:contextualSpacing/>
        <w:rPr>
          <w:rFonts w:ascii="Times New Roman" w:hAnsi="Times New Roman" w:cs="Times New Roman"/>
        </w:rPr>
      </w:pPr>
      <w:r w:rsidRPr="003D3598">
        <w:rPr>
          <w:rFonts w:ascii="Times New Roman" w:hAnsi="Times New Roman" w:cs="Times New Roman"/>
        </w:rPr>
        <w:t>T</w:t>
      </w:r>
      <w:r w:rsidR="006A41F4" w:rsidRPr="003D3598">
        <w:rPr>
          <w:rFonts w:ascii="Times New Roman" w:hAnsi="Times New Roman" w:cs="Times New Roman"/>
        </w:rPr>
        <w:t xml:space="preserve">his study had several limitations which should be </w:t>
      </w:r>
      <w:r w:rsidR="00325C79" w:rsidRPr="003D3598">
        <w:rPr>
          <w:rFonts w:ascii="Times New Roman" w:hAnsi="Times New Roman" w:cs="Times New Roman"/>
        </w:rPr>
        <w:t>considered</w:t>
      </w:r>
      <w:r w:rsidR="006A41F4" w:rsidRPr="003D3598">
        <w:rPr>
          <w:rFonts w:ascii="Times New Roman" w:hAnsi="Times New Roman" w:cs="Times New Roman"/>
        </w:rPr>
        <w:t xml:space="preserve"> when drawing conclusions from our results. First, the sample size for this study is relatively small, both in terms of the </w:t>
      </w:r>
      <w:r w:rsidR="006A41F4" w:rsidRPr="003D3598">
        <w:rPr>
          <w:rFonts w:ascii="Times New Roman" w:hAnsi="Times New Roman" w:cs="Times New Roman"/>
        </w:rPr>
        <w:lastRenderedPageBreak/>
        <w:t>number of youth who reported on their experience (</w:t>
      </w:r>
      <w:r w:rsidR="006A41F4" w:rsidRPr="005B7412">
        <w:rPr>
          <w:rFonts w:ascii="Times New Roman" w:hAnsi="Times New Roman" w:cs="Times New Roman"/>
          <w:i/>
        </w:rPr>
        <w:t>n</w:t>
      </w:r>
      <w:r w:rsidR="006A41F4" w:rsidRPr="003D3598">
        <w:rPr>
          <w:rFonts w:ascii="Times New Roman" w:hAnsi="Times New Roman" w:cs="Times New Roman"/>
        </w:rPr>
        <w:t xml:space="preserve"> = 203) and number of summer STEM programs (</w:t>
      </w:r>
      <w:r w:rsidR="006A41F4" w:rsidRPr="005B7412">
        <w:rPr>
          <w:rFonts w:ascii="Times New Roman" w:hAnsi="Times New Roman" w:cs="Times New Roman"/>
          <w:i/>
        </w:rPr>
        <w:t>n</w:t>
      </w:r>
      <w:r w:rsidR="006A41F4" w:rsidRPr="003D3598">
        <w:rPr>
          <w:rFonts w:ascii="Times New Roman" w:hAnsi="Times New Roman" w:cs="Times New Roman"/>
        </w:rPr>
        <w:t xml:space="preserve"> = 9) that were observed. The participant programs represented a rather limited range of program foci and program activities</w:t>
      </w:r>
      <w:r w:rsidR="009E4F8A">
        <w:rPr>
          <w:rFonts w:ascii="Times New Roman" w:hAnsi="Times New Roman" w:cs="Times New Roman"/>
        </w:rPr>
        <w:t>,</w:t>
      </w:r>
      <w:r w:rsidR="00A65E80">
        <w:rPr>
          <w:rFonts w:ascii="Times New Roman" w:hAnsi="Times New Roman" w:cs="Times New Roman"/>
        </w:rPr>
        <w:t xml:space="preserve"> and </w:t>
      </w:r>
      <w:r w:rsidR="009E4F8A">
        <w:rPr>
          <w:rFonts w:ascii="Times New Roman" w:hAnsi="Times New Roman" w:cs="Times New Roman"/>
        </w:rPr>
        <w:t xml:space="preserve">primarily </w:t>
      </w:r>
      <w:r w:rsidR="00A65E80">
        <w:rPr>
          <w:rFonts w:ascii="Times New Roman" w:hAnsi="Times New Roman" w:cs="Times New Roman"/>
        </w:rPr>
        <w:t>served youth</w:t>
      </w:r>
      <w:r w:rsidR="006A41F4" w:rsidRPr="003D3598">
        <w:rPr>
          <w:rFonts w:ascii="Times New Roman" w:hAnsi="Times New Roman" w:cs="Times New Roman"/>
        </w:rPr>
        <w:t xml:space="preserve"> from lower socioeconomic backgrounds who </w:t>
      </w:r>
      <w:r w:rsidR="00A65E80">
        <w:rPr>
          <w:rFonts w:ascii="Times New Roman" w:hAnsi="Times New Roman" w:cs="Times New Roman"/>
        </w:rPr>
        <w:t>identify as</w:t>
      </w:r>
      <w:r w:rsidR="006A41F4" w:rsidRPr="003D3598">
        <w:rPr>
          <w:rFonts w:ascii="Times New Roman" w:hAnsi="Times New Roman" w:cs="Times New Roman"/>
        </w:rPr>
        <w:t xml:space="preserve"> Black or Hispanic</w:t>
      </w:r>
      <w:r w:rsidR="009E4F8A">
        <w:rPr>
          <w:rFonts w:ascii="Times New Roman" w:hAnsi="Times New Roman" w:cs="Times New Roman"/>
        </w:rPr>
        <w:t>;</w:t>
      </w:r>
      <w:r w:rsidR="00A65E80">
        <w:rPr>
          <w:rFonts w:ascii="Times New Roman" w:hAnsi="Times New Roman" w:cs="Times New Roman"/>
        </w:rPr>
        <w:t xml:space="preserve"> therefore o</w:t>
      </w:r>
      <w:r w:rsidR="006A41F4" w:rsidRPr="003D3598">
        <w:rPr>
          <w:rFonts w:ascii="Times New Roman" w:hAnsi="Times New Roman" w:cs="Times New Roman"/>
        </w:rPr>
        <w:t xml:space="preserve">ur results may not be generalizable beyond </w:t>
      </w:r>
      <w:r w:rsidR="00A65E80">
        <w:rPr>
          <w:rFonts w:ascii="Times New Roman" w:hAnsi="Times New Roman" w:cs="Times New Roman"/>
        </w:rPr>
        <w:t>our study</w:t>
      </w:r>
      <w:r w:rsidR="008A3E94" w:rsidRPr="003D3598">
        <w:rPr>
          <w:rFonts w:ascii="Times New Roman" w:hAnsi="Times New Roman" w:cs="Times New Roman"/>
        </w:rPr>
        <w:t xml:space="preserve"> population.</w:t>
      </w:r>
      <w:r w:rsidR="00870EF0">
        <w:rPr>
          <w:rFonts w:ascii="Times New Roman" w:hAnsi="Times New Roman" w:cs="Times New Roman"/>
        </w:rPr>
        <w:t xml:space="preserve">  </w:t>
      </w:r>
    </w:p>
    <w:p w14:paraId="06D15F35" w14:textId="1321011A" w:rsidR="004C5A59" w:rsidRPr="00510F66" w:rsidRDefault="0084202B" w:rsidP="00A73422">
      <w:pPr>
        <w:ind w:firstLine="720"/>
        <w:contextualSpacing/>
        <w:rPr>
          <w:rFonts w:ascii="Times New Roman" w:hAnsi="Times New Roman" w:cs="Times New Roman"/>
        </w:rPr>
      </w:pPr>
      <w:r w:rsidRPr="00510F66">
        <w:rPr>
          <w:rFonts w:ascii="Times New Roman" w:hAnsi="Times New Roman" w:cs="Times New Roman"/>
        </w:rPr>
        <w:t xml:space="preserve">A second word of warning concerns the way engagement was conceptualized and measured in this study. </w:t>
      </w:r>
      <w:r w:rsidR="008A3E94" w:rsidRPr="00EE39D7">
        <w:rPr>
          <w:rFonts w:ascii="Times New Roman" w:hAnsi="Times New Roman" w:cs="Times New Roman"/>
        </w:rPr>
        <w:t>The procedures we used to measure engagement had a high degree of ecological validity in that they elicited youths</w:t>
      </w:r>
      <w:r w:rsidR="003C1ED9">
        <w:rPr>
          <w:rFonts w:ascii="Times New Roman" w:hAnsi="Times New Roman" w:cs="Times New Roman"/>
        </w:rPr>
        <w:t>’</w:t>
      </w:r>
      <w:r w:rsidR="008A3E94" w:rsidRPr="00EE39D7">
        <w:rPr>
          <w:rFonts w:ascii="Times New Roman" w:hAnsi="Times New Roman" w:cs="Times New Roman"/>
        </w:rPr>
        <w:t xml:space="preserve"> reports of engagement as they were experiencing program activities. Additionally, the engagement measure was comprised of items that arguably represented cognitiv</w:t>
      </w:r>
      <w:r w:rsidR="008A3E94" w:rsidRPr="00011528">
        <w:rPr>
          <w:rFonts w:ascii="Times New Roman" w:hAnsi="Times New Roman" w:cs="Times New Roman"/>
        </w:rPr>
        <w:t xml:space="preserve">e, affective, and behavioral dimensions, which is consistent with current theorizing about engagement (Fredricks et al., 2002; Christenson, </w:t>
      </w:r>
      <w:r w:rsidR="005B7412">
        <w:rPr>
          <w:rFonts w:ascii="Times New Roman" w:hAnsi="Times New Roman" w:cs="Times New Roman"/>
        </w:rPr>
        <w:t>et al.</w:t>
      </w:r>
      <w:r w:rsidR="008A3E94" w:rsidRPr="00011528">
        <w:rPr>
          <w:rFonts w:ascii="Times New Roman" w:hAnsi="Times New Roman" w:cs="Times New Roman"/>
        </w:rPr>
        <w:t xml:space="preserve">, 2012). However, in our analyses we </w:t>
      </w:r>
      <w:proofErr w:type="spellStart"/>
      <w:r w:rsidR="008A3E94" w:rsidRPr="00011528">
        <w:rPr>
          <w:rFonts w:ascii="Times New Roman" w:hAnsi="Times New Roman" w:cs="Times New Roman"/>
        </w:rPr>
        <w:t>didn</w:t>
      </w:r>
      <w:proofErr w:type="spellEnd"/>
      <w:r w:rsidR="00C61AFF">
        <w:rPr>
          <w:rFonts w:ascii="Times New Roman" w:hAnsi="Times New Roman" w:cs="Times New Roman"/>
        </w:rPr>
        <w:t xml:space="preserve"> no</w:t>
      </w:r>
      <w:r w:rsidR="008A3E94" w:rsidRPr="00011528">
        <w:rPr>
          <w:rFonts w:ascii="Times New Roman" w:hAnsi="Times New Roman" w:cs="Times New Roman"/>
        </w:rPr>
        <w:t xml:space="preserve">t </w:t>
      </w:r>
      <w:r w:rsidRPr="0053704D">
        <w:rPr>
          <w:rFonts w:ascii="Times New Roman" w:hAnsi="Times New Roman" w:cs="Times New Roman"/>
        </w:rPr>
        <w:t>consider</w:t>
      </w:r>
      <w:r w:rsidR="008A3E94" w:rsidRPr="0041527C">
        <w:rPr>
          <w:rFonts w:ascii="Times New Roman" w:hAnsi="Times New Roman" w:cs="Times New Roman"/>
        </w:rPr>
        <w:t xml:space="preserve"> the various dimensions independently</w:t>
      </w:r>
      <w:r w:rsidRPr="00111E51">
        <w:rPr>
          <w:rFonts w:ascii="Times New Roman" w:hAnsi="Times New Roman" w:cs="Times New Roman"/>
        </w:rPr>
        <w:t xml:space="preserve"> to explore </w:t>
      </w:r>
      <w:r w:rsidRPr="003D3598">
        <w:rPr>
          <w:rFonts w:ascii="Times New Roman" w:hAnsi="Times New Roman" w:cs="Times New Roman"/>
        </w:rPr>
        <w:t>whether one dimension was driving our results more than others. Relatedly, we did not</w:t>
      </w:r>
      <w:r w:rsidR="008A3E94" w:rsidRPr="003D3598">
        <w:rPr>
          <w:rFonts w:ascii="Times New Roman" w:hAnsi="Times New Roman" w:cs="Times New Roman"/>
        </w:rPr>
        <w:t xml:space="preserve"> attempt to construct “profiles” representing</w:t>
      </w:r>
      <w:r w:rsidRPr="003D3598">
        <w:rPr>
          <w:rFonts w:ascii="Times New Roman" w:hAnsi="Times New Roman" w:cs="Times New Roman"/>
        </w:rPr>
        <w:t xml:space="preserve"> different combinations of these dimensions, -- an approach that has been taken up in recent research (</w:t>
      </w:r>
      <w:r w:rsidR="00821EE0">
        <w:rPr>
          <w:rFonts w:ascii="Times New Roman" w:hAnsi="Times New Roman" w:cs="Times New Roman"/>
        </w:rPr>
        <w:t>Authors, 2018</w:t>
      </w:r>
      <w:r w:rsidRPr="003D3598">
        <w:rPr>
          <w:rFonts w:ascii="Times New Roman" w:hAnsi="Times New Roman" w:cs="Times New Roman"/>
        </w:rPr>
        <w:t xml:space="preserve">). Our conceptualization of engagement in this paper is thus relatively broad, and does not attempt to </w:t>
      </w:r>
      <w:r w:rsidR="00EE0903" w:rsidRPr="003D3598">
        <w:rPr>
          <w:rFonts w:ascii="Times New Roman" w:hAnsi="Times New Roman" w:cs="Times New Roman"/>
        </w:rPr>
        <w:t>distinguish</w:t>
      </w:r>
      <w:r w:rsidRPr="003D3598">
        <w:rPr>
          <w:rFonts w:ascii="Times New Roman" w:hAnsi="Times New Roman" w:cs="Times New Roman"/>
        </w:rPr>
        <w:t xml:space="preserve"> impacts of its various dimensions. Future research may endeavor to unpack a more nuanced understanding of how perceptions of challenge, relevance and learning are related to each individual dimension, and/or to the various combinations of these dimensions.</w:t>
      </w:r>
      <w:r w:rsidR="00870EF0">
        <w:rPr>
          <w:rFonts w:ascii="Times New Roman" w:hAnsi="Times New Roman" w:cs="Times New Roman"/>
        </w:rPr>
        <w:t xml:space="preserve">  </w:t>
      </w:r>
    </w:p>
    <w:p w14:paraId="46D1B97E" w14:textId="3F55FE47" w:rsidR="00107301" w:rsidRPr="00EE39D7" w:rsidRDefault="00EE0903" w:rsidP="00A73422">
      <w:pPr>
        <w:ind w:firstLine="720"/>
        <w:contextualSpacing/>
        <w:rPr>
          <w:rFonts w:ascii="Times New Roman" w:hAnsi="Times New Roman" w:cs="Times New Roman"/>
        </w:rPr>
      </w:pPr>
      <w:r w:rsidRPr="00011528">
        <w:rPr>
          <w:rFonts w:ascii="Times New Roman" w:hAnsi="Times New Roman" w:cs="Times New Roman"/>
        </w:rPr>
        <w:t>Third, we want to remind the reader that our indicator of perceived learning is a subjective youth report, which may or may not correspond to actual, measurable learning</w:t>
      </w:r>
      <w:r w:rsidR="00BF40B7">
        <w:rPr>
          <w:rFonts w:ascii="Times New Roman" w:hAnsi="Times New Roman" w:cs="Times New Roman"/>
        </w:rPr>
        <w:t xml:space="preserve"> gains</w:t>
      </w:r>
      <w:r w:rsidRPr="00011528">
        <w:rPr>
          <w:rFonts w:ascii="Times New Roman" w:hAnsi="Times New Roman" w:cs="Times New Roman"/>
        </w:rPr>
        <w:t xml:space="preserve">. </w:t>
      </w:r>
      <w:r w:rsidR="00CB713C" w:rsidRPr="00111E51">
        <w:rPr>
          <w:rFonts w:ascii="Times New Roman" w:hAnsi="Times New Roman" w:cs="Times New Roman"/>
        </w:rPr>
        <w:t xml:space="preserve">Arguably, both actual and perceived learning are important to understand, </w:t>
      </w:r>
      <w:r w:rsidR="009A4199" w:rsidRPr="00617156">
        <w:rPr>
          <w:rFonts w:ascii="Times New Roman" w:hAnsi="Times New Roman" w:cs="Times New Roman"/>
        </w:rPr>
        <w:t>and we thought it particularly important to examine whether students in a summer program would engage more or less during those times when they felt like they were learning. Additionally, i</w:t>
      </w:r>
      <w:r w:rsidRPr="003D3598">
        <w:rPr>
          <w:rFonts w:ascii="Times New Roman" w:hAnsi="Times New Roman" w:cs="Times New Roman"/>
        </w:rPr>
        <w:t>t is</w:t>
      </w:r>
      <w:r w:rsidR="00CB713C" w:rsidRPr="003D3598">
        <w:rPr>
          <w:rFonts w:ascii="Times New Roman" w:hAnsi="Times New Roman" w:cs="Times New Roman"/>
        </w:rPr>
        <w:t xml:space="preserve"> </w:t>
      </w:r>
      <w:r w:rsidRPr="003D3598">
        <w:rPr>
          <w:rFonts w:ascii="Times New Roman" w:hAnsi="Times New Roman" w:cs="Times New Roman"/>
        </w:rPr>
        <w:t xml:space="preserve">unclear from the </w:t>
      </w:r>
      <w:r w:rsidR="009A4199" w:rsidRPr="003D3598">
        <w:rPr>
          <w:rFonts w:ascii="Times New Roman" w:hAnsi="Times New Roman" w:cs="Times New Roman"/>
        </w:rPr>
        <w:t xml:space="preserve">youth </w:t>
      </w:r>
      <w:r w:rsidRPr="003D3598">
        <w:rPr>
          <w:rFonts w:ascii="Times New Roman" w:hAnsi="Times New Roman" w:cs="Times New Roman"/>
        </w:rPr>
        <w:t>reports what exactly they thought they were learning or the extent to which it was directly connected with the STEM content that was the focus of the program (i.e., were they learning about thermodynamics, were they learning how to collaborate effectively with their peers</w:t>
      </w:r>
      <w:r w:rsidR="00CB713C" w:rsidRPr="003D3598">
        <w:rPr>
          <w:rFonts w:ascii="Times New Roman" w:hAnsi="Times New Roman" w:cs="Times New Roman"/>
        </w:rPr>
        <w:t xml:space="preserve"> or were</w:t>
      </w:r>
      <w:r w:rsidR="009A4199" w:rsidRPr="003D3598">
        <w:rPr>
          <w:rFonts w:ascii="Times New Roman" w:hAnsi="Times New Roman" w:cs="Times New Roman"/>
        </w:rPr>
        <w:t xml:space="preserve"> they learning that their lab partner likes to play the saxophone in his free time</w:t>
      </w:r>
      <w:r w:rsidRPr="003D3598">
        <w:rPr>
          <w:rFonts w:ascii="Times New Roman" w:hAnsi="Times New Roman" w:cs="Times New Roman"/>
        </w:rPr>
        <w:t>?)</w:t>
      </w:r>
      <w:r w:rsidR="00CB713C" w:rsidRPr="003D3598">
        <w:rPr>
          <w:rFonts w:ascii="Times New Roman" w:hAnsi="Times New Roman" w:cs="Times New Roman"/>
        </w:rPr>
        <w:t xml:space="preserve">. </w:t>
      </w:r>
      <w:r w:rsidR="00325C79" w:rsidRPr="003D3598">
        <w:rPr>
          <w:rFonts w:ascii="Times New Roman" w:hAnsi="Times New Roman" w:cs="Times New Roman"/>
        </w:rPr>
        <w:t>So,</w:t>
      </w:r>
      <w:r w:rsidR="00CB713C" w:rsidRPr="003D3598">
        <w:rPr>
          <w:rFonts w:ascii="Times New Roman" w:hAnsi="Times New Roman" w:cs="Times New Roman"/>
        </w:rPr>
        <w:t xml:space="preserve"> while we found that students engage more deeply when they perceive themselves as having the opportunity to learn something new, we do</w:t>
      </w:r>
      <w:r w:rsidR="005B7412">
        <w:rPr>
          <w:rFonts w:ascii="Times New Roman" w:hAnsi="Times New Roman" w:cs="Times New Roman"/>
        </w:rPr>
        <w:t xml:space="preserve"> not</w:t>
      </w:r>
      <w:r w:rsidR="00CB713C" w:rsidRPr="003D3598">
        <w:rPr>
          <w:rFonts w:ascii="Times New Roman" w:hAnsi="Times New Roman" w:cs="Times New Roman"/>
        </w:rPr>
        <w:t xml:space="preserve"> have </w:t>
      </w:r>
      <w:r w:rsidR="00BF40B7">
        <w:rPr>
          <w:rFonts w:ascii="Times New Roman" w:hAnsi="Times New Roman" w:cs="Times New Roman"/>
        </w:rPr>
        <w:t>a clear</w:t>
      </w:r>
      <w:r w:rsidR="00CB713C" w:rsidRPr="003D3598">
        <w:rPr>
          <w:rFonts w:ascii="Times New Roman" w:hAnsi="Times New Roman" w:cs="Times New Roman"/>
        </w:rPr>
        <w:t xml:space="preserve"> sense of what they might </w:t>
      </w:r>
      <w:r w:rsidR="009A4199" w:rsidRPr="003D3598">
        <w:rPr>
          <w:rFonts w:ascii="Times New Roman" w:hAnsi="Times New Roman" w:cs="Times New Roman"/>
        </w:rPr>
        <w:t>think</w:t>
      </w:r>
      <w:r w:rsidR="00CB713C" w:rsidRPr="003D3598">
        <w:rPr>
          <w:rFonts w:ascii="Times New Roman" w:hAnsi="Times New Roman" w:cs="Times New Roman"/>
        </w:rPr>
        <w:t xml:space="preserve"> they are learning in these situations. Our findings that </w:t>
      </w:r>
      <w:r w:rsidR="009A4199" w:rsidRPr="003D3598">
        <w:rPr>
          <w:rFonts w:ascii="Times New Roman" w:hAnsi="Times New Roman" w:cs="Times New Roman"/>
        </w:rPr>
        <w:t>youth</w:t>
      </w:r>
      <w:r w:rsidR="00CB713C" w:rsidRPr="003D3598">
        <w:rPr>
          <w:rFonts w:ascii="Times New Roman" w:hAnsi="Times New Roman" w:cs="Times New Roman"/>
        </w:rPr>
        <w:t xml:space="preserve"> reported learning more when they were creating products, doing labs, and doing basic skills activities</w:t>
      </w:r>
      <w:r w:rsidR="005B7412">
        <w:rPr>
          <w:rFonts w:ascii="Times New Roman" w:hAnsi="Times New Roman" w:cs="Times New Roman"/>
        </w:rPr>
        <w:t>,</w:t>
      </w:r>
      <w:r w:rsidR="00CB713C" w:rsidRPr="003D3598">
        <w:rPr>
          <w:rFonts w:ascii="Times New Roman" w:hAnsi="Times New Roman" w:cs="Times New Roman"/>
        </w:rPr>
        <w:t xml:space="preserve"> relative to when they were doing non-STEM related activities</w:t>
      </w:r>
      <w:r w:rsidR="005B7412">
        <w:rPr>
          <w:rFonts w:ascii="Times New Roman" w:hAnsi="Times New Roman" w:cs="Times New Roman"/>
        </w:rPr>
        <w:t>,</w:t>
      </w:r>
      <w:r w:rsidR="00CB713C" w:rsidRPr="003D3598">
        <w:rPr>
          <w:rFonts w:ascii="Times New Roman" w:hAnsi="Times New Roman" w:cs="Times New Roman"/>
        </w:rPr>
        <w:t xml:space="preserve"> suggests that youth thought of learning in reference STEM skills and content, but we </w:t>
      </w:r>
      <w:r w:rsidR="005B7412">
        <w:rPr>
          <w:rFonts w:ascii="Times New Roman" w:hAnsi="Times New Roman" w:cs="Times New Roman"/>
        </w:rPr>
        <w:t>cannot</w:t>
      </w:r>
      <w:r w:rsidR="00CB713C" w:rsidRPr="003D3598">
        <w:rPr>
          <w:rFonts w:ascii="Times New Roman" w:hAnsi="Times New Roman" w:cs="Times New Roman"/>
        </w:rPr>
        <w:t xml:space="preserve"> be absolutely certain about this. </w:t>
      </w:r>
      <w:r w:rsidR="009A4199" w:rsidRPr="003D3598">
        <w:rPr>
          <w:rFonts w:ascii="Times New Roman" w:hAnsi="Times New Roman" w:cs="Times New Roman"/>
        </w:rPr>
        <w:t xml:space="preserve">Future research might both seek to understand in greater detail what </w:t>
      </w:r>
      <w:r w:rsidR="00325C79" w:rsidRPr="003D3598">
        <w:rPr>
          <w:rFonts w:ascii="Times New Roman" w:hAnsi="Times New Roman" w:cs="Times New Roman"/>
        </w:rPr>
        <w:t>students</w:t>
      </w:r>
      <w:r w:rsidR="009A4199" w:rsidRPr="003D3598">
        <w:rPr>
          <w:rFonts w:ascii="Times New Roman" w:hAnsi="Times New Roman" w:cs="Times New Roman"/>
        </w:rPr>
        <w:t xml:space="preserve"> perceive themselves to be learning, and also include more objective assessments of learning in these areas.</w:t>
      </w:r>
      <w:r w:rsidR="00870EF0">
        <w:rPr>
          <w:rFonts w:ascii="Times New Roman" w:hAnsi="Times New Roman" w:cs="Times New Roman"/>
        </w:rPr>
        <w:t xml:space="preserve">  </w:t>
      </w:r>
      <w:r w:rsidR="00107301" w:rsidRPr="00510F66">
        <w:rPr>
          <w:rFonts w:ascii="Times New Roman" w:hAnsi="Times New Roman" w:cs="Times New Roman"/>
        </w:rPr>
        <w:t xml:space="preserve"> </w:t>
      </w:r>
    </w:p>
    <w:p w14:paraId="7F41DA04" w14:textId="79A7F9E9" w:rsidR="00107301" w:rsidRDefault="002444E0" w:rsidP="00A73422">
      <w:pPr>
        <w:ind w:firstLine="720"/>
        <w:contextualSpacing/>
        <w:rPr>
          <w:rFonts w:ascii="Times New Roman" w:hAnsi="Times New Roman" w:cs="Times New Roman"/>
        </w:rPr>
      </w:pPr>
      <w:r>
        <w:rPr>
          <w:rFonts w:ascii="Times New Roman" w:hAnsi="Times New Roman" w:cs="Times New Roman"/>
        </w:rPr>
        <w:t>Fourth</w:t>
      </w:r>
      <w:r w:rsidR="009A4199" w:rsidRPr="00011528">
        <w:rPr>
          <w:rFonts w:ascii="Times New Roman" w:hAnsi="Times New Roman" w:cs="Times New Roman"/>
        </w:rPr>
        <w:t>, our analyses of the extent to which youth perceived certain program activities as challenging, relevant or providing affordances for learning</w:t>
      </w:r>
      <w:r w:rsidR="00234442" w:rsidRPr="0053704D">
        <w:rPr>
          <w:rFonts w:ascii="Times New Roman" w:hAnsi="Times New Roman" w:cs="Times New Roman"/>
        </w:rPr>
        <w:t xml:space="preserve"> operationalized these activities at “face value” without accounting for the quali</w:t>
      </w:r>
      <w:r w:rsidR="00234442" w:rsidRPr="00111E51">
        <w:rPr>
          <w:rFonts w:ascii="Times New Roman" w:hAnsi="Times New Roman" w:cs="Times New Roman"/>
        </w:rPr>
        <w:t>ty with which these activities were delivered. To be sure, there are better and worse ways to deliver a lecture or facilitate a lab, and how activities are delivered likely impacts how challenging, relevant or learning-rich that activity will be. As we men</w:t>
      </w:r>
      <w:r w:rsidR="00234442" w:rsidRPr="00617156">
        <w:rPr>
          <w:rFonts w:ascii="Times New Roman" w:hAnsi="Times New Roman" w:cs="Times New Roman"/>
        </w:rPr>
        <w:t>tioned in our discussion above, the way labs were facilitated in the programs we observed may explain our finding that youth did not generally perceive labs as challenging</w:t>
      </w:r>
      <w:r w:rsidR="000B7632">
        <w:rPr>
          <w:rFonts w:ascii="Times New Roman" w:hAnsi="Times New Roman" w:cs="Times New Roman"/>
        </w:rPr>
        <w:t xml:space="preserve">, </w:t>
      </w:r>
      <w:r w:rsidR="00234442" w:rsidRPr="00617156">
        <w:rPr>
          <w:rFonts w:ascii="Times New Roman" w:hAnsi="Times New Roman" w:cs="Times New Roman"/>
        </w:rPr>
        <w:t>relevant</w:t>
      </w:r>
      <w:r w:rsidR="000B7632">
        <w:rPr>
          <w:rFonts w:ascii="Times New Roman" w:hAnsi="Times New Roman" w:cs="Times New Roman"/>
        </w:rPr>
        <w:t>, or educational</w:t>
      </w:r>
      <w:r w:rsidR="00234442" w:rsidRPr="00617156">
        <w:rPr>
          <w:rFonts w:ascii="Times New Roman" w:hAnsi="Times New Roman" w:cs="Times New Roman"/>
        </w:rPr>
        <w:t>. Future research might focus on how variation in the delivery of certain</w:t>
      </w:r>
      <w:r w:rsidR="00234442" w:rsidRPr="003D3598">
        <w:rPr>
          <w:rFonts w:ascii="Times New Roman" w:hAnsi="Times New Roman" w:cs="Times New Roman"/>
        </w:rPr>
        <w:t xml:space="preserve"> program activities affects students</w:t>
      </w:r>
      <w:r w:rsidR="005B7412">
        <w:rPr>
          <w:rFonts w:ascii="Times New Roman" w:hAnsi="Times New Roman" w:cs="Times New Roman"/>
        </w:rPr>
        <w:t>’</w:t>
      </w:r>
      <w:r w:rsidR="00234442" w:rsidRPr="003D3598">
        <w:rPr>
          <w:rFonts w:ascii="Times New Roman" w:hAnsi="Times New Roman" w:cs="Times New Roman"/>
        </w:rPr>
        <w:t xml:space="preserve"> perceptions of their affordances for challenge, relevance, and learning</w:t>
      </w:r>
      <w:r w:rsidR="00BF40B7">
        <w:rPr>
          <w:rFonts w:ascii="Times New Roman" w:hAnsi="Times New Roman" w:cs="Times New Roman"/>
        </w:rPr>
        <w:t>.</w:t>
      </w:r>
      <w:r w:rsidR="00107301" w:rsidRPr="003D3598">
        <w:rPr>
          <w:rFonts w:ascii="Times New Roman" w:hAnsi="Times New Roman" w:cs="Times New Roman"/>
        </w:rPr>
        <w:t xml:space="preserve"> </w:t>
      </w:r>
    </w:p>
    <w:p w14:paraId="3C2B6B29" w14:textId="3C4561B4" w:rsidR="00643718" w:rsidRDefault="00643718" w:rsidP="00A73422">
      <w:pPr>
        <w:ind w:firstLine="720"/>
        <w:contextualSpacing/>
        <w:rPr>
          <w:rFonts w:ascii="Times New Roman" w:hAnsi="Times New Roman" w:cs="Times New Roman"/>
        </w:rPr>
      </w:pPr>
      <w:r>
        <w:rPr>
          <w:rFonts w:ascii="Times New Roman" w:hAnsi="Times New Roman" w:cs="Times New Roman"/>
        </w:rPr>
        <w:lastRenderedPageBreak/>
        <w:t xml:space="preserve">Fifth, the small sample size and limitations in the scope of data collected did not permit us to statistically control for factors outside of the program that could potentially influence youths’ subjective perceptions of challenge, relevance, and learning. For example, youth whose families provide greater support for pursuing STEM interests or who espouse and communicate greater value for science may perceive their program activities to be more relevant and/or providing more affordances for learning (see Koch, </w:t>
      </w:r>
      <w:proofErr w:type="spellStart"/>
      <w:r>
        <w:rPr>
          <w:rFonts w:ascii="Times New Roman" w:hAnsi="Times New Roman" w:cs="Times New Roman"/>
        </w:rPr>
        <w:t>Lundh</w:t>
      </w:r>
      <w:proofErr w:type="spellEnd"/>
      <w:r>
        <w:rPr>
          <w:rFonts w:ascii="Times New Roman" w:hAnsi="Times New Roman" w:cs="Times New Roman"/>
        </w:rPr>
        <w:t xml:space="preserve">, &amp; Harris, 2019). </w:t>
      </w:r>
    </w:p>
    <w:p w14:paraId="076A6B8E" w14:textId="4FAD72C6" w:rsidR="002444E0" w:rsidRPr="003D3598" w:rsidRDefault="002444E0" w:rsidP="00A73422">
      <w:pPr>
        <w:ind w:firstLine="720"/>
        <w:contextualSpacing/>
        <w:rPr>
          <w:rFonts w:ascii="Times New Roman" w:hAnsi="Times New Roman" w:cs="Times New Roman"/>
        </w:rPr>
      </w:pPr>
      <w:r>
        <w:rPr>
          <w:rFonts w:ascii="Times New Roman" w:hAnsi="Times New Roman" w:cs="Times New Roman"/>
        </w:rPr>
        <w:t xml:space="preserve">Finally, our exploration of individual differences in youths’ engagement and their perceptions of challenge, relevance, and learning was limited to an examination of gender and perceived competence. It is likely that other youth characteristics may help explain individual differences in youths’ engagement and experience: Future research should expand the range of characteristics examined. </w:t>
      </w:r>
    </w:p>
    <w:p w14:paraId="4E233433" w14:textId="7B562C91" w:rsidR="004C5A59" w:rsidRPr="003D3598" w:rsidRDefault="00107301" w:rsidP="00A73422">
      <w:pPr>
        <w:contextualSpacing/>
        <w:rPr>
          <w:rFonts w:ascii="Times New Roman" w:hAnsi="Times New Roman" w:cs="Times New Roman"/>
          <w:b/>
        </w:rPr>
      </w:pPr>
      <w:r w:rsidRPr="003D3598">
        <w:rPr>
          <w:rFonts w:ascii="Times New Roman" w:hAnsi="Times New Roman" w:cs="Times New Roman"/>
          <w:b/>
        </w:rPr>
        <w:t>Conclusion</w:t>
      </w:r>
    </w:p>
    <w:p w14:paraId="1703F228" w14:textId="29A59FB1" w:rsidR="00F823C3" w:rsidRDefault="00234442" w:rsidP="00A73422">
      <w:pPr>
        <w:ind w:firstLine="720"/>
        <w:contextualSpacing/>
        <w:rPr>
          <w:rFonts w:ascii="Times New Roman" w:hAnsi="Times New Roman" w:cs="Times New Roman"/>
        </w:rPr>
      </w:pPr>
      <w:r w:rsidRPr="003D3598">
        <w:rPr>
          <w:rFonts w:ascii="Times New Roman" w:hAnsi="Times New Roman" w:cs="Times New Roman"/>
        </w:rPr>
        <w:t xml:space="preserve">In spite of its limitations, this study contributes to our understanding of youth experience in out of school STEM programs </w:t>
      </w:r>
      <w:r w:rsidR="00497906" w:rsidRPr="003D3598">
        <w:rPr>
          <w:rFonts w:ascii="Times New Roman" w:hAnsi="Times New Roman" w:cs="Times New Roman"/>
        </w:rPr>
        <w:t xml:space="preserve">by examining both subjective and objective features of the program environment. Using rigorous research methods that mirror studies of classroom engagement, this research examines youth engagement in summer </w:t>
      </w:r>
      <w:r w:rsidR="00945A8A">
        <w:rPr>
          <w:rFonts w:ascii="Times New Roman" w:hAnsi="Times New Roman" w:cs="Times New Roman"/>
        </w:rPr>
        <w:t xml:space="preserve">STEM </w:t>
      </w:r>
      <w:r w:rsidR="00497906" w:rsidRPr="003D3598">
        <w:rPr>
          <w:rFonts w:ascii="Times New Roman" w:hAnsi="Times New Roman" w:cs="Times New Roman"/>
        </w:rPr>
        <w:t>programs and identifies conditions for youth engagement as well as gender-related variations in how these conditions might impact engagement. R</w:t>
      </w:r>
      <w:r w:rsidR="00F823C3" w:rsidRPr="003D3598">
        <w:rPr>
          <w:rFonts w:ascii="Times New Roman" w:hAnsi="Times New Roman" w:cs="Times New Roman"/>
        </w:rPr>
        <w:t xml:space="preserve">esults highlight the importance of creating appropriate conditions for engagement in </w:t>
      </w:r>
      <w:r w:rsidR="00497906" w:rsidRPr="003D3598">
        <w:rPr>
          <w:rFonts w:ascii="Times New Roman" w:hAnsi="Times New Roman" w:cs="Times New Roman"/>
        </w:rPr>
        <w:t xml:space="preserve">out of school </w:t>
      </w:r>
      <w:r w:rsidR="00F823C3" w:rsidRPr="003D3598">
        <w:rPr>
          <w:rFonts w:ascii="Times New Roman" w:hAnsi="Times New Roman" w:cs="Times New Roman"/>
        </w:rPr>
        <w:t>STEM programs, as well as the need to continue to focus on strategies for engaging all students in these programs.</w:t>
      </w:r>
    </w:p>
    <w:p w14:paraId="45410B37" w14:textId="77777777" w:rsidR="007C628B" w:rsidRDefault="007C628B" w:rsidP="00DA411D">
      <w:pPr>
        <w:contextualSpacing/>
        <w:jc w:val="center"/>
        <w:rPr>
          <w:rFonts w:ascii="Times New Roman" w:hAnsi="Times New Roman" w:cs="Times New Roman"/>
        </w:rPr>
      </w:pPr>
    </w:p>
    <w:p w14:paraId="5F595571" w14:textId="77777777" w:rsidR="007C628B" w:rsidRDefault="007C628B">
      <w:pPr>
        <w:rPr>
          <w:rFonts w:ascii="Times New Roman" w:hAnsi="Times New Roman" w:cs="Times New Roman"/>
        </w:rPr>
      </w:pPr>
      <w:r>
        <w:rPr>
          <w:rFonts w:ascii="Times New Roman" w:hAnsi="Times New Roman" w:cs="Times New Roman"/>
        </w:rPr>
        <w:br w:type="page"/>
      </w:r>
    </w:p>
    <w:p w14:paraId="51EC1401" w14:textId="04CA48D9" w:rsidR="00DA411D" w:rsidRDefault="00DA411D" w:rsidP="00DA411D">
      <w:pPr>
        <w:contextualSpacing/>
        <w:jc w:val="center"/>
        <w:rPr>
          <w:rFonts w:ascii="Times New Roman" w:hAnsi="Times New Roman" w:cs="Times New Roman"/>
        </w:rPr>
      </w:pPr>
      <w:r>
        <w:rPr>
          <w:rFonts w:ascii="Times New Roman" w:hAnsi="Times New Roman" w:cs="Times New Roman"/>
        </w:rPr>
        <w:lastRenderedPageBreak/>
        <w:t>References</w:t>
      </w:r>
    </w:p>
    <w:p w14:paraId="2C1A375A" w14:textId="77777777" w:rsidR="007C628B" w:rsidRDefault="007C628B" w:rsidP="00DA411D">
      <w:pPr>
        <w:contextualSpacing/>
        <w:jc w:val="center"/>
        <w:rPr>
          <w:rFonts w:ascii="Times New Roman" w:hAnsi="Times New Roman" w:cs="Times New Roman"/>
        </w:rPr>
      </w:pPr>
    </w:p>
    <w:p w14:paraId="76D8053A"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Allen, S., &amp; Peterman, K. (2019). Evaluating informal STEM education: Issues and challenges in context. In A. C. Fu, A. Kannan, &amp; R. J. Shavelson (Eds.), Evaluation in informal science, technology, engineering, and mathematics education. New directions for evaluation (Vol. 161, pp. 17–33). Chicago, IL: American Evaluation Association.</w:t>
      </w:r>
    </w:p>
    <w:p w14:paraId="584D67F9"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American Association of University Women. (2008). Where the girls are: The facts about gender equity in </w:t>
      </w:r>
      <w:proofErr w:type="spellStart"/>
      <w:r w:rsidRPr="00DA411D">
        <w:rPr>
          <w:rFonts w:ascii="Times New Roman" w:hAnsi="Times New Roman" w:cs="Times New Roman"/>
        </w:rPr>
        <w:t>educa</w:t>
      </w:r>
      <w:proofErr w:type="spellEnd"/>
      <w:r w:rsidRPr="00DA411D">
        <w:rPr>
          <w:rFonts w:ascii="Times New Roman" w:hAnsi="Times New Roman" w:cs="Times New Roman"/>
        </w:rPr>
        <w:t xml:space="preserve">- </w:t>
      </w:r>
      <w:proofErr w:type="spellStart"/>
      <w:r w:rsidRPr="00DA411D">
        <w:rPr>
          <w:rFonts w:ascii="Times New Roman" w:hAnsi="Times New Roman" w:cs="Times New Roman"/>
        </w:rPr>
        <w:t>tion</w:t>
      </w:r>
      <w:proofErr w:type="spellEnd"/>
      <w:r w:rsidRPr="00DA411D">
        <w:rPr>
          <w:rFonts w:ascii="Times New Roman" w:hAnsi="Times New Roman" w:cs="Times New Roman"/>
        </w:rPr>
        <w:t>. Washington, DC: AAUW.</w:t>
      </w:r>
    </w:p>
    <w:p w14:paraId="2C9A967F"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Assor</w:t>
      </w:r>
      <w:proofErr w:type="spellEnd"/>
      <w:r w:rsidRPr="00DA411D">
        <w:rPr>
          <w:rFonts w:ascii="Times New Roman" w:hAnsi="Times New Roman" w:cs="Times New Roman"/>
        </w:rPr>
        <w:t>, A., Kaplan, H., &amp; Roth, G. (2002). Choice is good, but relevance is excellent: Autonomy-enhancing and suppressing teacher behaviors predicting students’ engagement in schoolwork. British Journal of Educational Psychology, 72, 261–278. https://doi.org/10.1348/000709902158883</w:t>
      </w:r>
    </w:p>
    <w:p w14:paraId="418C5436"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Barak, M., &amp; </w:t>
      </w:r>
      <w:proofErr w:type="spellStart"/>
      <w:r w:rsidRPr="00DA411D">
        <w:rPr>
          <w:rFonts w:ascii="Times New Roman" w:hAnsi="Times New Roman" w:cs="Times New Roman"/>
        </w:rPr>
        <w:t>Shakhman</w:t>
      </w:r>
      <w:proofErr w:type="spellEnd"/>
      <w:r w:rsidRPr="00DA411D">
        <w:rPr>
          <w:rFonts w:ascii="Times New Roman" w:hAnsi="Times New Roman" w:cs="Times New Roman"/>
        </w:rPr>
        <w:t xml:space="preserve">, L. (2008). Reform-based science teaching; teachers’ instructional practices and </w:t>
      </w:r>
      <w:proofErr w:type="spellStart"/>
      <w:r w:rsidRPr="00DA411D">
        <w:rPr>
          <w:rFonts w:ascii="Times New Roman" w:hAnsi="Times New Roman" w:cs="Times New Roman"/>
        </w:rPr>
        <w:t>concep</w:t>
      </w:r>
      <w:proofErr w:type="spellEnd"/>
      <w:r w:rsidRPr="00DA411D">
        <w:rPr>
          <w:rFonts w:ascii="Times New Roman" w:hAnsi="Times New Roman" w:cs="Times New Roman"/>
        </w:rPr>
        <w:t xml:space="preserve">- </w:t>
      </w:r>
      <w:proofErr w:type="spellStart"/>
      <w:r w:rsidRPr="00DA411D">
        <w:rPr>
          <w:rFonts w:ascii="Times New Roman" w:hAnsi="Times New Roman" w:cs="Times New Roman"/>
        </w:rPr>
        <w:t>tions</w:t>
      </w:r>
      <w:proofErr w:type="spellEnd"/>
      <w:r w:rsidRPr="00DA411D">
        <w:rPr>
          <w:rFonts w:ascii="Times New Roman" w:hAnsi="Times New Roman" w:cs="Times New Roman"/>
        </w:rPr>
        <w:t>. Eurasia Journal of Mathematics, Science &amp; Technology Education, 4(1), 11–20.</w:t>
      </w:r>
    </w:p>
    <w:p w14:paraId="3F877FC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Bell, J., &amp; Bevan, B. (2014). What is the role of informal science education in supporting the vision for K-12 science education? STEM teaching tools initiative, Institute for Science + Math Education. Seattle, WA: University of Washington Retrieved from http://stemteachingtools.org/brief/38</w:t>
      </w:r>
    </w:p>
    <w:p w14:paraId="4C3E8954"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Bell, J., </w:t>
      </w:r>
      <w:proofErr w:type="spellStart"/>
      <w:r w:rsidRPr="00DA411D">
        <w:rPr>
          <w:rFonts w:ascii="Times New Roman" w:hAnsi="Times New Roman" w:cs="Times New Roman"/>
        </w:rPr>
        <w:t>Besley</w:t>
      </w:r>
      <w:proofErr w:type="spellEnd"/>
      <w:r w:rsidRPr="00DA411D">
        <w:rPr>
          <w:rFonts w:ascii="Times New Roman" w:hAnsi="Times New Roman" w:cs="Times New Roman"/>
        </w:rPr>
        <w:t xml:space="preserve">, J., Cannady, M., Crowley, K., </w:t>
      </w:r>
      <w:proofErr w:type="spellStart"/>
      <w:r w:rsidRPr="00DA411D">
        <w:rPr>
          <w:rFonts w:ascii="Times New Roman" w:hAnsi="Times New Roman" w:cs="Times New Roman"/>
        </w:rPr>
        <w:t>Grack</w:t>
      </w:r>
      <w:proofErr w:type="spellEnd"/>
      <w:r w:rsidRPr="00DA411D">
        <w:rPr>
          <w:rFonts w:ascii="Times New Roman" w:hAnsi="Times New Roman" w:cs="Times New Roman"/>
        </w:rPr>
        <w:t xml:space="preserve"> Nelson, A., Philips, T., ... </w:t>
      </w:r>
      <w:proofErr w:type="spellStart"/>
      <w:r w:rsidRPr="00DA411D">
        <w:rPr>
          <w:rFonts w:ascii="Times New Roman" w:hAnsi="Times New Roman" w:cs="Times New Roman"/>
        </w:rPr>
        <w:t>Storksdieck</w:t>
      </w:r>
      <w:proofErr w:type="spellEnd"/>
      <w:r w:rsidRPr="00DA411D">
        <w:rPr>
          <w:rFonts w:ascii="Times New Roman" w:hAnsi="Times New Roman" w:cs="Times New Roman"/>
        </w:rPr>
        <w:t>, M. (2019). The role of engagement in STEM learning and science communication: Reflections on interviews from the field. Washington, DC: Center for Advancement of Informal Science Education.</w:t>
      </w:r>
    </w:p>
    <w:p w14:paraId="16273BA7"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Bevan, B., </w:t>
      </w:r>
      <w:proofErr w:type="spellStart"/>
      <w:r w:rsidRPr="00DA411D">
        <w:rPr>
          <w:rFonts w:ascii="Times New Roman" w:hAnsi="Times New Roman" w:cs="Times New Roman"/>
        </w:rPr>
        <w:t>Gutwill</w:t>
      </w:r>
      <w:proofErr w:type="spellEnd"/>
      <w:r w:rsidRPr="00DA411D">
        <w:rPr>
          <w:rFonts w:ascii="Times New Roman" w:hAnsi="Times New Roman" w:cs="Times New Roman"/>
        </w:rPr>
        <w:t>, J. P., Petrich, M., &amp; Wilkinson, K. (2015). Learning through STEM-rich tinkering: Findings from a jointly negotiated research project taken up in practice. Science Education, 99(1), 98–120.</w:t>
      </w:r>
    </w:p>
    <w:p w14:paraId="7A282ADD"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Beymer</w:t>
      </w:r>
      <w:proofErr w:type="spellEnd"/>
      <w:r w:rsidRPr="00DA411D">
        <w:rPr>
          <w:rFonts w:ascii="Times New Roman" w:hAnsi="Times New Roman" w:cs="Times New Roman"/>
        </w:rPr>
        <w:t xml:space="preserve">, P. N., Rosenberg, J. M., Schmidt, J. A., &amp; </w:t>
      </w:r>
      <w:proofErr w:type="spellStart"/>
      <w:r w:rsidRPr="00DA411D">
        <w:rPr>
          <w:rFonts w:ascii="Times New Roman" w:hAnsi="Times New Roman" w:cs="Times New Roman"/>
        </w:rPr>
        <w:t>Naftzger</w:t>
      </w:r>
      <w:proofErr w:type="spellEnd"/>
      <w:r w:rsidRPr="00DA411D">
        <w:rPr>
          <w:rFonts w:ascii="Times New Roman" w:hAnsi="Times New Roman" w:cs="Times New Roman"/>
        </w:rPr>
        <w:t>, N. J. (2018). Examining relationships among choice, affect, and engagement in summer STEM programs. Journal of Youth and Adolescence, 47, 1178–1191. https://doi.org/10.1007/s10964-018-0814-9</w:t>
      </w:r>
    </w:p>
    <w:p w14:paraId="72015F23"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Boda</w:t>
      </w:r>
      <w:proofErr w:type="spellEnd"/>
      <w:r w:rsidRPr="00DA411D">
        <w:rPr>
          <w:rFonts w:ascii="Times New Roman" w:hAnsi="Times New Roman" w:cs="Times New Roman"/>
        </w:rPr>
        <w:t>, P. A., &amp; Brown, B. (2020). Priming urban learners’ attitudes toward the relevancy of science: A mixed- methods study testing the importance of context. Journal of Research in Science Teaching, 57(4), 567–596. https://doi.org/10.1002/tea.21604</w:t>
      </w:r>
    </w:p>
    <w:p w14:paraId="39ABAF7C"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Britner</w:t>
      </w:r>
      <w:proofErr w:type="spellEnd"/>
      <w:r w:rsidRPr="00DA411D">
        <w:rPr>
          <w:rFonts w:ascii="Times New Roman" w:hAnsi="Times New Roman" w:cs="Times New Roman"/>
        </w:rPr>
        <w:t xml:space="preserve">, S. L. (2008). Motivation in high school science students: A comparison of gender differences in life, </w:t>
      </w:r>
      <w:proofErr w:type="spellStart"/>
      <w:r w:rsidRPr="00DA411D">
        <w:rPr>
          <w:rFonts w:ascii="Times New Roman" w:hAnsi="Times New Roman" w:cs="Times New Roman"/>
        </w:rPr>
        <w:t>phys</w:t>
      </w:r>
      <w:proofErr w:type="spellEnd"/>
      <w:r w:rsidRPr="00DA411D">
        <w:rPr>
          <w:rFonts w:ascii="Times New Roman" w:hAnsi="Times New Roman" w:cs="Times New Roman"/>
        </w:rPr>
        <w:t xml:space="preserve">- </w:t>
      </w:r>
      <w:proofErr w:type="spellStart"/>
      <w:r w:rsidRPr="00DA411D">
        <w:rPr>
          <w:rFonts w:ascii="Times New Roman" w:hAnsi="Times New Roman" w:cs="Times New Roman"/>
        </w:rPr>
        <w:t>ical</w:t>
      </w:r>
      <w:proofErr w:type="spellEnd"/>
      <w:r w:rsidRPr="00DA411D">
        <w:rPr>
          <w:rFonts w:ascii="Times New Roman" w:hAnsi="Times New Roman" w:cs="Times New Roman"/>
        </w:rPr>
        <w:t>, and earth science classes. Journal of Research in Science Teaching, 45(8), 955–970. https://doi.org/10. 1002/tea.20249</w:t>
      </w:r>
    </w:p>
    <w:p w14:paraId="0A7805F0"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Catsambis</w:t>
      </w:r>
      <w:proofErr w:type="spellEnd"/>
      <w:r w:rsidRPr="00DA411D">
        <w:rPr>
          <w:rFonts w:ascii="Times New Roman" w:hAnsi="Times New Roman" w:cs="Times New Roman"/>
        </w:rPr>
        <w:t>, S. (1995). Gender, race, ethnicity, and science education in the middle grades, gender, race, ethnicity, and science education in the middle grades. Journal of Research in Science Teaching, 32(3), 243–257. https:// doi.org/10.1002/tea.3660320305</w:t>
      </w:r>
    </w:p>
    <w:p w14:paraId="39886C27"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Cheryan</w:t>
      </w:r>
      <w:proofErr w:type="spellEnd"/>
      <w:r w:rsidRPr="00DA411D">
        <w:rPr>
          <w:rFonts w:ascii="Times New Roman" w:hAnsi="Times New Roman" w:cs="Times New Roman"/>
        </w:rPr>
        <w:t>, S., Master, A., &amp; Meltzoff, A. N. (2015). Cultural stereotypes as gatekeepers: Increasing girls’ interest in computer science and engineering by diversifying stereotypes. Frontiers in Psychology, 6, 49. https://doi.org/ 10.3389/fpsyg.2015.00049</w:t>
      </w:r>
    </w:p>
    <w:p w14:paraId="41A9F533"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Christenson, S. L., </w:t>
      </w:r>
      <w:proofErr w:type="spellStart"/>
      <w:r w:rsidRPr="00DA411D">
        <w:rPr>
          <w:rFonts w:ascii="Times New Roman" w:hAnsi="Times New Roman" w:cs="Times New Roman"/>
        </w:rPr>
        <w:t>Reschly</w:t>
      </w:r>
      <w:proofErr w:type="spellEnd"/>
      <w:r w:rsidRPr="00DA411D">
        <w:rPr>
          <w:rFonts w:ascii="Times New Roman" w:hAnsi="Times New Roman" w:cs="Times New Roman"/>
        </w:rPr>
        <w:t xml:space="preserve">, A. L., Appleton, J. J., Berman, S., </w:t>
      </w:r>
      <w:proofErr w:type="spellStart"/>
      <w:r w:rsidRPr="00DA411D">
        <w:rPr>
          <w:rFonts w:ascii="Times New Roman" w:hAnsi="Times New Roman" w:cs="Times New Roman"/>
        </w:rPr>
        <w:t>Spanjers</w:t>
      </w:r>
      <w:proofErr w:type="spellEnd"/>
      <w:r w:rsidRPr="00DA411D">
        <w:rPr>
          <w:rFonts w:ascii="Times New Roman" w:hAnsi="Times New Roman" w:cs="Times New Roman"/>
        </w:rPr>
        <w:t>, D., &amp; Varro, P. (2008). Best practices in fostering student engagement. In A. Thomas &amp; J. Grimes (Eds.), Best practices in school psychology (5th ed., pp. 1099–1119). Bethesda, MD: National Association of School Psychologists.</w:t>
      </w:r>
    </w:p>
    <w:p w14:paraId="303087F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lastRenderedPageBreak/>
        <w:t xml:space="preserve">Christenson, S. L., </w:t>
      </w:r>
      <w:proofErr w:type="spellStart"/>
      <w:r w:rsidRPr="00DA411D">
        <w:rPr>
          <w:rFonts w:ascii="Times New Roman" w:hAnsi="Times New Roman" w:cs="Times New Roman"/>
        </w:rPr>
        <w:t>Reschly</w:t>
      </w:r>
      <w:proofErr w:type="spellEnd"/>
      <w:r w:rsidRPr="00DA411D">
        <w:rPr>
          <w:rFonts w:ascii="Times New Roman" w:hAnsi="Times New Roman" w:cs="Times New Roman"/>
        </w:rPr>
        <w:t>, A. L., &amp; Wylie, C. (2012). The handbook of research on student engagement. New York, NY: Springer Science.</w:t>
      </w:r>
    </w:p>
    <w:p w14:paraId="50DD9BF2"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Clegg, T., &amp; Kolodner, J. (2013). Scientizing and cooking: Helping middle-school learners develop scientific dis- positions. Science Education, 98(1), 36–63. https://doi.org/10.1002/sce.21083</w:t>
      </w:r>
    </w:p>
    <w:p w14:paraId="60B4851A"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Connell, J. P., &amp; Wellborn, J. G. (1991). Competence, autonomy, and relatedness: A motivational model of self- system processes. Minnesota Symposia on Child Psychology, 23, 43–77.</w:t>
      </w:r>
    </w:p>
    <w:p w14:paraId="602BDBDF" w14:textId="4651C731"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Csikszentmihalyi, M. (1990). Flow: The psychology of optimal experience. New York, NY: Harper Collins. Csikszentmihalyi, M., &amp; Larson, R. (1987). Validity and reliability of the experience sampling, validity and </w:t>
      </w:r>
      <w:proofErr w:type="spellStart"/>
      <w:r w:rsidRPr="00DA411D">
        <w:rPr>
          <w:rFonts w:ascii="Times New Roman" w:hAnsi="Times New Roman" w:cs="Times New Roman"/>
        </w:rPr>
        <w:t>reli</w:t>
      </w:r>
      <w:proofErr w:type="spellEnd"/>
      <w:r w:rsidRPr="00DA411D">
        <w:rPr>
          <w:rFonts w:ascii="Times New Roman" w:hAnsi="Times New Roman" w:cs="Times New Roman"/>
        </w:rPr>
        <w:t xml:space="preserve">- ability of the experience-sampling method </w:t>
      </w:r>
      <w:proofErr w:type="spellStart"/>
      <w:r w:rsidRPr="00DA411D">
        <w:rPr>
          <w:rFonts w:ascii="Times New Roman" w:hAnsi="Times New Roman" w:cs="Times New Roman"/>
        </w:rPr>
        <w:t>method</w:t>
      </w:r>
      <w:proofErr w:type="spellEnd"/>
      <w:r w:rsidRPr="00DA411D">
        <w:rPr>
          <w:rFonts w:ascii="Times New Roman" w:hAnsi="Times New Roman" w:cs="Times New Roman"/>
        </w:rPr>
        <w:t>. Journal of Nervous and Mental Disease, 175(9), 526–536.</w:t>
      </w:r>
      <w:r w:rsidR="007C628B">
        <w:rPr>
          <w:rFonts w:ascii="Times New Roman" w:hAnsi="Times New Roman" w:cs="Times New Roman"/>
        </w:rPr>
        <w:t xml:space="preserve"> </w:t>
      </w:r>
      <w:r w:rsidRPr="00DA411D">
        <w:rPr>
          <w:rFonts w:ascii="Times New Roman" w:hAnsi="Times New Roman" w:cs="Times New Roman"/>
        </w:rPr>
        <w:t>https://doi.org/10.1007/978-94-017-9088-8_3</w:t>
      </w:r>
    </w:p>
    <w:p w14:paraId="26342A31" w14:textId="1F2A83C2"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Csikszentmihalyi, M., &amp; Schneider, B. (2000). Becoming adult: How teenagers prepare for the world of work.</w:t>
      </w:r>
      <w:r w:rsidR="007C628B">
        <w:rPr>
          <w:rFonts w:ascii="Times New Roman" w:hAnsi="Times New Roman" w:cs="Times New Roman"/>
        </w:rPr>
        <w:t xml:space="preserve"> </w:t>
      </w:r>
      <w:r w:rsidRPr="00DA411D">
        <w:rPr>
          <w:rFonts w:ascii="Times New Roman" w:hAnsi="Times New Roman" w:cs="Times New Roman"/>
        </w:rPr>
        <w:t>New York, NY: Basic Books.</w:t>
      </w:r>
    </w:p>
    <w:p w14:paraId="436B694B" w14:textId="6F6BDED0"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Dabney, K. P., Tai, R. H., </w:t>
      </w:r>
      <w:proofErr w:type="spellStart"/>
      <w:r w:rsidRPr="00DA411D">
        <w:rPr>
          <w:rFonts w:ascii="Times New Roman" w:hAnsi="Times New Roman" w:cs="Times New Roman"/>
        </w:rPr>
        <w:t>Almarode</w:t>
      </w:r>
      <w:proofErr w:type="spellEnd"/>
      <w:r w:rsidRPr="00DA411D">
        <w:rPr>
          <w:rFonts w:ascii="Times New Roman" w:hAnsi="Times New Roman" w:cs="Times New Roman"/>
        </w:rPr>
        <w:t xml:space="preserve">, J. T., Miller-Friedmann, J. L., </w:t>
      </w:r>
      <w:proofErr w:type="spellStart"/>
      <w:r w:rsidRPr="00DA411D">
        <w:rPr>
          <w:rFonts w:ascii="Times New Roman" w:hAnsi="Times New Roman" w:cs="Times New Roman"/>
        </w:rPr>
        <w:t>Sonnert</w:t>
      </w:r>
      <w:proofErr w:type="spellEnd"/>
      <w:r w:rsidRPr="00DA411D">
        <w:rPr>
          <w:rFonts w:ascii="Times New Roman" w:hAnsi="Times New Roman" w:cs="Times New Roman"/>
        </w:rPr>
        <w:t xml:space="preserve">, G., Sadler, P. M., &amp; </w:t>
      </w:r>
      <w:proofErr w:type="spellStart"/>
      <w:r w:rsidRPr="00DA411D">
        <w:rPr>
          <w:rFonts w:ascii="Times New Roman" w:hAnsi="Times New Roman" w:cs="Times New Roman"/>
        </w:rPr>
        <w:t>Hazari</w:t>
      </w:r>
      <w:proofErr w:type="spellEnd"/>
      <w:r w:rsidRPr="00DA411D">
        <w:rPr>
          <w:rFonts w:ascii="Times New Roman" w:hAnsi="Times New Roman" w:cs="Times New Roman"/>
        </w:rPr>
        <w:t>, Z. (2012).</w:t>
      </w:r>
      <w:r w:rsidR="007C628B">
        <w:rPr>
          <w:rFonts w:ascii="Times New Roman" w:hAnsi="Times New Roman" w:cs="Times New Roman"/>
        </w:rPr>
        <w:t xml:space="preserve"> </w:t>
      </w:r>
      <w:r w:rsidRPr="00DA411D">
        <w:rPr>
          <w:rFonts w:ascii="Times New Roman" w:hAnsi="Times New Roman" w:cs="Times New Roman"/>
        </w:rPr>
        <w:t>Out-of-school time science activities and their association with career interest in stem. International Journal of Science Education, 2(1), 63–79.</w:t>
      </w:r>
      <w:r w:rsidR="007C628B">
        <w:rPr>
          <w:rFonts w:ascii="Times New Roman" w:hAnsi="Times New Roman" w:cs="Times New Roman"/>
        </w:rPr>
        <w:t xml:space="preserve"> </w:t>
      </w:r>
      <w:r w:rsidRPr="00DA411D">
        <w:rPr>
          <w:rFonts w:ascii="Times New Roman" w:hAnsi="Times New Roman" w:cs="Times New Roman"/>
        </w:rPr>
        <w:t>https://doi.org/10.1080/21548455.2011.629455</w:t>
      </w:r>
    </w:p>
    <w:p w14:paraId="0AB33040"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Davis, K. E. B., &amp; Hardin, S. E. (2013). Making STEM fun: How to organize a STEM camp. Teaching Exceptional Children, 45(4), 60–67.</w:t>
      </w:r>
    </w:p>
    <w:p w14:paraId="174EBE1A"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Duke, K. (2000). N. K. 3.6 minutes per day: The scarcity of </w:t>
      </w:r>
      <w:proofErr w:type="spellStart"/>
      <w:r w:rsidRPr="00DA411D">
        <w:rPr>
          <w:rFonts w:ascii="Times New Roman" w:hAnsi="Times New Roman" w:cs="Times New Roman"/>
        </w:rPr>
        <w:t>informatnal</w:t>
      </w:r>
      <w:proofErr w:type="spellEnd"/>
      <w:r w:rsidRPr="00DA411D">
        <w:rPr>
          <w:rFonts w:ascii="Times New Roman" w:hAnsi="Times New Roman" w:cs="Times New Roman"/>
        </w:rPr>
        <w:t xml:space="preserve"> texts in first grade. Reading Research Quarterly, 35(2), 202–224. https://doi.org/10.1598/RRQ.35.2.1</w:t>
      </w:r>
    </w:p>
    <w:p w14:paraId="42DF9D6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Elam, M. E., </w:t>
      </w:r>
      <w:proofErr w:type="spellStart"/>
      <w:r w:rsidRPr="00DA411D">
        <w:rPr>
          <w:rFonts w:ascii="Times New Roman" w:hAnsi="Times New Roman" w:cs="Times New Roman"/>
        </w:rPr>
        <w:t>Donham</w:t>
      </w:r>
      <w:proofErr w:type="spellEnd"/>
      <w:r w:rsidRPr="00DA411D">
        <w:rPr>
          <w:rFonts w:ascii="Times New Roman" w:hAnsi="Times New Roman" w:cs="Times New Roman"/>
        </w:rPr>
        <w:t>, B. L., &amp; Solomon, S. R. (2012). An engineering summer program for underrepresented students from rural school districts. Journal of STEM Education, 13(2), 35–44.</w:t>
      </w:r>
    </w:p>
    <w:p w14:paraId="17A717FF"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Falk, J., &amp; </w:t>
      </w:r>
      <w:proofErr w:type="spellStart"/>
      <w:r w:rsidRPr="00DA411D">
        <w:rPr>
          <w:rFonts w:ascii="Times New Roman" w:hAnsi="Times New Roman" w:cs="Times New Roman"/>
        </w:rPr>
        <w:t>Storksdieck</w:t>
      </w:r>
      <w:proofErr w:type="spellEnd"/>
      <w:r w:rsidRPr="00DA411D">
        <w:rPr>
          <w:rFonts w:ascii="Times New Roman" w:hAnsi="Times New Roman" w:cs="Times New Roman"/>
        </w:rPr>
        <w:t>, M. (2005). Using the contextual model of learning to understand visitor learning from a science center exhibition. Science Education, 89(5), 744–778. https://doi.org/10.1002/sce.20078</w:t>
      </w:r>
    </w:p>
    <w:p w14:paraId="00504A5D"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Finn, J. D., &amp; Owings, J. (2006). The adult lives of at-risk students: The roles of attainment and engagement in high school (statistical analysis report, NCES 2006-328). Washington, DC: U.S. Department of Education Retrieved from https://eric.ed.gov/?id=ED491285</w:t>
      </w:r>
    </w:p>
    <w:p w14:paraId="23417228"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Finn, J. D., &amp; Zimmer, K. S. (2012). Student engagement: What is it? Why does it matter? In S. L. Christenson, A. L. </w:t>
      </w:r>
      <w:proofErr w:type="spellStart"/>
      <w:r w:rsidRPr="00DA411D">
        <w:rPr>
          <w:rFonts w:ascii="Times New Roman" w:hAnsi="Times New Roman" w:cs="Times New Roman"/>
        </w:rPr>
        <w:t>Reschly</w:t>
      </w:r>
      <w:proofErr w:type="spellEnd"/>
      <w:r w:rsidRPr="00DA411D">
        <w:rPr>
          <w:rFonts w:ascii="Times New Roman" w:hAnsi="Times New Roman" w:cs="Times New Roman"/>
        </w:rPr>
        <w:t>, &amp; C. Wylie (Eds.), Handbook of research on student engagement (pp. 97–131). New York, NY: Springer.</w:t>
      </w:r>
    </w:p>
    <w:p w14:paraId="20C52DFE"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Fredricks, J. A., Blumenfeld, P. C., Friedel, J., &amp; Paris, A. H. (2002, April). Increasing engagement in urban set- tings: An analysis of the influence of the social and academic context on student engagement. Paper presented at the Annual Meeting of the American Educational Research Association, New Orleans, LA.</w:t>
      </w:r>
    </w:p>
    <w:p w14:paraId="478239BF"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Fredricks, J. A., Blumenfeld, P. C., &amp; Paris, A. H. (2004). School engagement: Potential of the concept, state of the evidence. Review of Educational Research, 74(1), 59–109. https://doi.org/10.3102/00346543074001059 Fredricks, J. A., &amp; </w:t>
      </w:r>
      <w:proofErr w:type="spellStart"/>
      <w:r w:rsidRPr="00DA411D">
        <w:rPr>
          <w:rFonts w:ascii="Times New Roman" w:hAnsi="Times New Roman" w:cs="Times New Roman"/>
        </w:rPr>
        <w:t>McColskey</w:t>
      </w:r>
      <w:proofErr w:type="spellEnd"/>
      <w:r w:rsidRPr="00DA411D">
        <w:rPr>
          <w:rFonts w:ascii="Times New Roman" w:hAnsi="Times New Roman" w:cs="Times New Roman"/>
        </w:rPr>
        <w:t>, W. (2012). The measurement of student engagement: A comparative analysis of</w:t>
      </w:r>
    </w:p>
    <w:p w14:paraId="71E8F34F" w14:textId="1F061A78"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various methods and student self-report instruments. In S. L. Christenson, A. L. </w:t>
      </w:r>
      <w:proofErr w:type="spellStart"/>
      <w:r w:rsidRPr="00DA411D">
        <w:rPr>
          <w:rFonts w:ascii="Times New Roman" w:hAnsi="Times New Roman" w:cs="Times New Roman"/>
        </w:rPr>
        <w:t>Reschly</w:t>
      </w:r>
      <w:proofErr w:type="spellEnd"/>
      <w:r w:rsidRPr="00DA411D">
        <w:rPr>
          <w:rFonts w:ascii="Times New Roman" w:hAnsi="Times New Roman" w:cs="Times New Roman"/>
        </w:rPr>
        <w:t>, &amp; C. Wylie (Eds.),</w:t>
      </w:r>
      <w:r w:rsidR="007C628B">
        <w:rPr>
          <w:rFonts w:ascii="Times New Roman" w:hAnsi="Times New Roman" w:cs="Times New Roman"/>
        </w:rPr>
        <w:t xml:space="preserve"> </w:t>
      </w:r>
      <w:r w:rsidRPr="00DA411D">
        <w:rPr>
          <w:rFonts w:ascii="Times New Roman" w:hAnsi="Times New Roman" w:cs="Times New Roman"/>
        </w:rPr>
        <w:t>Handbook of research on student engagement (pp. 763–782). New York, NY: Springer.</w:t>
      </w:r>
    </w:p>
    <w:p w14:paraId="10CB09D3"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lastRenderedPageBreak/>
        <w:t xml:space="preserve">Fredricks, J. A., </w:t>
      </w:r>
      <w:proofErr w:type="spellStart"/>
      <w:r w:rsidRPr="00DA411D">
        <w:rPr>
          <w:rFonts w:ascii="Times New Roman" w:hAnsi="Times New Roman" w:cs="Times New Roman"/>
        </w:rPr>
        <w:t>McColskey</w:t>
      </w:r>
      <w:proofErr w:type="spellEnd"/>
      <w:r w:rsidRPr="00DA411D">
        <w:rPr>
          <w:rFonts w:ascii="Times New Roman" w:hAnsi="Times New Roman" w:cs="Times New Roman"/>
        </w:rPr>
        <w:t xml:space="preserve">, W., </w:t>
      </w:r>
      <w:proofErr w:type="spellStart"/>
      <w:r w:rsidRPr="00DA411D">
        <w:rPr>
          <w:rFonts w:ascii="Times New Roman" w:hAnsi="Times New Roman" w:cs="Times New Roman"/>
        </w:rPr>
        <w:t>Meli</w:t>
      </w:r>
      <w:proofErr w:type="spellEnd"/>
      <w:r w:rsidRPr="00DA411D">
        <w:rPr>
          <w:rFonts w:ascii="Times New Roman" w:hAnsi="Times New Roman" w:cs="Times New Roman"/>
        </w:rPr>
        <w:t xml:space="preserve">, J., </w:t>
      </w:r>
      <w:proofErr w:type="spellStart"/>
      <w:r w:rsidRPr="00DA411D">
        <w:rPr>
          <w:rFonts w:ascii="Times New Roman" w:hAnsi="Times New Roman" w:cs="Times New Roman"/>
        </w:rPr>
        <w:t>Mordica</w:t>
      </w:r>
      <w:proofErr w:type="spellEnd"/>
      <w:r w:rsidRPr="00DA411D">
        <w:rPr>
          <w:rFonts w:ascii="Times New Roman" w:hAnsi="Times New Roman" w:cs="Times New Roman"/>
        </w:rPr>
        <w:t xml:space="preserve">, J., </w:t>
      </w:r>
      <w:proofErr w:type="spellStart"/>
      <w:r w:rsidRPr="00DA411D">
        <w:rPr>
          <w:rFonts w:ascii="Times New Roman" w:hAnsi="Times New Roman" w:cs="Times New Roman"/>
        </w:rPr>
        <w:t>Montrosse</w:t>
      </w:r>
      <w:proofErr w:type="spellEnd"/>
      <w:r w:rsidRPr="00DA411D">
        <w:rPr>
          <w:rFonts w:ascii="Times New Roman" w:hAnsi="Times New Roman" w:cs="Times New Roman"/>
        </w:rPr>
        <w:t>, B., &amp; Mooney, K. (2011). Measuring student engagement in upper elementary through high school: A description of 21 instruments. (issues &amp; answers report, REL 2011-no. 098). Washington, DC: U.S. Department of Education, Institute of Education Sciences, National Center for Education Evaluation and Regional Assistance, Regional Educational Laboratory South-</w:t>
      </w:r>
    </w:p>
    <w:p w14:paraId="58449B53"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east Retrieved from https://ies.ed.gov/ncee/edlabs</w:t>
      </w:r>
    </w:p>
    <w:p w14:paraId="4D48BCA9" w14:textId="49AF38BB"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Furtak</w:t>
      </w:r>
      <w:proofErr w:type="spellEnd"/>
      <w:r w:rsidRPr="00DA411D">
        <w:rPr>
          <w:rFonts w:ascii="Times New Roman" w:hAnsi="Times New Roman" w:cs="Times New Roman"/>
        </w:rPr>
        <w:t>, E. M., &amp; Penuel, W. R. (2019). Coming to terms: Addressing the persistence of “hands-on” and other</w:t>
      </w:r>
      <w:r w:rsidR="007C628B">
        <w:rPr>
          <w:rFonts w:ascii="Times New Roman" w:hAnsi="Times New Roman" w:cs="Times New Roman"/>
        </w:rPr>
        <w:t xml:space="preserve"> </w:t>
      </w:r>
      <w:r w:rsidRPr="00DA411D">
        <w:rPr>
          <w:rFonts w:ascii="Times New Roman" w:hAnsi="Times New Roman" w:cs="Times New Roman"/>
        </w:rPr>
        <w:t>reform terminology in the era of science as practice. Science Education, 103(1), 167–186.</w:t>
      </w:r>
    </w:p>
    <w:p w14:paraId="48F1144E" w14:textId="4A5378D1"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Goetz, T., </w:t>
      </w:r>
      <w:proofErr w:type="spellStart"/>
      <w:r w:rsidRPr="00DA411D">
        <w:rPr>
          <w:rFonts w:ascii="Times New Roman" w:hAnsi="Times New Roman" w:cs="Times New Roman"/>
        </w:rPr>
        <w:t>Frenzel</w:t>
      </w:r>
      <w:proofErr w:type="spellEnd"/>
      <w:r w:rsidRPr="00DA411D">
        <w:rPr>
          <w:rFonts w:ascii="Times New Roman" w:hAnsi="Times New Roman" w:cs="Times New Roman"/>
        </w:rPr>
        <w:t xml:space="preserve">, A. C., </w:t>
      </w:r>
      <w:proofErr w:type="spellStart"/>
      <w:r w:rsidRPr="00DA411D">
        <w:rPr>
          <w:rFonts w:ascii="Times New Roman" w:hAnsi="Times New Roman" w:cs="Times New Roman"/>
        </w:rPr>
        <w:t>Stoeger</w:t>
      </w:r>
      <w:proofErr w:type="spellEnd"/>
      <w:r w:rsidRPr="00DA411D">
        <w:rPr>
          <w:rFonts w:ascii="Times New Roman" w:hAnsi="Times New Roman" w:cs="Times New Roman"/>
        </w:rPr>
        <w:t>, H., &amp; Hall, N. C. (2010). Antecedents of everyday positive emotions: An experience sampling analysis. Motivation and Emotion, 34(1), 49–62. https://doi.org/10.1007/s11031-009-9152-2</w:t>
      </w:r>
    </w:p>
    <w:p w14:paraId="7567FFB2" w14:textId="4FFCDCE9"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Gogol, K., Brunner, M., Goetz, T., Martin, R., </w:t>
      </w:r>
      <w:proofErr w:type="spellStart"/>
      <w:r w:rsidRPr="00DA411D">
        <w:rPr>
          <w:rFonts w:ascii="Times New Roman" w:hAnsi="Times New Roman" w:cs="Times New Roman"/>
        </w:rPr>
        <w:t>Ugen</w:t>
      </w:r>
      <w:proofErr w:type="spellEnd"/>
      <w:r w:rsidRPr="00DA411D">
        <w:rPr>
          <w:rFonts w:ascii="Times New Roman" w:hAnsi="Times New Roman" w:cs="Times New Roman"/>
        </w:rPr>
        <w:t xml:space="preserve">, S., Keller, U., ... </w:t>
      </w:r>
      <w:proofErr w:type="spellStart"/>
      <w:r w:rsidRPr="00DA411D">
        <w:rPr>
          <w:rFonts w:ascii="Times New Roman" w:hAnsi="Times New Roman" w:cs="Times New Roman"/>
        </w:rPr>
        <w:t>Preckel</w:t>
      </w:r>
      <w:proofErr w:type="spellEnd"/>
      <w:r w:rsidRPr="00DA411D">
        <w:rPr>
          <w:rFonts w:ascii="Times New Roman" w:hAnsi="Times New Roman" w:cs="Times New Roman"/>
        </w:rPr>
        <w:t>, F. (2014). “My questionnaire is too</w:t>
      </w:r>
      <w:r w:rsidR="007C628B">
        <w:rPr>
          <w:rFonts w:ascii="Times New Roman" w:hAnsi="Times New Roman" w:cs="Times New Roman"/>
        </w:rPr>
        <w:t xml:space="preserve"> </w:t>
      </w:r>
      <w:r w:rsidRPr="00DA411D">
        <w:rPr>
          <w:rFonts w:ascii="Times New Roman" w:hAnsi="Times New Roman" w:cs="Times New Roman"/>
        </w:rPr>
        <w:t>long!” the assessments of motivational-affective constructs with three-item and single-item measures. Contemporary Educational Psychology, 39(3), 188–205. https://doi.org/10.1016/j.cedpsych.2014.04.002</w:t>
      </w:r>
    </w:p>
    <w:p w14:paraId="31C93D10"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Greene, K. M., Lee, B., Constance, N., &amp; Hynes, K. (2013). Examining youth and program predictors of engage- </w:t>
      </w:r>
      <w:proofErr w:type="spellStart"/>
      <w:r w:rsidRPr="00DA411D">
        <w:rPr>
          <w:rFonts w:ascii="Times New Roman" w:hAnsi="Times New Roman" w:cs="Times New Roman"/>
        </w:rPr>
        <w:t>ment</w:t>
      </w:r>
      <w:proofErr w:type="spellEnd"/>
      <w:r w:rsidRPr="00DA411D">
        <w:rPr>
          <w:rFonts w:ascii="Times New Roman" w:hAnsi="Times New Roman" w:cs="Times New Roman"/>
        </w:rPr>
        <w:t xml:space="preserve"> in out-of-school time programs. Journal of Youth and Adolescence, 42(10), 1557–1572. https://doi.org/</w:t>
      </w:r>
    </w:p>
    <w:p w14:paraId="103849C9"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10.1007/s10964-012-9814-3</w:t>
      </w:r>
    </w:p>
    <w:p w14:paraId="7FDDAB52" w14:textId="1F47BC86"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Habig</w:t>
      </w:r>
      <w:proofErr w:type="spellEnd"/>
      <w:r w:rsidRPr="00DA411D">
        <w:rPr>
          <w:rFonts w:ascii="Times New Roman" w:hAnsi="Times New Roman" w:cs="Times New Roman"/>
        </w:rPr>
        <w:t>, B., Gupta, P., Levine, B., &amp; Adams, J. (2018). An informal science education program's</w:t>
      </w:r>
      <w:r w:rsidR="007C628B">
        <w:rPr>
          <w:rFonts w:ascii="Times New Roman" w:hAnsi="Times New Roman" w:cs="Times New Roman"/>
        </w:rPr>
        <w:t xml:space="preserve"> </w:t>
      </w:r>
      <w:r w:rsidRPr="00DA411D">
        <w:rPr>
          <w:rFonts w:ascii="Times New Roman" w:hAnsi="Times New Roman" w:cs="Times New Roman"/>
        </w:rPr>
        <w:t>impact on STEM</w:t>
      </w:r>
      <w:r w:rsidR="007C628B">
        <w:rPr>
          <w:rFonts w:ascii="Times New Roman" w:hAnsi="Times New Roman" w:cs="Times New Roman"/>
        </w:rPr>
        <w:t xml:space="preserve"> </w:t>
      </w:r>
      <w:r w:rsidRPr="00DA411D">
        <w:rPr>
          <w:rFonts w:ascii="Times New Roman" w:hAnsi="Times New Roman" w:cs="Times New Roman"/>
        </w:rPr>
        <w:t>major and STEM career outcomes. Research in Science Education, 1–24. https://doi.org/10.1007/s11165-018-9722-y</w:t>
      </w:r>
    </w:p>
    <w:p w14:paraId="525DCE3B" w14:textId="1ACA1605"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Hektner</w:t>
      </w:r>
      <w:proofErr w:type="spellEnd"/>
      <w:r w:rsidRPr="00DA411D">
        <w:rPr>
          <w:rFonts w:ascii="Times New Roman" w:hAnsi="Times New Roman" w:cs="Times New Roman"/>
        </w:rPr>
        <w:t>, J. M., Schmidt, J. A., &amp; Csikszentmihalyi, M. (2007). Experience sampling method:</w:t>
      </w:r>
      <w:r>
        <w:rPr>
          <w:rFonts w:ascii="Times New Roman" w:hAnsi="Times New Roman" w:cs="Times New Roman"/>
        </w:rPr>
        <w:t xml:space="preserve"> </w:t>
      </w:r>
      <w:r w:rsidRPr="00DA411D">
        <w:rPr>
          <w:rFonts w:ascii="Times New Roman" w:hAnsi="Times New Roman" w:cs="Times New Roman"/>
        </w:rPr>
        <w:t>Measuring the quality</w:t>
      </w:r>
      <w:r>
        <w:rPr>
          <w:rFonts w:ascii="Times New Roman" w:hAnsi="Times New Roman" w:cs="Times New Roman"/>
        </w:rPr>
        <w:t xml:space="preserve"> </w:t>
      </w:r>
      <w:r w:rsidRPr="00DA411D">
        <w:rPr>
          <w:rFonts w:ascii="Times New Roman" w:hAnsi="Times New Roman" w:cs="Times New Roman"/>
        </w:rPr>
        <w:t>of everyday life. Thousand Oaks, CA: Sage.</w:t>
      </w:r>
    </w:p>
    <w:p w14:paraId="4A6B498C" w14:textId="5989DA89"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Hill, C., Corbett, C., &amp; St. Rose, E. (2010). Why so few? Women in science, technology, engineering, and </w:t>
      </w:r>
      <w:proofErr w:type="spellStart"/>
      <w:r w:rsidRPr="00DA411D">
        <w:rPr>
          <w:rFonts w:ascii="Times New Roman" w:hAnsi="Times New Roman" w:cs="Times New Roman"/>
        </w:rPr>
        <w:t>mathemat</w:t>
      </w:r>
      <w:proofErr w:type="spellEnd"/>
      <w:r w:rsidRPr="00DA411D">
        <w:rPr>
          <w:rFonts w:ascii="Times New Roman" w:hAnsi="Times New Roman" w:cs="Times New Roman"/>
        </w:rPr>
        <w:t>-</w:t>
      </w:r>
      <w:r>
        <w:rPr>
          <w:rFonts w:ascii="Times New Roman" w:hAnsi="Times New Roman" w:cs="Times New Roman"/>
        </w:rPr>
        <w:t xml:space="preserve"> </w:t>
      </w:r>
      <w:proofErr w:type="spellStart"/>
      <w:r w:rsidRPr="00DA411D">
        <w:rPr>
          <w:rFonts w:ascii="Times New Roman" w:hAnsi="Times New Roman" w:cs="Times New Roman"/>
        </w:rPr>
        <w:t>ics</w:t>
      </w:r>
      <w:proofErr w:type="spellEnd"/>
      <w:r w:rsidRPr="00DA411D">
        <w:rPr>
          <w:rFonts w:ascii="Times New Roman" w:hAnsi="Times New Roman" w:cs="Times New Roman"/>
        </w:rPr>
        <w:t>. Washington, DC: American Association of University Women.</w:t>
      </w:r>
    </w:p>
    <w:p w14:paraId="28356BDC" w14:textId="1100AB38"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Hulleman</w:t>
      </w:r>
      <w:proofErr w:type="spellEnd"/>
      <w:r w:rsidRPr="00DA411D">
        <w:rPr>
          <w:rFonts w:ascii="Times New Roman" w:hAnsi="Times New Roman" w:cs="Times New Roman"/>
        </w:rPr>
        <w:t xml:space="preserve">, C. S., </w:t>
      </w:r>
      <w:proofErr w:type="spellStart"/>
      <w:r w:rsidRPr="00DA411D">
        <w:rPr>
          <w:rFonts w:ascii="Times New Roman" w:hAnsi="Times New Roman" w:cs="Times New Roman"/>
        </w:rPr>
        <w:t>Godes</w:t>
      </w:r>
      <w:proofErr w:type="spellEnd"/>
      <w:r w:rsidRPr="00DA411D">
        <w:rPr>
          <w:rFonts w:ascii="Times New Roman" w:hAnsi="Times New Roman" w:cs="Times New Roman"/>
        </w:rPr>
        <w:t xml:space="preserve">, O., Hendricks, B. L., &amp; </w:t>
      </w:r>
      <w:proofErr w:type="spellStart"/>
      <w:r w:rsidRPr="00DA411D">
        <w:rPr>
          <w:rFonts w:ascii="Times New Roman" w:hAnsi="Times New Roman" w:cs="Times New Roman"/>
        </w:rPr>
        <w:t>Harackiewicz</w:t>
      </w:r>
      <w:proofErr w:type="spellEnd"/>
      <w:r w:rsidRPr="00DA411D">
        <w:rPr>
          <w:rFonts w:ascii="Times New Roman" w:hAnsi="Times New Roman" w:cs="Times New Roman"/>
        </w:rPr>
        <w:t>, J. M. (2010). Enhancing interest and performance</w:t>
      </w:r>
      <w:r>
        <w:rPr>
          <w:rFonts w:ascii="Times New Roman" w:hAnsi="Times New Roman" w:cs="Times New Roman"/>
        </w:rPr>
        <w:t xml:space="preserve"> </w:t>
      </w:r>
      <w:r w:rsidRPr="00DA411D">
        <w:rPr>
          <w:rFonts w:ascii="Times New Roman" w:hAnsi="Times New Roman" w:cs="Times New Roman"/>
        </w:rPr>
        <w:t>with a utility value intervention. Journal of Educational Psychology, 102(4), 880–895. https://doi.org/10.1037/a0019506</w:t>
      </w:r>
    </w:p>
    <w:p w14:paraId="1E3DE098" w14:textId="499C6CA4"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Hulleman</w:t>
      </w:r>
      <w:proofErr w:type="spellEnd"/>
      <w:r w:rsidRPr="00DA411D">
        <w:rPr>
          <w:rFonts w:ascii="Times New Roman" w:hAnsi="Times New Roman" w:cs="Times New Roman"/>
        </w:rPr>
        <w:t xml:space="preserve">, C. S., &amp; </w:t>
      </w:r>
      <w:proofErr w:type="spellStart"/>
      <w:r w:rsidRPr="00DA411D">
        <w:rPr>
          <w:rFonts w:ascii="Times New Roman" w:hAnsi="Times New Roman" w:cs="Times New Roman"/>
        </w:rPr>
        <w:t>Harackiewicz</w:t>
      </w:r>
      <w:proofErr w:type="spellEnd"/>
      <w:r w:rsidRPr="00DA411D">
        <w:rPr>
          <w:rFonts w:ascii="Times New Roman" w:hAnsi="Times New Roman" w:cs="Times New Roman"/>
        </w:rPr>
        <w:t>, J. M. (2009). Promoting interest and performance in high school science classes. Science, 326(5958), 1410–1412. https://doi.org/10.1126/science.1177067</w:t>
      </w:r>
    </w:p>
    <w:p w14:paraId="48524DE1" w14:textId="57195292"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James, H. M. (2002). Why do girls persist in science? A qualitative study of the decision-making processes of pre-</w:t>
      </w:r>
      <w:r>
        <w:rPr>
          <w:rFonts w:ascii="Times New Roman" w:hAnsi="Times New Roman" w:cs="Times New Roman"/>
        </w:rPr>
        <w:t xml:space="preserve"> </w:t>
      </w:r>
      <w:r w:rsidRPr="00DA411D">
        <w:rPr>
          <w:rFonts w:ascii="Times New Roman" w:hAnsi="Times New Roman" w:cs="Times New Roman"/>
        </w:rPr>
        <w:t>adolescent and adolescent girls (unpublished doctoral dissertation). Cambridge, MA: Harvard University.</w:t>
      </w:r>
    </w:p>
    <w:p w14:paraId="1882888F"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Kang, H., </w:t>
      </w:r>
      <w:proofErr w:type="spellStart"/>
      <w:r w:rsidRPr="00DA411D">
        <w:rPr>
          <w:rFonts w:ascii="Times New Roman" w:hAnsi="Times New Roman" w:cs="Times New Roman"/>
        </w:rPr>
        <w:t>Windschitl</w:t>
      </w:r>
      <w:proofErr w:type="spellEnd"/>
      <w:r w:rsidRPr="00DA411D">
        <w:rPr>
          <w:rFonts w:ascii="Times New Roman" w:hAnsi="Times New Roman" w:cs="Times New Roman"/>
        </w:rPr>
        <w:t xml:space="preserve">, M., </w:t>
      </w:r>
      <w:proofErr w:type="spellStart"/>
      <w:r w:rsidRPr="00DA411D">
        <w:rPr>
          <w:rFonts w:ascii="Times New Roman" w:hAnsi="Times New Roman" w:cs="Times New Roman"/>
        </w:rPr>
        <w:t>Stroupe</w:t>
      </w:r>
      <w:proofErr w:type="spellEnd"/>
      <w:r w:rsidRPr="00DA411D">
        <w:rPr>
          <w:rFonts w:ascii="Times New Roman" w:hAnsi="Times New Roman" w:cs="Times New Roman"/>
        </w:rPr>
        <w:t>, D., &amp; Thompson, J. (2016). Designing, launching, and implementing high quality learning opportunities for students that advance scientific thinking. Journal of Research in Science Teaching, 53(9), 1316–1340. https://doi.org/10.1002/tea.21329</w:t>
      </w:r>
    </w:p>
    <w:p w14:paraId="62BD84ED"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Karl, R., McLain, B., &amp; Santiago, A. (2017). SciGirls strategies: Using gender-equitable teaching strategies and STEM video narratives to engage girls in nontraditional STEM fields. Connected Science Learning, 2 Retrieved from http://csl.nsta.org/2017/01/scigirls-strategies/</w:t>
      </w:r>
    </w:p>
    <w:p w14:paraId="1BA17408"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lastRenderedPageBreak/>
        <w:t xml:space="preserve">Kataoka, S., &amp; </w:t>
      </w:r>
      <w:proofErr w:type="spellStart"/>
      <w:r w:rsidRPr="00DA411D">
        <w:rPr>
          <w:rFonts w:ascii="Times New Roman" w:hAnsi="Times New Roman" w:cs="Times New Roman"/>
        </w:rPr>
        <w:t>Vandell</w:t>
      </w:r>
      <w:proofErr w:type="spellEnd"/>
      <w:r w:rsidRPr="00DA411D">
        <w:rPr>
          <w:rFonts w:ascii="Times New Roman" w:hAnsi="Times New Roman" w:cs="Times New Roman"/>
        </w:rPr>
        <w:t>, D. L. (2013). Quality of afterschool activities and relative change in adolescent functioning over two years. Applied Developmental Science, 17(3), 123–134. https://doi.org/10.1080/10888691.2013.804375</w:t>
      </w:r>
    </w:p>
    <w:p w14:paraId="1BED1B05"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Keller, J. M. (1987). Development and use of the ARCS model of instructional design. Journal of Instructional Development, 10(3), 2–10. https://doi.org/10.1007/BF02905780</w:t>
      </w:r>
    </w:p>
    <w:p w14:paraId="14DE8C9B" w14:textId="1F455D51"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Klem, A. M., &amp; Connell, J. P. (2004). Relationships matter: Linking teacher support to student engagement and achievement. Journal of School Health, 74(7), 262–273. https://doi.org/10.1111/j.1746-1561.2004.tb08283.x </w:t>
      </w:r>
      <w:proofErr w:type="spellStart"/>
      <w:r w:rsidRPr="00DA411D">
        <w:rPr>
          <w:rFonts w:ascii="Times New Roman" w:hAnsi="Times New Roman" w:cs="Times New Roman"/>
        </w:rPr>
        <w:t>Koballa</w:t>
      </w:r>
      <w:proofErr w:type="spellEnd"/>
      <w:r w:rsidRPr="00DA411D">
        <w:rPr>
          <w:rFonts w:ascii="Times New Roman" w:hAnsi="Times New Roman" w:cs="Times New Roman"/>
        </w:rPr>
        <w:t>, T. R., Jr., &amp; Glynn, S. M. (2007). Attitudinal and motivational constructs in science education. In</w:t>
      </w:r>
      <w:r w:rsidR="007C628B">
        <w:rPr>
          <w:rFonts w:ascii="Times New Roman" w:hAnsi="Times New Roman" w:cs="Times New Roman"/>
        </w:rPr>
        <w:t xml:space="preserve"> </w:t>
      </w:r>
      <w:r w:rsidRPr="00DA411D">
        <w:rPr>
          <w:rFonts w:ascii="Times New Roman" w:hAnsi="Times New Roman" w:cs="Times New Roman"/>
        </w:rPr>
        <w:t>S. K. Abell &amp; N. Lederman (Eds.), Handbook for research in science education (pp. 75–102). Mahwah, NJ:</w:t>
      </w:r>
      <w:r w:rsidR="007C628B">
        <w:rPr>
          <w:rFonts w:ascii="Times New Roman" w:hAnsi="Times New Roman" w:cs="Times New Roman"/>
        </w:rPr>
        <w:t xml:space="preserve"> </w:t>
      </w:r>
      <w:r w:rsidRPr="00DA411D">
        <w:rPr>
          <w:rFonts w:ascii="Times New Roman" w:hAnsi="Times New Roman" w:cs="Times New Roman"/>
        </w:rPr>
        <w:t>Erlbaum.</w:t>
      </w:r>
    </w:p>
    <w:p w14:paraId="3A9D9E4F" w14:textId="032CD365"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Koch, M., </w:t>
      </w:r>
      <w:proofErr w:type="spellStart"/>
      <w:r w:rsidRPr="00DA411D">
        <w:rPr>
          <w:rFonts w:ascii="Times New Roman" w:hAnsi="Times New Roman" w:cs="Times New Roman"/>
        </w:rPr>
        <w:t>Lundh</w:t>
      </w:r>
      <w:proofErr w:type="spellEnd"/>
      <w:r w:rsidRPr="00DA411D">
        <w:rPr>
          <w:rFonts w:ascii="Times New Roman" w:hAnsi="Times New Roman" w:cs="Times New Roman"/>
        </w:rPr>
        <w:t>, P., &amp; Harris, C. J. (2019). Investigating STEM support and persistence among urban teenage</w:t>
      </w:r>
      <w:r w:rsidR="007C628B">
        <w:rPr>
          <w:rFonts w:ascii="Times New Roman" w:hAnsi="Times New Roman" w:cs="Times New Roman"/>
        </w:rPr>
        <w:t xml:space="preserve"> </w:t>
      </w:r>
      <w:r w:rsidRPr="00DA411D">
        <w:rPr>
          <w:rFonts w:ascii="Times New Roman" w:hAnsi="Times New Roman" w:cs="Times New Roman"/>
        </w:rPr>
        <w:t>African American and Latina girls across settings. Urban Education, 54(2), 243–273. https://doi.org/10.1177/00420085915618708</w:t>
      </w:r>
    </w:p>
    <w:p w14:paraId="4BCF11BE"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Larson, R. W., &amp; Angus, R. M. (2011). Adolescents’ development of skills for agency in youth programs: Learning</w:t>
      </w:r>
    </w:p>
    <w:p w14:paraId="306CA839" w14:textId="655165EC"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to think strategically. Child Development, 82(1), 277–294. https://doi.org/10.1111/j.1467-8624.2010.01555.x Larson, R. W., &amp; Dawes, N. P. (2015). Cultivating adolescents’ motivation. In S. Joseph (Ed.), Positive psychology in practice: Promoting human flourishing in work, health, education, and everyday life (pp. 313–326). Hoboken, NJ: Wiley.</w:t>
      </w:r>
    </w:p>
    <w:p w14:paraId="62DC70C0" w14:textId="33C25F18"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Larson, R. W., </w:t>
      </w:r>
      <w:proofErr w:type="spellStart"/>
      <w:r w:rsidRPr="00DA411D">
        <w:rPr>
          <w:rFonts w:ascii="Times New Roman" w:hAnsi="Times New Roman" w:cs="Times New Roman"/>
        </w:rPr>
        <w:t>Izenstark</w:t>
      </w:r>
      <w:proofErr w:type="spellEnd"/>
      <w:r w:rsidRPr="00DA411D">
        <w:rPr>
          <w:rFonts w:ascii="Times New Roman" w:hAnsi="Times New Roman" w:cs="Times New Roman"/>
        </w:rPr>
        <w:t>, D., Rodriquez, G., &amp; Perry, S. C. (2016). The art of restraint: How experienced program</w:t>
      </w:r>
      <w:r w:rsidR="007C628B">
        <w:rPr>
          <w:rFonts w:ascii="Times New Roman" w:hAnsi="Times New Roman" w:cs="Times New Roman"/>
        </w:rPr>
        <w:t xml:space="preserve"> </w:t>
      </w:r>
      <w:r w:rsidRPr="00DA411D">
        <w:rPr>
          <w:rFonts w:ascii="Times New Roman" w:hAnsi="Times New Roman" w:cs="Times New Roman"/>
        </w:rPr>
        <w:t>leaders use their authority to support youth agency. Journal of Research on Adolescence, 26(4), 845–863.</w:t>
      </w:r>
      <w:r w:rsidR="007C628B">
        <w:rPr>
          <w:rFonts w:ascii="Times New Roman" w:hAnsi="Times New Roman" w:cs="Times New Roman"/>
        </w:rPr>
        <w:t xml:space="preserve"> </w:t>
      </w:r>
      <w:r w:rsidRPr="00DA411D">
        <w:rPr>
          <w:rFonts w:ascii="Times New Roman" w:hAnsi="Times New Roman" w:cs="Times New Roman"/>
        </w:rPr>
        <w:t>https://doi.org/10.1111/jora.12234</w:t>
      </w:r>
    </w:p>
    <w:p w14:paraId="4B0CEE27" w14:textId="29B9072B"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Lee, V., &amp; </w:t>
      </w:r>
      <w:proofErr w:type="spellStart"/>
      <w:r w:rsidRPr="00DA411D">
        <w:rPr>
          <w:rFonts w:ascii="Times New Roman" w:hAnsi="Times New Roman" w:cs="Times New Roman"/>
        </w:rPr>
        <w:t>Berkham</w:t>
      </w:r>
      <w:proofErr w:type="spellEnd"/>
      <w:r w:rsidRPr="00DA411D">
        <w:rPr>
          <w:rFonts w:ascii="Times New Roman" w:hAnsi="Times New Roman" w:cs="Times New Roman"/>
        </w:rPr>
        <w:t>, D. (1996). Gender differences in middle grade science achievement:</w:t>
      </w:r>
      <w:r w:rsidR="007C628B">
        <w:rPr>
          <w:rFonts w:ascii="Times New Roman" w:hAnsi="Times New Roman" w:cs="Times New Roman"/>
        </w:rPr>
        <w:t xml:space="preserve"> </w:t>
      </w:r>
      <w:r w:rsidRPr="00DA411D">
        <w:rPr>
          <w:rFonts w:ascii="Times New Roman" w:hAnsi="Times New Roman" w:cs="Times New Roman"/>
        </w:rPr>
        <w:t>Subject-domain, ability</w:t>
      </w:r>
      <w:r w:rsidR="007C628B">
        <w:rPr>
          <w:rFonts w:ascii="Times New Roman" w:hAnsi="Times New Roman" w:cs="Times New Roman"/>
        </w:rPr>
        <w:t xml:space="preserve"> </w:t>
      </w:r>
      <w:r w:rsidRPr="00DA411D">
        <w:rPr>
          <w:rFonts w:ascii="Times New Roman" w:hAnsi="Times New Roman" w:cs="Times New Roman"/>
        </w:rPr>
        <w:t>level and course emphasis. Science Education, 80(6), 613–650. https://doi.org/10.1002/(SICI)1098-237X(199611)80:6&lt;613::AID-SCE1&gt;3.0.CO;2-M</w:t>
      </w:r>
    </w:p>
    <w:p w14:paraId="4212470C" w14:textId="49992AAE"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Luehmann</w:t>
      </w:r>
      <w:proofErr w:type="spellEnd"/>
      <w:r w:rsidRPr="00DA411D">
        <w:rPr>
          <w:rFonts w:ascii="Times New Roman" w:hAnsi="Times New Roman" w:cs="Times New Roman"/>
        </w:rPr>
        <w:t xml:space="preserve">, A. L. (2009). Students’ perspectives of a science enrichment </w:t>
      </w:r>
      <w:proofErr w:type="spellStart"/>
      <w:r w:rsidRPr="00DA411D">
        <w:rPr>
          <w:rFonts w:ascii="Times New Roman" w:hAnsi="Times New Roman" w:cs="Times New Roman"/>
        </w:rPr>
        <w:t>programme</w:t>
      </w:r>
      <w:proofErr w:type="spellEnd"/>
      <w:r w:rsidRPr="00DA411D">
        <w:rPr>
          <w:rFonts w:ascii="Times New Roman" w:hAnsi="Times New Roman" w:cs="Times New Roman"/>
        </w:rPr>
        <w:t>: Out-of-school inquiry as</w:t>
      </w:r>
      <w:r w:rsidR="007C628B">
        <w:rPr>
          <w:rFonts w:ascii="Times New Roman" w:hAnsi="Times New Roman" w:cs="Times New Roman"/>
        </w:rPr>
        <w:t xml:space="preserve"> </w:t>
      </w:r>
      <w:r w:rsidRPr="00DA411D">
        <w:rPr>
          <w:rFonts w:ascii="Times New Roman" w:hAnsi="Times New Roman" w:cs="Times New Roman"/>
        </w:rPr>
        <w:t>access. International Journal of Science Education, 31(13), 1831–1855.</w:t>
      </w:r>
    </w:p>
    <w:p w14:paraId="25BDE8F6" w14:textId="142FF034" w:rsidR="007C628B" w:rsidRDefault="00DA411D" w:rsidP="007C628B">
      <w:pPr>
        <w:ind w:left="720" w:hanging="720"/>
        <w:contextualSpacing/>
        <w:rPr>
          <w:rFonts w:ascii="Times New Roman" w:hAnsi="Times New Roman" w:cs="Times New Roman"/>
        </w:rPr>
      </w:pPr>
      <w:r w:rsidRPr="00DA411D">
        <w:rPr>
          <w:rFonts w:ascii="Times New Roman" w:hAnsi="Times New Roman" w:cs="Times New Roman"/>
        </w:rPr>
        <w:t>Lutz, S. L., Guthrie, J. T., &amp; Davis, M. H. (2006). Scaffolding for engagement in elementary school reading</w:t>
      </w:r>
      <w:r w:rsidR="007C628B">
        <w:rPr>
          <w:rFonts w:ascii="Times New Roman" w:hAnsi="Times New Roman" w:cs="Times New Roman"/>
        </w:rPr>
        <w:t xml:space="preserve"> </w:t>
      </w:r>
      <w:r w:rsidRPr="00DA411D">
        <w:rPr>
          <w:rFonts w:ascii="Times New Roman" w:hAnsi="Times New Roman" w:cs="Times New Roman"/>
        </w:rPr>
        <w:t xml:space="preserve">instruction. The Journal of Educational Research, 100(1), 3–20. </w:t>
      </w:r>
      <w:hyperlink r:id="rId11" w:history="1">
        <w:r w:rsidR="007C628B" w:rsidRPr="001E378E">
          <w:rPr>
            <w:rStyle w:val="Hyperlink"/>
            <w:rFonts w:ascii="Times New Roman" w:hAnsi="Times New Roman" w:cs="Times New Roman"/>
          </w:rPr>
          <w:t>https://doi.org/10.3200/JOER.100.1.3-20</w:t>
        </w:r>
      </w:hyperlink>
    </w:p>
    <w:p w14:paraId="7115029F" w14:textId="0A66D31E"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Mallow, J. (2010, September). Gender, science anxiety, and science attitudes: A multinational perspective. Paper presented at the meeting of the United Nations Division for the Advancement of Women. United Nations</w:t>
      </w:r>
    </w:p>
    <w:p w14:paraId="4E12917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Educational, Scientific and Cultural Organization (UNESCO), Paris, France.</w:t>
      </w:r>
    </w:p>
    <w:p w14:paraId="39642879"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McCallie, E., Bell, L., </w:t>
      </w:r>
      <w:proofErr w:type="spellStart"/>
      <w:r w:rsidRPr="00DA411D">
        <w:rPr>
          <w:rFonts w:ascii="Times New Roman" w:hAnsi="Times New Roman" w:cs="Times New Roman"/>
        </w:rPr>
        <w:t>Lohwater</w:t>
      </w:r>
      <w:proofErr w:type="spellEnd"/>
      <w:r w:rsidRPr="00DA411D">
        <w:rPr>
          <w:rFonts w:ascii="Times New Roman" w:hAnsi="Times New Roman" w:cs="Times New Roman"/>
        </w:rPr>
        <w:t xml:space="preserve">, T., Falk, J. H., Lehr, J. L., </w:t>
      </w:r>
      <w:proofErr w:type="spellStart"/>
      <w:r w:rsidRPr="00DA411D">
        <w:rPr>
          <w:rFonts w:ascii="Times New Roman" w:hAnsi="Times New Roman" w:cs="Times New Roman"/>
        </w:rPr>
        <w:t>Lewenstein</w:t>
      </w:r>
      <w:proofErr w:type="spellEnd"/>
      <w:r w:rsidRPr="00DA411D">
        <w:rPr>
          <w:rFonts w:ascii="Times New Roman" w:hAnsi="Times New Roman" w:cs="Times New Roman"/>
        </w:rPr>
        <w:t xml:space="preserve">, B. V., ... </w:t>
      </w:r>
      <w:proofErr w:type="spellStart"/>
      <w:r w:rsidRPr="00DA411D">
        <w:rPr>
          <w:rFonts w:ascii="Times New Roman" w:hAnsi="Times New Roman" w:cs="Times New Roman"/>
        </w:rPr>
        <w:t>Wiehe</w:t>
      </w:r>
      <w:proofErr w:type="spellEnd"/>
      <w:r w:rsidRPr="00DA411D">
        <w:rPr>
          <w:rFonts w:ascii="Times New Roman" w:hAnsi="Times New Roman" w:cs="Times New Roman"/>
        </w:rPr>
        <w:t>, B. (2009). Many experts,</w:t>
      </w:r>
    </w:p>
    <w:p w14:paraId="52718F69"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many audiences: Public engagement with science and informal science education. A CAISE inquiry group report. Washington, DC: Center for Advancement of </w:t>
      </w:r>
      <w:proofErr w:type="spellStart"/>
      <w:r w:rsidRPr="00DA411D">
        <w:rPr>
          <w:rFonts w:ascii="Times New Roman" w:hAnsi="Times New Roman" w:cs="Times New Roman"/>
        </w:rPr>
        <w:t>Inforfmal</w:t>
      </w:r>
      <w:proofErr w:type="spellEnd"/>
      <w:r w:rsidRPr="00DA411D">
        <w:rPr>
          <w:rFonts w:ascii="Times New Roman" w:hAnsi="Times New Roman" w:cs="Times New Roman"/>
        </w:rPr>
        <w:t xml:space="preserve"> Science Education (CAISE) Retrieved from http://caise.insci.org/uploads/docs/public_engagement_with_science.pdf</w:t>
      </w:r>
    </w:p>
    <w:p w14:paraId="699786B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Miller, D. I., </w:t>
      </w:r>
      <w:proofErr w:type="spellStart"/>
      <w:r w:rsidRPr="00DA411D">
        <w:rPr>
          <w:rFonts w:ascii="Times New Roman" w:hAnsi="Times New Roman" w:cs="Times New Roman"/>
        </w:rPr>
        <w:t>Eagly</w:t>
      </w:r>
      <w:proofErr w:type="spellEnd"/>
      <w:r w:rsidRPr="00DA411D">
        <w:rPr>
          <w:rFonts w:ascii="Times New Roman" w:hAnsi="Times New Roman" w:cs="Times New Roman"/>
        </w:rPr>
        <w:t>, A. H., &amp; Linn, M. C. (2015). Women's representation in science predicts national gender- science stereotypes: Evidence from 66 nations. Journal of Educational Psychology, 107(3), 631–644. https:// doi.org/10.1037/edu0000005</w:t>
      </w:r>
    </w:p>
    <w:p w14:paraId="7518C118"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lastRenderedPageBreak/>
        <w:t xml:space="preserve">Miller, D. I., </w:t>
      </w:r>
      <w:proofErr w:type="spellStart"/>
      <w:r w:rsidRPr="00DA411D">
        <w:rPr>
          <w:rFonts w:ascii="Times New Roman" w:hAnsi="Times New Roman" w:cs="Times New Roman"/>
        </w:rPr>
        <w:t>Nolla</w:t>
      </w:r>
      <w:proofErr w:type="spellEnd"/>
      <w:r w:rsidRPr="00DA411D">
        <w:rPr>
          <w:rFonts w:ascii="Times New Roman" w:hAnsi="Times New Roman" w:cs="Times New Roman"/>
        </w:rPr>
        <w:t xml:space="preserve">, K. M., </w:t>
      </w:r>
      <w:proofErr w:type="spellStart"/>
      <w:r w:rsidRPr="00DA411D">
        <w:rPr>
          <w:rFonts w:ascii="Times New Roman" w:hAnsi="Times New Roman" w:cs="Times New Roman"/>
        </w:rPr>
        <w:t>Eagly</w:t>
      </w:r>
      <w:proofErr w:type="spellEnd"/>
      <w:r w:rsidRPr="00DA411D">
        <w:rPr>
          <w:rFonts w:ascii="Times New Roman" w:hAnsi="Times New Roman" w:cs="Times New Roman"/>
        </w:rPr>
        <w:t xml:space="preserve">, A. H., &amp; </w:t>
      </w:r>
      <w:proofErr w:type="spellStart"/>
      <w:r w:rsidRPr="00DA411D">
        <w:rPr>
          <w:rFonts w:ascii="Times New Roman" w:hAnsi="Times New Roman" w:cs="Times New Roman"/>
        </w:rPr>
        <w:t>Uttal</w:t>
      </w:r>
      <w:proofErr w:type="spellEnd"/>
      <w:r w:rsidRPr="00DA411D">
        <w:rPr>
          <w:rFonts w:ascii="Times New Roman" w:hAnsi="Times New Roman" w:cs="Times New Roman"/>
        </w:rPr>
        <w:t xml:space="preserve">, D. H. (2018). The development of children's gender-science </w:t>
      </w:r>
      <w:proofErr w:type="spellStart"/>
      <w:r w:rsidRPr="00DA411D">
        <w:rPr>
          <w:rFonts w:ascii="Times New Roman" w:hAnsi="Times New Roman" w:cs="Times New Roman"/>
        </w:rPr>
        <w:t>ste</w:t>
      </w:r>
      <w:proofErr w:type="spellEnd"/>
      <w:r w:rsidRPr="00DA411D">
        <w:rPr>
          <w:rFonts w:ascii="Times New Roman" w:hAnsi="Times New Roman" w:cs="Times New Roman"/>
        </w:rPr>
        <w:t xml:space="preserve">- </w:t>
      </w:r>
      <w:proofErr w:type="spellStart"/>
      <w:r w:rsidRPr="00DA411D">
        <w:rPr>
          <w:rFonts w:ascii="Times New Roman" w:hAnsi="Times New Roman" w:cs="Times New Roman"/>
        </w:rPr>
        <w:t>reotypes</w:t>
      </w:r>
      <w:proofErr w:type="spellEnd"/>
      <w:r w:rsidRPr="00DA411D">
        <w:rPr>
          <w:rFonts w:ascii="Times New Roman" w:hAnsi="Times New Roman" w:cs="Times New Roman"/>
        </w:rPr>
        <w:t>: A meta-analysis of 5 decades of US draw-A-scientist studies. Child Development, 89(6), 1943–1955. https://doi.org/10.1111/cdev.13039</w:t>
      </w:r>
    </w:p>
    <w:p w14:paraId="51B4BE03"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Mohr-Schroeder, M. J., Jackson, C., Miller, M., Walcott, B., Little, D. L., </w:t>
      </w:r>
      <w:proofErr w:type="spellStart"/>
      <w:r w:rsidRPr="00DA411D">
        <w:rPr>
          <w:rFonts w:ascii="Times New Roman" w:hAnsi="Times New Roman" w:cs="Times New Roman"/>
        </w:rPr>
        <w:t>Speler</w:t>
      </w:r>
      <w:proofErr w:type="spellEnd"/>
      <w:r w:rsidRPr="00DA411D">
        <w:rPr>
          <w:rFonts w:ascii="Times New Roman" w:hAnsi="Times New Roman" w:cs="Times New Roman"/>
        </w:rPr>
        <w:t>, L., ... Schroeder, D. C. (2014). Developing middle school students’ interests in stem via summer learning experiences: See blue STEM camp. School Science and Mathematics, 114(6), 291–301. https://doi.org/10.1111/ssm.12079</w:t>
      </w:r>
    </w:p>
    <w:p w14:paraId="1DEA6284"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Nagaoka, J. (2016). Foundations for success: Young people learn best through active and reflective experiences. Journal of Staff Development, 37(6), 46–49.</w:t>
      </w:r>
    </w:p>
    <w:p w14:paraId="43D22B3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National Academy of Engineering and National Research Council. (2014). STEM integration in K-12 education: Status, prospects, and an agenda for research. Washington, DC: The National Academies Press.</w:t>
      </w:r>
    </w:p>
    <w:p w14:paraId="70D168FF"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National Academy of Sciences, </w:t>
      </w:r>
      <w:proofErr w:type="spellStart"/>
      <w:r w:rsidRPr="00DA411D">
        <w:rPr>
          <w:rFonts w:ascii="Times New Roman" w:hAnsi="Times New Roman" w:cs="Times New Roman"/>
        </w:rPr>
        <w:t>Labx</w:t>
      </w:r>
      <w:proofErr w:type="spellEnd"/>
      <w:r w:rsidRPr="00DA411D">
        <w:rPr>
          <w:rFonts w:ascii="Times New Roman" w:hAnsi="Times New Roman" w:cs="Times New Roman"/>
        </w:rPr>
        <w:t xml:space="preserve"> (2020). Science Out of the Box: Exploring Pathways to Relevance for the Millennial Generation. Retrieved from https://labx.org/audience-research/.</w:t>
      </w:r>
    </w:p>
    <w:p w14:paraId="2CB5F46D"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National Academy of Sciences, National Academy of Engineering, &amp; Institute of Medicine. (2005). Rising above the gathering storm: Energizing and employing America for a brighter future. Washington, DC: The National Academies Press.</w:t>
      </w:r>
    </w:p>
    <w:p w14:paraId="5B6EC1C1"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National Research Council. (2009). Learning science in informal environments: People, places, and pursuits. Washington, DC: The National Academies Press. https://doi.org/10.17226/12190</w:t>
      </w:r>
    </w:p>
    <w:p w14:paraId="430BDFE1"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National Research Council. (2012). Education for life and work: Developing transferable knowledge and skills in the 21st century. Washington, DC: The National Academies Press. https://doi.org/10.17226/13398</w:t>
      </w:r>
    </w:p>
    <w:p w14:paraId="3998A19E"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National Research Council and the Institute of Medicine. (2004). Engaging schools: Fostering high school students’ motivation to learn. Washington, DC: The National Academies Press.</w:t>
      </w:r>
    </w:p>
    <w:p w14:paraId="2F7CECF0"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Nett</w:t>
      </w:r>
      <w:proofErr w:type="spellEnd"/>
      <w:r w:rsidRPr="00DA411D">
        <w:rPr>
          <w:rFonts w:ascii="Times New Roman" w:hAnsi="Times New Roman" w:cs="Times New Roman"/>
        </w:rPr>
        <w:t>, U. E., Goetz, T., &amp; Hall, N. C. (2011). Coping with boredom in school: An experience sampling perspective. Contemporary Educational Psychology, 36(1), 49–59. https://doi.org/10.1016/j.cedpsych.2010.10.003</w:t>
      </w:r>
    </w:p>
    <w:p w14:paraId="669A720D"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Pekrun</w:t>
      </w:r>
      <w:proofErr w:type="spellEnd"/>
      <w:r w:rsidRPr="00DA411D">
        <w:rPr>
          <w:rFonts w:ascii="Times New Roman" w:hAnsi="Times New Roman" w:cs="Times New Roman"/>
        </w:rPr>
        <w:t xml:space="preserve">, R., &amp; </w:t>
      </w:r>
      <w:proofErr w:type="spellStart"/>
      <w:r w:rsidRPr="00DA411D">
        <w:rPr>
          <w:rFonts w:ascii="Times New Roman" w:hAnsi="Times New Roman" w:cs="Times New Roman"/>
        </w:rPr>
        <w:t>Linnenbrink</w:t>
      </w:r>
      <w:proofErr w:type="spellEnd"/>
      <w:r w:rsidRPr="00DA411D">
        <w:rPr>
          <w:rFonts w:ascii="Times New Roman" w:hAnsi="Times New Roman" w:cs="Times New Roman"/>
        </w:rPr>
        <w:t xml:space="preserve">-Garcia, L. (2012). Academic emotions and student engagement. In S. L. Christensen, A. L. </w:t>
      </w:r>
      <w:proofErr w:type="spellStart"/>
      <w:r w:rsidRPr="00DA411D">
        <w:rPr>
          <w:rFonts w:ascii="Times New Roman" w:hAnsi="Times New Roman" w:cs="Times New Roman"/>
        </w:rPr>
        <w:t>Reschly</w:t>
      </w:r>
      <w:proofErr w:type="spellEnd"/>
      <w:r w:rsidRPr="00DA411D">
        <w:rPr>
          <w:rFonts w:ascii="Times New Roman" w:hAnsi="Times New Roman" w:cs="Times New Roman"/>
        </w:rPr>
        <w:t>, &amp; C. Wylie (Eds.), Handbook of research on student engagement (pp. 259–282). New York, NY: Springer US.</w:t>
      </w:r>
    </w:p>
    <w:p w14:paraId="4E1645C6"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Rennie, L. J. (2014). Learning science outside of school. In S. K. Abell &amp; N. G. Lederman (Eds.), Handbook of research on science education, volume II (pp. 120–144). New York, NY: Routledge.</w:t>
      </w:r>
    </w:p>
    <w:p w14:paraId="477F89BB"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Renninger</w:t>
      </w:r>
      <w:proofErr w:type="spellEnd"/>
      <w:r w:rsidRPr="00DA411D">
        <w:rPr>
          <w:rFonts w:ascii="Times New Roman" w:hAnsi="Times New Roman" w:cs="Times New Roman"/>
        </w:rPr>
        <w:t>, K. A. (2017). Interest and motivation in informal science learning. Washington, DC: National Research Council.</w:t>
      </w:r>
    </w:p>
    <w:p w14:paraId="02D3ABBF"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Roth, K. J., Garnier, H. E., Chen, C., </w:t>
      </w:r>
      <w:proofErr w:type="spellStart"/>
      <w:r w:rsidRPr="00DA411D">
        <w:rPr>
          <w:rFonts w:ascii="Times New Roman" w:hAnsi="Times New Roman" w:cs="Times New Roman"/>
        </w:rPr>
        <w:t>Lemmens</w:t>
      </w:r>
      <w:proofErr w:type="spellEnd"/>
      <w:r w:rsidRPr="00DA411D">
        <w:rPr>
          <w:rFonts w:ascii="Times New Roman" w:hAnsi="Times New Roman" w:cs="Times New Roman"/>
        </w:rPr>
        <w:t xml:space="preserve">, M., </w:t>
      </w:r>
      <w:proofErr w:type="spellStart"/>
      <w:r w:rsidRPr="00DA411D">
        <w:rPr>
          <w:rFonts w:ascii="Times New Roman" w:hAnsi="Times New Roman" w:cs="Times New Roman"/>
        </w:rPr>
        <w:t>Schwille</w:t>
      </w:r>
      <w:proofErr w:type="spellEnd"/>
      <w:r w:rsidRPr="00DA411D">
        <w:rPr>
          <w:rFonts w:ascii="Times New Roman" w:hAnsi="Times New Roman" w:cs="Times New Roman"/>
        </w:rPr>
        <w:t xml:space="preserve">, K., &amp; </w:t>
      </w:r>
      <w:proofErr w:type="spellStart"/>
      <w:r w:rsidRPr="00DA411D">
        <w:rPr>
          <w:rFonts w:ascii="Times New Roman" w:hAnsi="Times New Roman" w:cs="Times New Roman"/>
        </w:rPr>
        <w:t>Wickler</w:t>
      </w:r>
      <w:proofErr w:type="spellEnd"/>
      <w:r w:rsidRPr="00DA411D">
        <w:rPr>
          <w:rFonts w:ascii="Times New Roman" w:hAnsi="Times New Roman" w:cs="Times New Roman"/>
        </w:rPr>
        <w:t>, N. I. Z. (2011). Video based lesson analysis: Effective science PD for teacher and student learning. Journal of Research in Science Teaching, 48 (2), 117–148. https://doi.org/10.1002/tea.20408</w:t>
      </w:r>
    </w:p>
    <w:p w14:paraId="0D706594"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Ruiperez-Valiente</w:t>
      </w:r>
      <w:proofErr w:type="spellEnd"/>
      <w:r w:rsidRPr="00DA411D">
        <w:rPr>
          <w:rFonts w:ascii="Times New Roman" w:hAnsi="Times New Roman" w:cs="Times New Roman"/>
        </w:rPr>
        <w:t xml:space="preserve">, J. A., Gaydos, M., </w:t>
      </w:r>
      <w:proofErr w:type="spellStart"/>
      <w:r w:rsidRPr="00DA411D">
        <w:rPr>
          <w:rFonts w:ascii="Times New Roman" w:hAnsi="Times New Roman" w:cs="Times New Roman"/>
        </w:rPr>
        <w:t>Rosenheck</w:t>
      </w:r>
      <w:proofErr w:type="spellEnd"/>
      <w:r w:rsidRPr="00DA411D">
        <w:rPr>
          <w:rFonts w:ascii="Times New Roman" w:hAnsi="Times New Roman" w:cs="Times New Roman"/>
        </w:rPr>
        <w:t xml:space="preserve">, L., Kim, Y. J., &amp; </w:t>
      </w:r>
      <w:proofErr w:type="spellStart"/>
      <w:r w:rsidRPr="00DA411D">
        <w:rPr>
          <w:rFonts w:ascii="Times New Roman" w:hAnsi="Times New Roman" w:cs="Times New Roman"/>
        </w:rPr>
        <w:t>Klopfer</w:t>
      </w:r>
      <w:proofErr w:type="spellEnd"/>
      <w:r w:rsidRPr="00DA411D">
        <w:rPr>
          <w:rFonts w:ascii="Times New Roman" w:hAnsi="Times New Roman" w:cs="Times New Roman"/>
        </w:rPr>
        <w:t>, E. (2020). Patterns of engagement in an educational massive multiplayer online game: A multidimensional view. IEEE Transactions on Learning Technologies. https://doi.org/10.1109/TLT.2020.2968234</w:t>
      </w:r>
    </w:p>
    <w:p w14:paraId="2BF5922C"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lastRenderedPageBreak/>
        <w:t xml:space="preserve">Schmidt, J. A., </w:t>
      </w:r>
      <w:proofErr w:type="spellStart"/>
      <w:r w:rsidRPr="00DA411D">
        <w:rPr>
          <w:rFonts w:ascii="Times New Roman" w:hAnsi="Times New Roman" w:cs="Times New Roman"/>
        </w:rPr>
        <w:t>Kafkas</w:t>
      </w:r>
      <w:proofErr w:type="spellEnd"/>
      <w:r w:rsidRPr="00DA411D">
        <w:rPr>
          <w:rFonts w:ascii="Times New Roman" w:hAnsi="Times New Roman" w:cs="Times New Roman"/>
        </w:rPr>
        <w:t xml:space="preserve">, S. S., Maier, K. S., </w:t>
      </w:r>
      <w:proofErr w:type="spellStart"/>
      <w:r w:rsidRPr="00DA411D">
        <w:rPr>
          <w:rFonts w:ascii="Times New Roman" w:hAnsi="Times New Roman" w:cs="Times New Roman"/>
        </w:rPr>
        <w:t>Shumow</w:t>
      </w:r>
      <w:proofErr w:type="spellEnd"/>
      <w:r w:rsidRPr="00DA411D">
        <w:rPr>
          <w:rFonts w:ascii="Times New Roman" w:hAnsi="Times New Roman" w:cs="Times New Roman"/>
        </w:rPr>
        <w:t xml:space="preserve">, L., &amp; </w:t>
      </w:r>
      <w:proofErr w:type="spellStart"/>
      <w:r w:rsidRPr="00DA411D">
        <w:rPr>
          <w:rFonts w:ascii="Times New Roman" w:hAnsi="Times New Roman" w:cs="Times New Roman"/>
        </w:rPr>
        <w:t>Kackar</w:t>
      </w:r>
      <w:proofErr w:type="spellEnd"/>
      <w:r w:rsidRPr="00DA411D">
        <w:rPr>
          <w:rFonts w:ascii="Times New Roman" w:hAnsi="Times New Roman" w:cs="Times New Roman"/>
        </w:rPr>
        <w:t xml:space="preserve">-Cam, H. Z. (2019). Why are we learning this? Using mixed methods to understand teachers’ relevance statements and how they shape middle school </w:t>
      </w:r>
      <w:proofErr w:type="spellStart"/>
      <w:r w:rsidRPr="00DA411D">
        <w:rPr>
          <w:rFonts w:ascii="Times New Roman" w:hAnsi="Times New Roman" w:cs="Times New Roman"/>
        </w:rPr>
        <w:t>stu</w:t>
      </w:r>
      <w:proofErr w:type="spellEnd"/>
      <w:r w:rsidRPr="00DA411D">
        <w:rPr>
          <w:rFonts w:ascii="Times New Roman" w:hAnsi="Times New Roman" w:cs="Times New Roman"/>
        </w:rPr>
        <w:t>- dents’ perceptions of science utility. Contemporary Educational Psychology, 57, 9–31. https://doi.org/10.1016/ j.cedpsych.2018.08.005</w:t>
      </w:r>
    </w:p>
    <w:p w14:paraId="06F55D55"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Schmidt, J. A., Rosenberg, J. M., &amp; </w:t>
      </w:r>
      <w:proofErr w:type="spellStart"/>
      <w:r w:rsidRPr="00DA411D">
        <w:rPr>
          <w:rFonts w:ascii="Times New Roman" w:hAnsi="Times New Roman" w:cs="Times New Roman"/>
        </w:rPr>
        <w:t>Beymer</w:t>
      </w:r>
      <w:proofErr w:type="spellEnd"/>
      <w:r w:rsidRPr="00DA411D">
        <w:rPr>
          <w:rFonts w:ascii="Times New Roman" w:hAnsi="Times New Roman" w:cs="Times New Roman"/>
        </w:rPr>
        <w:t>, P. N. (2018). A person-in-context approach to student engagement in science: Examining learning activities and choice. Journal of Research in Science Teaching, 55(1), 19–43. https://doi.org/10.1002/tea.21409</w:t>
      </w:r>
    </w:p>
    <w:p w14:paraId="0E0A33F7"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Shernoff</w:t>
      </w:r>
      <w:proofErr w:type="spellEnd"/>
      <w:r w:rsidRPr="00DA411D">
        <w:rPr>
          <w:rFonts w:ascii="Times New Roman" w:hAnsi="Times New Roman" w:cs="Times New Roman"/>
        </w:rPr>
        <w:t xml:space="preserve">, D. J., Csikszentmihalyi, M., Schneider, B., &amp; </w:t>
      </w:r>
      <w:proofErr w:type="spellStart"/>
      <w:r w:rsidRPr="00DA411D">
        <w:rPr>
          <w:rFonts w:ascii="Times New Roman" w:hAnsi="Times New Roman" w:cs="Times New Roman"/>
        </w:rPr>
        <w:t>Shernoff</w:t>
      </w:r>
      <w:proofErr w:type="spellEnd"/>
      <w:r w:rsidRPr="00DA411D">
        <w:rPr>
          <w:rFonts w:ascii="Times New Roman" w:hAnsi="Times New Roman" w:cs="Times New Roman"/>
        </w:rPr>
        <w:t>, E. S. (2003). Student engagement in high school classrooms from the perspective of flow theory. School Psychology Quarterly, 18(2), 158–176. https://doi.org/ 10.1521/scpq.18.2.158.21860</w:t>
      </w:r>
    </w:p>
    <w:p w14:paraId="35B9E3C7" w14:textId="4626D09D"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Shernoff</w:t>
      </w:r>
      <w:proofErr w:type="spellEnd"/>
      <w:r w:rsidRPr="00DA411D">
        <w:rPr>
          <w:rFonts w:ascii="Times New Roman" w:hAnsi="Times New Roman" w:cs="Times New Roman"/>
        </w:rPr>
        <w:t xml:space="preserve">, D. J., &amp; Schmidt, J. A. (2008). Further evidence of an engagement-achievement paradox among U.S. high school students. Journal of Youth and Adolescence, 37, 564–580. https://doi.org/10.1007/s10964-007-9241-z </w:t>
      </w:r>
      <w:proofErr w:type="spellStart"/>
      <w:r w:rsidRPr="00DA411D">
        <w:rPr>
          <w:rFonts w:ascii="Times New Roman" w:hAnsi="Times New Roman" w:cs="Times New Roman"/>
        </w:rPr>
        <w:t>Shernoff</w:t>
      </w:r>
      <w:proofErr w:type="spellEnd"/>
      <w:r w:rsidRPr="00DA411D">
        <w:rPr>
          <w:rFonts w:ascii="Times New Roman" w:hAnsi="Times New Roman" w:cs="Times New Roman"/>
        </w:rPr>
        <w:t xml:space="preserve">, D. J., &amp; </w:t>
      </w:r>
      <w:proofErr w:type="spellStart"/>
      <w:r w:rsidRPr="00DA411D">
        <w:rPr>
          <w:rFonts w:ascii="Times New Roman" w:hAnsi="Times New Roman" w:cs="Times New Roman"/>
        </w:rPr>
        <w:t>Vandell</w:t>
      </w:r>
      <w:proofErr w:type="spellEnd"/>
      <w:r w:rsidRPr="00DA411D">
        <w:rPr>
          <w:rFonts w:ascii="Times New Roman" w:hAnsi="Times New Roman" w:cs="Times New Roman"/>
        </w:rPr>
        <w:t>, D. L. (2007). Engagement in after-school program activities: Quality of experience</w:t>
      </w:r>
      <w:r w:rsidR="007C628B">
        <w:rPr>
          <w:rFonts w:ascii="Times New Roman" w:hAnsi="Times New Roman" w:cs="Times New Roman"/>
        </w:rPr>
        <w:t xml:space="preserve"> </w:t>
      </w:r>
      <w:r w:rsidRPr="00DA411D">
        <w:rPr>
          <w:rFonts w:ascii="Times New Roman" w:hAnsi="Times New Roman" w:cs="Times New Roman"/>
        </w:rPr>
        <w:t>from the perspective of participants. Journal of Youth and Adolescence, 36(7), 891–903. https://doi.org/10.1007/s10964-007-9183-5</w:t>
      </w:r>
    </w:p>
    <w:p w14:paraId="37642C6D"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Silvia, P. J. (2006). Exploring the psychology of interest. New York, NY: Oxford University Press.</w:t>
      </w:r>
    </w:p>
    <w:p w14:paraId="0BDD8704" w14:textId="139CD46C"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Silvia, P. J. (2010). Confusion and interest: The role of knowledge emotions in aesthetic experience. Psychology of</w:t>
      </w:r>
      <w:r>
        <w:rPr>
          <w:rFonts w:ascii="Times New Roman" w:hAnsi="Times New Roman" w:cs="Times New Roman"/>
        </w:rPr>
        <w:t xml:space="preserve"> </w:t>
      </w:r>
      <w:r w:rsidRPr="00DA411D">
        <w:rPr>
          <w:rFonts w:ascii="Times New Roman" w:hAnsi="Times New Roman" w:cs="Times New Roman"/>
        </w:rPr>
        <w:t>Aesthetics, Creativity, and the Arts, 4(2), 75–80. https://doi.org/10.1037/a0017081</w:t>
      </w:r>
    </w:p>
    <w:p w14:paraId="7E5FFD35" w14:textId="177435D4"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Sinatra, G. M., </w:t>
      </w:r>
      <w:proofErr w:type="spellStart"/>
      <w:r w:rsidRPr="00DA411D">
        <w:rPr>
          <w:rFonts w:ascii="Times New Roman" w:hAnsi="Times New Roman" w:cs="Times New Roman"/>
        </w:rPr>
        <w:t>Heddy</w:t>
      </w:r>
      <w:proofErr w:type="spellEnd"/>
      <w:r w:rsidRPr="00DA411D">
        <w:rPr>
          <w:rFonts w:ascii="Times New Roman" w:hAnsi="Times New Roman" w:cs="Times New Roman"/>
        </w:rPr>
        <w:t>, B. C., &amp; Lombardi, D. (2015). The challenges of defining and measuring student engagement in science. Educational Psychologist, 50(1), 1–13. https://doi.org/10.1080/00461520.2014.1002924</w:t>
      </w:r>
    </w:p>
    <w:p w14:paraId="4381DBE1"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Stout, J. G., Ito, T. A., Finkelstein, N. D., &amp; Pollock, S. J. (2013, January). How women's endorsement of gendered science stereotypes contributes to the gender gap in STEM participation. Paper presented at the Annual Meet-</w:t>
      </w:r>
    </w:p>
    <w:p w14:paraId="67DD29DE"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ing</w:t>
      </w:r>
      <w:proofErr w:type="spellEnd"/>
      <w:r w:rsidRPr="00DA411D">
        <w:rPr>
          <w:rFonts w:ascii="Times New Roman" w:hAnsi="Times New Roman" w:cs="Times New Roman"/>
        </w:rPr>
        <w:t xml:space="preserve"> of the Society for Personality and Social Psychology, New Orleans, LA.</w:t>
      </w:r>
    </w:p>
    <w:p w14:paraId="4007AF85" w14:textId="563C2B04"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Strati, A. D., Schmidt, J. A., &amp; Maier, K. S. (2017). Perceived challenge, teacher support, and teacher obstruction</w:t>
      </w:r>
      <w:r>
        <w:rPr>
          <w:rFonts w:ascii="Times New Roman" w:hAnsi="Times New Roman" w:cs="Times New Roman"/>
        </w:rPr>
        <w:t xml:space="preserve"> </w:t>
      </w:r>
      <w:r w:rsidRPr="00DA411D">
        <w:rPr>
          <w:rFonts w:ascii="Times New Roman" w:hAnsi="Times New Roman" w:cs="Times New Roman"/>
        </w:rPr>
        <w:t>as predictors of student engagement. Journal of Educational Psychology, 109(1), 131–147. https://doi.org/10. 1037/edu0000108</w:t>
      </w:r>
    </w:p>
    <w:p w14:paraId="01E557A3"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Thier</w:t>
      </w:r>
      <w:proofErr w:type="spellEnd"/>
      <w:r w:rsidRPr="00DA411D">
        <w:rPr>
          <w:rFonts w:ascii="Times New Roman" w:hAnsi="Times New Roman" w:cs="Times New Roman"/>
        </w:rPr>
        <w:t xml:space="preserve">, M., &amp; </w:t>
      </w:r>
      <w:proofErr w:type="spellStart"/>
      <w:r w:rsidRPr="00DA411D">
        <w:rPr>
          <w:rFonts w:ascii="Times New Roman" w:hAnsi="Times New Roman" w:cs="Times New Roman"/>
        </w:rPr>
        <w:t>Daviss</w:t>
      </w:r>
      <w:proofErr w:type="spellEnd"/>
      <w:r w:rsidRPr="00DA411D">
        <w:rPr>
          <w:rFonts w:ascii="Times New Roman" w:hAnsi="Times New Roman" w:cs="Times New Roman"/>
        </w:rPr>
        <w:t xml:space="preserve">, B. (2002). The new science of literacy: Using language skills to develop students learning sci- </w:t>
      </w:r>
      <w:proofErr w:type="spellStart"/>
      <w:r w:rsidRPr="00DA411D">
        <w:rPr>
          <w:rFonts w:ascii="Times New Roman" w:hAnsi="Times New Roman" w:cs="Times New Roman"/>
        </w:rPr>
        <w:t>ence</w:t>
      </w:r>
      <w:proofErr w:type="spellEnd"/>
      <w:r w:rsidRPr="00DA411D">
        <w:rPr>
          <w:rFonts w:ascii="Times New Roman" w:hAnsi="Times New Roman" w:cs="Times New Roman"/>
        </w:rPr>
        <w:t>. Portsmouth, NH: Heinemann.</w:t>
      </w:r>
    </w:p>
    <w:p w14:paraId="565FC548"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Thomas, A. E. (2017). Gender differences in students’ physical science motivation: Are teachers’, gender differ- </w:t>
      </w:r>
      <w:proofErr w:type="spellStart"/>
      <w:r w:rsidRPr="00DA411D">
        <w:rPr>
          <w:rFonts w:ascii="Times New Roman" w:hAnsi="Times New Roman" w:cs="Times New Roman"/>
        </w:rPr>
        <w:t>ences</w:t>
      </w:r>
      <w:proofErr w:type="spellEnd"/>
      <w:r w:rsidRPr="00DA411D">
        <w:rPr>
          <w:rFonts w:ascii="Times New Roman" w:hAnsi="Times New Roman" w:cs="Times New Roman"/>
        </w:rPr>
        <w:t xml:space="preserve"> in students’ physical science motivation implicit cognitions another piece of the puzzle? American Educational Research Journal, 54(1), 35–58. https://doi.org/10.3102/0002831216682223</w:t>
      </w:r>
    </w:p>
    <w:p w14:paraId="3320366C"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Visintainer</w:t>
      </w:r>
      <w:proofErr w:type="spellEnd"/>
      <w:r w:rsidRPr="00DA411D">
        <w:rPr>
          <w:rFonts w:ascii="Times New Roman" w:hAnsi="Times New Roman" w:cs="Times New Roman"/>
        </w:rPr>
        <w:t>, T. (2020). “I think at first glance people would not expect me to be interested in science”: Exploring the racialized science experiences of high school students of color. Journal of Research in Science Teaching, 57(3), 393–422. https://doi-org.proxy2.cl.msu.edu/10.1002/tea.21597</w:t>
      </w:r>
    </w:p>
    <w:p w14:paraId="75D4A0DA"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von Secker, C. E., E., &amp; </w:t>
      </w:r>
      <w:proofErr w:type="spellStart"/>
      <w:r w:rsidRPr="00DA411D">
        <w:rPr>
          <w:rFonts w:ascii="Times New Roman" w:hAnsi="Times New Roman" w:cs="Times New Roman"/>
        </w:rPr>
        <w:t>Lissitz</w:t>
      </w:r>
      <w:proofErr w:type="spellEnd"/>
      <w:r w:rsidRPr="00DA411D">
        <w:rPr>
          <w:rFonts w:ascii="Times New Roman" w:hAnsi="Times New Roman" w:cs="Times New Roman"/>
        </w:rPr>
        <w:t>, R. W.. (1999). Estimating the impact of instructional practices on students’ achievement in science. Journal of Research in Science Teaching, 36, 10, 1110–1126.</w:t>
      </w:r>
    </w:p>
    <w:p w14:paraId="792BC04E"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Voyer</w:t>
      </w:r>
      <w:proofErr w:type="spellEnd"/>
      <w:r w:rsidRPr="00DA411D">
        <w:rPr>
          <w:rFonts w:ascii="Times New Roman" w:hAnsi="Times New Roman" w:cs="Times New Roman"/>
        </w:rPr>
        <w:t xml:space="preserve">, D., &amp; </w:t>
      </w:r>
      <w:proofErr w:type="spellStart"/>
      <w:r w:rsidRPr="00DA411D">
        <w:rPr>
          <w:rFonts w:ascii="Times New Roman" w:hAnsi="Times New Roman" w:cs="Times New Roman"/>
        </w:rPr>
        <w:t>Voyer</w:t>
      </w:r>
      <w:proofErr w:type="spellEnd"/>
      <w:r w:rsidRPr="00DA411D">
        <w:rPr>
          <w:rFonts w:ascii="Times New Roman" w:hAnsi="Times New Roman" w:cs="Times New Roman"/>
        </w:rPr>
        <w:t>, S. D. (2014). Gender differences in scholastic achievement: A meta-analysis. Psychological Bulletin, 140(4), 1174–1204. https://doi.org/10.1037/a0036620</w:t>
      </w:r>
    </w:p>
    <w:p w14:paraId="1E7D6CF2" w14:textId="77777777" w:rsidR="00DA411D" w:rsidRPr="00DA411D" w:rsidRDefault="00DA411D" w:rsidP="007C628B">
      <w:pPr>
        <w:ind w:left="720" w:hanging="720"/>
        <w:contextualSpacing/>
        <w:rPr>
          <w:rFonts w:ascii="Times New Roman" w:hAnsi="Times New Roman" w:cs="Times New Roman"/>
        </w:rPr>
      </w:pPr>
      <w:r w:rsidRPr="00DA411D">
        <w:rPr>
          <w:rFonts w:ascii="Times New Roman" w:hAnsi="Times New Roman" w:cs="Times New Roman"/>
        </w:rPr>
        <w:lastRenderedPageBreak/>
        <w:t xml:space="preserve">Wang, M. T., &amp; </w:t>
      </w:r>
      <w:proofErr w:type="spellStart"/>
      <w:r w:rsidRPr="00DA411D">
        <w:rPr>
          <w:rFonts w:ascii="Times New Roman" w:hAnsi="Times New Roman" w:cs="Times New Roman"/>
        </w:rPr>
        <w:t>Degol</w:t>
      </w:r>
      <w:proofErr w:type="spellEnd"/>
      <w:r w:rsidRPr="00DA411D">
        <w:rPr>
          <w:rFonts w:ascii="Times New Roman" w:hAnsi="Times New Roman" w:cs="Times New Roman"/>
        </w:rPr>
        <w:t>, J. L. (2017). Gender gap in science, technology, engineering, and mathematics (STEM): Current knowledge, implications for practice, policy, and future directions. Educational Psychology Review, 29(1), 119–140. https://doi.org/10.1007/s10648-015-9355-x</w:t>
      </w:r>
    </w:p>
    <w:p w14:paraId="4CC93616" w14:textId="77777777" w:rsidR="00DA411D" w:rsidRPr="00DA411D" w:rsidRDefault="00DA411D" w:rsidP="007C628B">
      <w:pPr>
        <w:ind w:left="720" w:hanging="720"/>
        <w:contextualSpacing/>
        <w:rPr>
          <w:rFonts w:ascii="Times New Roman" w:hAnsi="Times New Roman" w:cs="Times New Roman"/>
        </w:rPr>
      </w:pPr>
      <w:proofErr w:type="spellStart"/>
      <w:r w:rsidRPr="00DA411D">
        <w:rPr>
          <w:rFonts w:ascii="Times New Roman" w:hAnsi="Times New Roman" w:cs="Times New Roman"/>
        </w:rPr>
        <w:t>Xie</w:t>
      </w:r>
      <w:proofErr w:type="spellEnd"/>
      <w:r w:rsidRPr="00DA411D">
        <w:rPr>
          <w:rFonts w:ascii="Times New Roman" w:hAnsi="Times New Roman" w:cs="Times New Roman"/>
        </w:rPr>
        <w:t xml:space="preserve">, K., </w:t>
      </w:r>
      <w:proofErr w:type="spellStart"/>
      <w:r w:rsidRPr="00DA411D">
        <w:rPr>
          <w:rFonts w:ascii="Times New Roman" w:hAnsi="Times New Roman" w:cs="Times New Roman"/>
        </w:rPr>
        <w:t>Heddy</w:t>
      </w:r>
      <w:proofErr w:type="spellEnd"/>
      <w:r w:rsidRPr="00DA411D">
        <w:rPr>
          <w:rFonts w:ascii="Times New Roman" w:hAnsi="Times New Roman" w:cs="Times New Roman"/>
        </w:rPr>
        <w:t xml:space="preserve">, B. C., &amp; </w:t>
      </w:r>
      <w:proofErr w:type="spellStart"/>
      <w:r w:rsidRPr="00DA411D">
        <w:rPr>
          <w:rFonts w:ascii="Times New Roman" w:hAnsi="Times New Roman" w:cs="Times New Roman"/>
        </w:rPr>
        <w:t>Vongkulluksn</w:t>
      </w:r>
      <w:proofErr w:type="spellEnd"/>
      <w:r w:rsidRPr="00DA411D">
        <w:rPr>
          <w:rFonts w:ascii="Times New Roman" w:hAnsi="Times New Roman" w:cs="Times New Roman"/>
        </w:rPr>
        <w:t>, V. W. (2019). Examining engagement in context using experience- sampling method with mobile technology. Contemporary Educational Psychology, 59, 101788. https://doi. org/10.1016/j.cedpsych.2019.101788</w:t>
      </w:r>
    </w:p>
    <w:p w14:paraId="39727666" w14:textId="5E2CD058" w:rsidR="00DA411D" w:rsidRPr="003D3598" w:rsidRDefault="00DA411D" w:rsidP="007C628B">
      <w:pPr>
        <w:ind w:left="720" w:hanging="720"/>
        <w:contextualSpacing/>
        <w:rPr>
          <w:rFonts w:ascii="Times New Roman" w:hAnsi="Times New Roman" w:cs="Times New Roman"/>
        </w:rPr>
      </w:pPr>
      <w:r w:rsidRPr="00DA411D">
        <w:rPr>
          <w:rFonts w:ascii="Times New Roman" w:hAnsi="Times New Roman" w:cs="Times New Roman"/>
        </w:rPr>
        <w:t xml:space="preserve">Yilmaz, M., Ren, J., Custer, S., &amp; Coleman, J. (2010). Hands-on summer camp to attract K-12 students to </w:t>
      </w:r>
      <w:proofErr w:type="spellStart"/>
      <w:r w:rsidRPr="00DA411D">
        <w:rPr>
          <w:rFonts w:ascii="Times New Roman" w:hAnsi="Times New Roman" w:cs="Times New Roman"/>
        </w:rPr>
        <w:t>engi</w:t>
      </w:r>
      <w:proofErr w:type="spellEnd"/>
      <w:r w:rsidRPr="00DA411D">
        <w:rPr>
          <w:rFonts w:ascii="Times New Roman" w:hAnsi="Times New Roman" w:cs="Times New Roman"/>
        </w:rPr>
        <w:t xml:space="preserve">- </w:t>
      </w:r>
      <w:proofErr w:type="spellStart"/>
      <w:r w:rsidRPr="00DA411D">
        <w:rPr>
          <w:rFonts w:ascii="Times New Roman" w:hAnsi="Times New Roman" w:cs="Times New Roman"/>
        </w:rPr>
        <w:t>neering</w:t>
      </w:r>
      <w:proofErr w:type="spellEnd"/>
      <w:r w:rsidRPr="00DA411D">
        <w:rPr>
          <w:rFonts w:ascii="Times New Roman" w:hAnsi="Times New Roman" w:cs="Times New Roman"/>
        </w:rPr>
        <w:t xml:space="preserve"> fields. IEEE Transactions on Education, 53(1), 144–151. https://doi.org/10.1109/TE.2009.2026366</w:t>
      </w:r>
    </w:p>
    <w:p w14:paraId="5870BDFE" w14:textId="070D2AB6" w:rsidR="00606CCD" w:rsidRDefault="00606CCD" w:rsidP="005D6FAB">
      <w:pPr>
        <w:contextualSpacing/>
        <w:rPr>
          <w:rFonts w:ascii="Times New Roman" w:hAnsi="Times New Roman" w:cs="Times New Roman"/>
        </w:rPr>
      </w:pPr>
    </w:p>
    <w:p w14:paraId="19F569DE" w14:textId="77777777" w:rsidR="005D6FAB" w:rsidRDefault="005D6FAB">
      <w:pPr>
        <w:rPr>
          <w:rFonts w:ascii="Times New Roman" w:hAnsi="Times New Roman" w:cs="Times New Roman"/>
        </w:rPr>
      </w:pPr>
      <w:r>
        <w:rPr>
          <w:rFonts w:ascii="Times New Roman" w:hAnsi="Times New Roman" w:cs="Times New Roman"/>
        </w:rPr>
        <w:br w:type="page"/>
      </w:r>
    </w:p>
    <w:p w14:paraId="00CB92D1" w14:textId="391FF48C" w:rsidR="005D6FAB" w:rsidRDefault="005D6FAB" w:rsidP="005D6FAB">
      <w:pPr>
        <w:jc w:val="center"/>
        <w:rPr>
          <w:rFonts w:ascii="Times New Roman" w:hAnsi="Times New Roman" w:cs="Times New Roman"/>
        </w:rPr>
      </w:pPr>
      <w:r>
        <w:rPr>
          <w:rFonts w:ascii="Times New Roman" w:hAnsi="Times New Roman" w:cs="Times New Roman"/>
        </w:rPr>
        <w:lastRenderedPageBreak/>
        <w:t>Online Supplementary Materials</w:t>
      </w:r>
    </w:p>
    <w:p w14:paraId="1CCBFB66" w14:textId="77777777" w:rsidR="005D6FAB" w:rsidRDefault="005D6FAB" w:rsidP="005D6FAB">
      <w:pPr>
        <w:rPr>
          <w:rFonts w:ascii="Times New Roman" w:hAnsi="Times New Roman" w:cs="Times New Roman"/>
        </w:rPr>
      </w:pPr>
    </w:p>
    <w:p w14:paraId="5878369F" w14:textId="77777777" w:rsidR="005D6FAB" w:rsidRDefault="005D6FAB" w:rsidP="005D6FAB">
      <w:pPr>
        <w:rPr>
          <w:rFonts w:ascii="Times New Roman" w:hAnsi="Times New Roman" w:cs="Times New Roman"/>
        </w:rPr>
      </w:pPr>
      <w:r>
        <w:rPr>
          <w:rFonts w:ascii="Times New Roman" w:hAnsi="Times New Roman" w:cs="Times New Roman"/>
        </w:rPr>
        <w:t>Table S1</w:t>
      </w:r>
    </w:p>
    <w:p w14:paraId="16D44A71" w14:textId="77777777" w:rsidR="005D6FAB" w:rsidRDefault="005D6FAB" w:rsidP="005D6FAB">
      <w:pPr>
        <w:rPr>
          <w:rFonts w:ascii="Times New Roman" w:hAnsi="Times New Roman" w:cs="Times New Roman"/>
        </w:rPr>
      </w:pPr>
    </w:p>
    <w:p w14:paraId="69389695" w14:textId="77777777" w:rsidR="005D6FAB" w:rsidRPr="00942D05" w:rsidRDefault="005D6FAB" w:rsidP="005D6FAB">
      <w:pPr>
        <w:rPr>
          <w:rFonts w:ascii="Times New Roman" w:hAnsi="Times New Roman" w:cs="Times New Roman"/>
          <w:i/>
        </w:rPr>
      </w:pPr>
      <w:r w:rsidRPr="00942D05">
        <w:rPr>
          <w:rFonts w:ascii="Times New Roman" w:hAnsi="Times New Roman" w:cs="Times New Roman"/>
          <w:i/>
        </w:rPr>
        <w:t>Model Building for Cross-Classified, Random Effects Model Examining Relations Between Perceptions of Challenge, Relevance, Learning, and Engagement</w:t>
      </w:r>
    </w:p>
    <w:p w14:paraId="3AF5C18C" w14:textId="77777777" w:rsidR="005D6FAB" w:rsidRDefault="005D6FAB" w:rsidP="005D6FAB">
      <w:pPr>
        <w:rPr>
          <w:rFonts w:ascii="Times New Roman" w:hAnsi="Times New Roman" w:cs="Times New Roman"/>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1528"/>
        <w:gridCol w:w="1529"/>
        <w:gridCol w:w="1529"/>
        <w:gridCol w:w="1529"/>
      </w:tblGrid>
      <w:tr w:rsidR="005D6FAB" w14:paraId="60CFC938" w14:textId="77777777" w:rsidTr="00FD613B">
        <w:tc>
          <w:tcPr>
            <w:tcW w:w="3235" w:type="dxa"/>
            <w:tcBorders>
              <w:top w:val="single" w:sz="8" w:space="0" w:color="auto"/>
              <w:bottom w:val="single" w:sz="8" w:space="0" w:color="auto"/>
            </w:tcBorders>
          </w:tcPr>
          <w:p w14:paraId="010EF586" w14:textId="77777777" w:rsidR="005D6FAB" w:rsidRDefault="005D6FAB" w:rsidP="00FD613B">
            <w:pPr>
              <w:rPr>
                <w:rFonts w:ascii="Times New Roman" w:hAnsi="Times New Roman" w:cs="Times New Roman"/>
              </w:rPr>
            </w:pPr>
          </w:p>
        </w:tc>
        <w:tc>
          <w:tcPr>
            <w:tcW w:w="1528" w:type="dxa"/>
            <w:tcBorders>
              <w:top w:val="single" w:sz="8" w:space="0" w:color="auto"/>
              <w:bottom w:val="single" w:sz="8" w:space="0" w:color="auto"/>
            </w:tcBorders>
          </w:tcPr>
          <w:p w14:paraId="35EDCB1B" w14:textId="77777777" w:rsidR="005D6FAB" w:rsidRDefault="005D6FAB" w:rsidP="00FD613B">
            <w:pPr>
              <w:rPr>
                <w:rFonts w:ascii="Times New Roman" w:hAnsi="Times New Roman" w:cs="Times New Roman"/>
              </w:rPr>
            </w:pPr>
            <w:r>
              <w:rPr>
                <w:rFonts w:ascii="Times New Roman" w:hAnsi="Times New Roman" w:cs="Times New Roman"/>
              </w:rPr>
              <w:t>Model 1</w:t>
            </w:r>
          </w:p>
        </w:tc>
        <w:tc>
          <w:tcPr>
            <w:tcW w:w="1529" w:type="dxa"/>
            <w:tcBorders>
              <w:top w:val="single" w:sz="8" w:space="0" w:color="auto"/>
              <w:bottom w:val="single" w:sz="8" w:space="0" w:color="auto"/>
            </w:tcBorders>
          </w:tcPr>
          <w:p w14:paraId="7E9591D7" w14:textId="77777777" w:rsidR="005D6FAB" w:rsidRDefault="005D6FAB" w:rsidP="00FD613B">
            <w:pPr>
              <w:rPr>
                <w:rFonts w:ascii="Times New Roman" w:hAnsi="Times New Roman" w:cs="Times New Roman"/>
              </w:rPr>
            </w:pPr>
            <w:r>
              <w:rPr>
                <w:rFonts w:ascii="Times New Roman" w:hAnsi="Times New Roman" w:cs="Times New Roman"/>
              </w:rPr>
              <w:t>Model 2</w:t>
            </w:r>
          </w:p>
        </w:tc>
        <w:tc>
          <w:tcPr>
            <w:tcW w:w="1529" w:type="dxa"/>
            <w:tcBorders>
              <w:top w:val="single" w:sz="8" w:space="0" w:color="auto"/>
              <w:bottom w:val="single" w:sz="8" w:space="0" w:color="auto"/>
            </w:tcBorders>
          </w:tcPr>
          <w:p w14:paraId="4B08D1E7" w14:textId="77777777" w:rsidR="005D6FAB" w:rsidRDefault="005D6FAB" w:rsidP="00FD613B">
            <w:pPr>
              <w:rPr>
                <w:rFonts w:ascii="Times New Roman" w:hAnsi="Times New Roman" w:cs="Times New Roman"/>
              </w:rPr>
            </w:pPr>
            <w:r>
              <w:rPr>
                <w:rFonts w:ascii="Times New Roman" w:hAnsi="Times New Roman" w:cs="Times New Roman"/>
              </w:rPr>
              <w:t>Model 3</w:t>
            </w:r>
          </w:p>
        </w:tc>
        <w:tc>
          <w:tcPr>
            <w:tcW w:w="1529" w:type="dxa"/>
            <w:tcBorders>
              <w:top w:val="single" w:sz="8" w:space="0" w:color="auto"/>
              <w:bottom w:val="single" w:sz="8" w:space="0" w:color="auto"/>
            </w:tcBorders>
          </w:tcPr>
          <w:p w14:paraId="2C695ADE" w14:textId="77777777" w:rsidR="005D6FAB" w:rsidRDefault="005D6FAB" w:rsidP="00FD613B">
            <w:pPr>
              <w:rPr>
                <w:rFonts w:ascii="Times New Roman" w:hAnsi="Times New Roman" w:cs="Times New Roman"/>
              </w:rPr>
            </w:pPr>
            <w:r>
              <w:rPr>
                <w:rFonts w:ascii="Times New Roman" w:hAnsi="Times New Roman" w:cs="Times New Roman"/>
              </w:rPr>
              <w:t>Model 4 (final model)</w:t>
            </w:r>
          </w:p>
        </w:tc>
      </w:tr>
      <w:tr w:rsidR="005D6FAB" w14:paraId="083A9260" w14:textId="77777777" w:rsidTr="00FD613B">
        <w:tc>
          <w:tcPr>
            <w:tcW w:w="3235" w:type="dxa"/>
            <w:tcBorders>
              <w:top w:val="single" w:sz="8" w:space="0" w:color="auto"/>
            </w:tcBorders>
          </w:tcPr>
          <w:p w14:paraId="1E6749A1" w14:textId="77777777" w:rsidR="005D6FAB" w:rsidRDefault="005D6FAB" w:rsidP="00FD613B">
            <w:pPr>
              <w:rPr>
                <w:rFonts w:ascii="Times New Roman" w:hAnsi="Times New Roman" w:cs="Times New Roman"/>
              </w:rPr>
            </w:pPr>
          </w:p>
        </w:tc>
        <w:tc>
          <w:tcPr>
            <w:tcW w:w="6115" w:type="dxa"/>
            <w:gridSpan w:val="4"/>
            <w:tcBorders>
              <w:top w:val="single" w:sz="8" w:space="0" w:color="auto"/>
              <w:bottom w:val="single" w:sz="8" w:space="0" w:color="auto"/>
            </w:tcBorders>
          </w:tcPr>
          <w:p w14:paraId="7B80689F" w14:textId="77777777" w:rsidR="005D6FAB" w:rsidRDefault="005D6FAB" w:rsidP="00FD613B">
            <w:pPr>
              <w:jc w:val="center"/>
              <w:rPr>
                <w:rFonts w:ascii="Times New Roman" w:hAnsi="Times New Roman" w:cs="Times New Roman"/>
              </w:rPr>
            </w:pPr>
            <w:r>
              <w:rPr>
                <w:rFonts w:ascii="Times New Roman" w:hAnsi="Times New Roman" w:cs="Times New Roman"/>
              </w:rPr>
              <w:t>Outcome: Engagement</w:t>
            </w:r>
          </w:p>
        </w:tc>
      </w:tr>
      <w:tr w:rsidR="005D6FAB" w14:paraId="319E2281" w14:textId="77777777" w:rsidTr="00FD613B">
        <w:tc>
          <w:tcPr>
            <w:tcW w:w="3235" w:type="dxa"/>
            <w:tcBorders>
              <w:bottom w:val="single" w:sz="8" w:space="0" w:color="auto"/>
            </w:tcBorders>
          </w:tcPr>
          <w:p w14:paraId="4A0E3508" w14:textId="77777777" w:rsidR="005D6FAB" w:rsidRPr="006B3A2B" w:rsidRDefault="005D6FAB" w:rsidP="00FD613B">
            <w:pPr>
              <w:rPr>
                <w:rFonts w:ascii="Times New Roman" w:hAnsi="Times New Roman" w:cs="Times New Roman"/>
                <w:i/>
                <w:iCs/>
              </w:rPr>
            </w:pPr>
            <w:r w:rsidRPr="006B3A2B">
              <w:rPr>
                <w:rFonts w:ascii="Times New Roman" w:hAnsi="Times New Roman" w:cs="Times New Roman"/>
                <w:i/>
                <w:iCs/>
              </w:rPr>
              <w:t>Fixed Effects</w:t>
            </w:r>
          </w:p>
        </w:tc>
        <w:tc>
          <w:tcPr>
            <w:tcW w:w="1528" w:type="dxa"/>
            <w:tcBorders>
              <w:top w:val="single" w:sz="8" w:space="0" w:color="auto"/>
              <w:bottom w:val="single" w:sz="8" w:space="0" w:color="auto"/>
            </w:tcBorders>
          </w:tcPr>
          <w:p w14:paraId="1E154AAD" w14:textId="77777777" w:rsidR="005D6FAB" w:rsidRDefault="005D6FAB" w:rsidP="00FD613B">
            <w:pPr>
              <w:rPr>
                <w:rFonts w:ascii="Times New Roman" w:hAnsi="Times New Roman" w:cs="Times New Roman"/>
              </w:rPr>
            </w:pPr>
            <w:r w:rsidRPr="00DB3561">
              <w:rPr>
                <w:rFonts w:ascii="Times New Roman" w:hAnsi="Times New Roman" w:cs="Times New Roman"/>
                <w:i/>
              </w:rPr>
              <w:t>B</w:t>
            </w:r>
            <w:r>
              <w:rPr>
                <w:rFonts w:ascii="Times New Roman" w:hAnsi="Times New Roman" w:cs="Times New Roman"/>
                <w:i/>
              </w:rPr>
              <w:t xml:space="preserve"> (SE)</w:t>
            </w:r>
          </w:p>
        </w:tc>
        <w:tc>
          <w:tcPr>
            <w:tcW w:w="1529" w:type="dxa"/>
            <w:tcBorders>
              <w:top w:val="single" w:sz="8" w:space="0" w:color="auto"/>
              <w:bottom w:val="single" w:sz="8" w:space="0" w:color="auto"/>
            </w:tcBorders>
          </w:tcPr>
          <w:p w14:paraId="31DE8F5D" w14:textId="77777777" w:rsidR="005D6FAB" w:rsidRDefault="005D6FAB" w:rsidP="00FD613B">
            <w:pPr>
              <w:rPr>
                <w:rFonts w:ascii="Times New Roman" w:hAnsi="Times New Roman" w:cs="Times New Roman"/>
              </w:rPr>
            </w:pPr>
            <w:r w:rsidRPr="00DB3561">
              <w:rPr>
                <w:rFonts w:ascii="Times New Roman" w:hAnsi="Times New Roman" w:cs="Times New Roman"/>
                <w:i/>
              </w:rPr>
              <w:t>B</w:t>
            </w:r>
            <w:r>
              <w:rPr>
                <w:rFonts w:ascii="Times New Roman" w:hAnsi="Times New Roman" w:cs="Times New Roman"/>
                <w:i/>
              </w:rPr>
              <w:t xml:space="preserve"> (SE)</w:t>
            </w:r>
          </w:p>
        </w:tc>
        <w:tc>
          <w:tcPr>
            <w:tcW w:w="1529" w:type="dxa"/>
            <w:tcBorders>
              <w:top w:val="single" w:sz="8" w:space="0" w:color="auto"/>
              <w:bottom w:val="single" w:sz="8" w:space="0" w:color="auto"/>
            </w:tcBorders>
          </w:tcPr>
          <w:p w14:paraId="422EA552" w14:textId="77777777" w:rsidR="005D6FAB" w:rsidRDefault="005D6FAB" w:rsidP="00FD613B">
            <w:pPr>
              <w:rPr>
                <w:rFonts w:ascii="Times New Roman" w:hAnsi="Times New Roman" w:cs="Times New Roman"/>
              </w:rPr>
            </w:pPr>
            <w:r w:rsidRPr="00DB3561">
              <w:rPr>
                <w:rFonts w:ascii="Times New Roman" w:hAnsi="Times New Roman" w:cs="Times New Roman"/>
                <w:i/>
              </w:rPr>
              <w:t>B</w:t>
            </w:r>
            <w:r>
              <w:rPr>
                <w:rFonts w:ascii="Times New Roman" w:hAnsi="Times New Roman" w:cs="Times New Roman"/>
                <w:i/>
              </w:rPr>
              <w:t xml:space="preserve"> (SE)</w:t>
            </w:r>
          </w:p>
        </w:tc>
        <w:tc>
          <w:tcPr>
            <w:tcW w:w="1529" w:type="dxa"/>
            <w:tcBorders>
              <w:top w:val="single" w:sz="8" w:space="0" w:color="auto"/>
              <w:bottom w:val="single" w:sz="8" w:space="0" w:color="auto"/>
            </w:tcBorders>
          </w:tcPr>
          <w:p w14:paraId="12892005" w14:textId="77777777" w:rsidR="005D6FAB" w:rsidRDefault="005D6FAB" w:rsidP="00FD613B">
            <w:pPr>
              <w:rPr>
                <w:rFonts w:ascii="Times New Roman" w:hAnsi="Times New Roman" w:cs="Times New Roman"/>
              </w:rPr>
            </w:pPr>
            <w:r w:rsidRPr="00DB3561">
              <w:rPr>
                <w:rFonts w:ascii="Times New Roman" w:hAnsi="Times New Roman" w:cs="Times New Roman"/>
                <w:i/>
              </w:rPr>
              <w:t>B</w:t>
            </w:r>
            <w:r>
              <w:rPr>
                <w:rFonts w:ascii="Times New Roman" w:hAnsi="Times New Roman" w:cs="Times New Roman"/>
                <w:i/>
              </w:rPr>
              <w:t xml:space="preserve"> (SE)</w:t>
            </w:r>
          </w:p>
        </w:tc>
      </w:tr>
      <w:tr w:rsidR="005D6FAB" w14:paraId="575B39EC" w14:textId="77777777" w:rsidTr="00FD613B">
        <w:tc>
          <w:tcPr>
            <w:tcW w:w="3235" w:type="dxa"/>
            <w:tcBorders>
              <w:top w:val="single" w:sz="8" w:space="0" w:color="auto"/>
            </w:tcBorders>
          </w:tcPr>
          <w:p w14:paraId="1A9E7BAB" w14:textId="77777777" w:rsidR="005D6FAB" w:rsidRDefault="005D6FAB" w:rsidP="00FD613B">
            <w:pPr>
              <w:rPr>
                <w:rFonts w:ascii="Times New Roman" w:hAnsi="Times New Roman" w:cs="Times New Roman"/>
              </w:rPr>
            </w:pPr>
            <w:r w:rsidRPr="003D3598">
              <w:rPr>
                <w:rFonts w:ascii="Times New Roman" w:hAnsi="Times New Roman" w:cs="Times New Roman"/>
              </w:rPr>
              <w:t xml:space="preserve">Intercept, </w:t>
            </w:r>
            <m:oMath>
              <m:r>
                <w:rPr>
                  <w:rFonts w:ascii="Cambria Math" w:hAnsi="Cambria Math" w:cs="Times New Roman"/>
                </w:rPr>
                <m:t>β</m:t>
              </m:r>
            </m:oMath>
            <w:r w:rsidRPr="003D3598">
              <w:rPr>
                <w:rFonts w:ascii="Times New Roman" w:hAnsi="Times New Roman" w:cs="Times New Roman"/>
                <w:vertAlign w:val="subscript"/>
              </w:rPr>
              <w:t>00</w:t>
            </w:r>
          </w:p>
        </w:tc>
        <w:tc>
          <w:tcPr>
            <w:tcW w:w="1528" w:type="dxa"/>
            <w:tcBorders>
              <w:top w:val="single" w:sz="8" w:space="0" w:color="auto"/>
            </w:tcBorders>
          </w:tcPr>
          <w:p w14:paraId="4CFB0991" w14:textId="77777777" w:rsidR="005D6FAB" w:rsidRDefault="005D6FAB" w:rsidP="00FD613B">
            <w:pPr>
              <w:rPr>
                <w:rFonts w:ascii="Times New Roman" w:hAnsi="Times New Roman" w:cs="Times New Roman"/>
              </w:rPr>
            </w:pPr>
            <w:r w:rsidRPr="003D3598">
              <w:rPr>
                <w:rFonts w:ascii="Times New Roman" w:hAnsi="Times New Roman" w:cs="Times New Roman"/>
              </w:rPr>
              <w:t>2.89</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.07</w:t>
            </w:r>
            <w:r>
              <w:rPr>
                <w:rFonts w:ascii="Times New Roman" w:hAnsi="Times New Roman" w:cs="Times New Roman"/>
              </w:rPr>
              <w:t>)</w:t>
            </w:r>
          </w:p>
        </w:tc>
        <w:tc>
          <w:tcPr>
            <w:tcW w:w="1529" w:type="dxa"/>
            <w:tcBorders>
              <w:top w:val="single" w:sz="8" w:space="0" w:color="auto"/>
            </w:tcBorders>
          </w:tcPr>
          <w:p w14:paraId="55AACD3A" w14:textId="77777777" w:rsidR="005D6FAB" w:rsidRDefault="005D6FAB" w:rsidP="00FD613B">
            <w:pPr>
              <w:rPr>
                <w:rFonts w:ascii="Times New Roman" w:hAnsi="Times New Roman" w:cs="Times New Roman"/>
              </w:rPr>
            </w:pPr>
            <w:r w:rsidRPr="003D3598">
              <w:rPr>
                <w:rFonts w:ascii="Times New Roman" w:hAnsi="Times New Roman" w:cs="Times New Roman"/>
              </w:rPr>
              <w:t>2.89</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.07</w:t>
            </w:r>
            <w:r>
              <w:rPr>
                <w:rFonts w:ascii="Times New Roman" w:hAnsi="Times New Roman" w:cs="Times New Roman"/>
              </w:rPr>
              <w:t>)</w:t>
            </w:r>
          </w:p>
        </w:tc>
        <w:tc>
          <w:tcPr>
            <w:tcW w:w="1529" w:type="dxa"/>
            <w:tcBorders>
              <w:top w:val="single" w:sz="8" w:space="0" w:color="auto"/>
            </w:tcBorders>
          </w:tcPr>
          <w:p w14:paraId="149003D6" w14:textId="77777777" w:rsidR="005D6FAB" w:rsidRDefault="005D6FAB" w:rsidP="00FD613B">
            <w:pPr>
              <w:rPr>
                <w:rFonts w:ascii="Times New Roman" w:hAnsi="Times New Roman" w:cs="Times New Roman"/>
              </w:rPr>
            </w:pPr>
            <w:r w:rsidRPr="003D3598">
              <w:rPr>
                <w:rFonts w:ascii="Times New Roman" w:hAnsi="Times New Roman" w:cs="Times New Roman"/>
              </w:rPr>
              <w:t>2.89</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.07</w:t>
            </w:r>
            <w:r>
              <w:rPr>
                <w:rFonts w:ascii="Times New Roman" w:hAnsi="Times New Roman" w:cs="Times New Roman"/>
              </w:rPr>
              <w:t>)</w:t>
            </w:r>
          </w:p>
        </w:tc>
        <w:tc>
          <w:tcPr>
            <w:tcW w:w="1529" w:type="dxa"/>
            <w:tcBorders>
              <w:top w:val="single" w:sz="8" w:space="0" w:color="auto"/>
            </w:tcBorders>
          </w:tcPr>
          <w:p w14:paraId="73EFF371" w14:textId="77777777" w:rsidR="005D6FAB" w:rsidRDefault="005D6FAB" w:rsidP="00FD613B">
            <w:pPr>
              <w:rPr>
                <w:rFonts w:ascii="Times New Roman" w:hAnsi="Times New Roman" w:cs="Times New Roman"/>
              </w:rPr>
            </w:pPr>
            <w:r w:rsidRPr="003D3598">
              <w:rPr>
                <w:rFonts w:ascii="Times New Roman" w:hAnsi="Times New Roman" w:cs="Times New Roman"/>
              </w:rPr>
              <w:t>2.89</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.07</w:t>
            </w:r>
            <w:r>
              <w:rPr>
                <w:rFonts w:ascii="Times New Roman" w:hAnsi="Times New Roman" w:cs="Times New Roman"/>
              </w:rPr>
              <w:t>)</w:t>
            </w:r>
          </w:p>
        </w:tc>
      </w:tr>
      <w:tr w:rsidR="005D6FAB" w14:paraId="5A8DEC29" w14:textId="77777777" w:rsidTr="00FD613B">
        <w:tc>
          <w:tcPr>
            <w:tcW w:w="3235" w:type="dxa"/>
          </w:tcPr>
          <w:p w14:paraId="61CA06F2" w14:textId="77777777" w:rsidR="005D6FAB" w:rsidRDefault="005D6FAB" w:rsidP="00FD613B">
            <w:pPr>
              <w:rPr>
                <w:rFonts w:ascii="Times New Roman" w:hAnsi="Times New Roman" w:cs="Times New Roman"/>
              </w:rPr>
            </w:pPr>
            <w:r w:rsidRPr="003D3598">
              <w:rPr>
                <w:rFonts w:ascii="Times New Roman" w:hAnsi="Times New Roman" w:cs="Times New Roman"/>
              </w:rPr>
              <w:t xml:space="preserve">Initial </w:t>
            </w:r>
            <w:r w:rsidRPr="003D0A5C">
              <w:rPr>
                <w:rFonts w:ascii="Times New Roman" w:hAnsi="Times New Roman" w:cs="Times New Roman"/>
              </w:rPr>
              <w:t xml:space="preserve">Competence Beliefs, </w:t>
            </w:r>
            <m:oMath>
              <m:r>
                <w:rPr>
                  <w:rFonts w:ascii="Cambria Math" w:hAnsi="Cambria Math" w:cs="Times New Roman"/>
                </w:rPr>
                <m:t>β</m:t>
              </m:r>
            </m:oMath>
            <w:r w:rsidRPr="003D3598">
              <w:rPr>
                <w:rFonts w:ascii="Times New Roman" w:hAnsi="Times New Roman" w:cs="Times New Roman"/>
                <w:vertAlign w:val="subscript"/>
              </w:rPr>
              <w:t>01</w:t>
            </w:r>
          </w:p>
        </w:tc>
        <w:tc>
          <w:tcPr>
            <w:tcW w:w="1528" w:type="dxa"/>
          </w:tcPr>
          <w:p w14:paraId="1E79678E"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6)</w:t>
            </w:r>
          </w:p>
        </w:tc>
        <w:tc>
          <w:tcPr>
            <w:tcW w:w="1529" w:type="dxa"/>
          </w:tcPr>
          <w:p w14:paraId="32866CCE"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6)</w:t>
            </w:r>
          </w:p>
        </w:tc>
        <w:tc>
          <w:tcPr>
            <w:tcW w:w="1529" w:type="dxa"/>
          </w:tcPr>
          <w:p w14:paraId="6A08F9D8"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6)</w:t>
            </w:r>
          </w:p>
        </w:tc>
        <w:tc>
          <w:tcPr>
            <w:tcW w:w="1529" w:type="dxa"/>
          </w:tcPr>
          <w:p w14:paraId="7565B998"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6)</w:t>
            </w:r>
          </w:p>
        </w:tc>
      </w:tr>
      <w:tr w:rsidR="005D6FAB" w14:paraId="511A132A" w14:textId="77777777" w:rsidTr="00FD613B">
        <w:tc>
          <w:tcPr>
            <w:tcW w:w="3235" w:type="dxa"/>
          </w:tcPr>
          <w:p w14:paraId="11A9C91F" w14:textId="77777777" w:rsidR="005D6FAB" w:rsidRDefault="005D6FAB" w:rsidP="00FD613B">
            <w:pPr>
              <w:rPr>
                <w:rFonts w:ascii="Times New Roman" w:hAnsi="Times New Roman" w:cs="Times New Roman"/>
              </w:rPr>
            </w:pPr>
            <w:r w:rsidRPr="003D3598">
              <w:rPr>
                <w:rFonts w:ascii="Times New Roman" w:hAnsi="Times New Roman" w:cs="Times New Roman"/>
              </w:rPr>
              <w:t xml:space="preserve">Female, </w:t>
            </w:r>
            <m:oMath>
              <m:r>
                <w:rPr>
                  <w:rFonts w:ascii="Cambria Math" w:hAnsi="Cambria Math" w:cs="Times New Roman"/>
                </w:rPr>
                <m:t>β</m:t>
              </m:r>
            </m:oMath>
            <w:r w:rsidRPr="003D3598">
              <w:rPr>
                <w:rFonts w:ascii="Times New Roman" w:hAnsi="Times New Roman" w:cs="Times New Roman"/>
                <w:vertAlign w:val="subscript"/>
              </w:rPr>
              <w:t>02</w:t>
            </w:r>
          </w:p>
        </w:tc>
        <w:tc>
          <w:tcPr>
            <w:tcW w:w="1528" w:type="dxa"/>
          </w:tcPr>
          <w:p w14:paraId="39957724"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9)</w:t>
            </w:r>
          </w:p>
        </w:tc>
        <w:tc>
          <w:tcPr>
            <w:tcW w:w="1529" w:type="dxa"/>
          </w:tcPr>
          <w:p w14:paraId="3608617E"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9)</w:t>
            </w:r>
          </w:p>
        </w:tc>
        <w:tc>
          <w:tcPr>
            <w:tcW w:w="1529" w:type="dxa"/>
          </w:tcPr>
          <w:p w14:paraId="7A90E833"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9)</w:t>
            </w:r>
          </w:p>
        </w:tc>
        <w:tc>
          <w:tcPr>
            <w:tcW w:w="1529" w:type="dxa"/>
          </w:tcPr>
          <w:p w14:paraId="2428ED08" w14:textId="77777777" w:rsidR="005D6FAB" w:rsidRDefault="005D6FAB" w:rsidP="00FD613B">
            <w:pPr>
              <w:rPr>
                <w:rFonts w:ascii="Times New Roman" w:hAnsi="Times New Roman" w:cs="Times New Roman"/>
              </w:rPr>
            </w:pPr>
            <w:r w:rsidRPr="003D3598">
              <w:rPr>
                <w:rFonts w:ascii="Times New Roman" w:hAnsi="Times New Roman" w:cs="Times New Roman"/>
              </w:rPr>
              <w:t>-0.08</w:t>
            </w:r>
            <w:r>
              <w:rPr>
                <w:rFonts w:ascii="Times New Roman" w:hAnsi="Times New Roman" w:cs="Times New Roman"/>
              </w:rPr>
              <w:t xml:space="preserve"> (0</w:t>
            </w:r>
            <w:r w:rsidRPr="003D3598">
              <w:rPr>
                <w:rFonts w:ascii="Times New Roman" w:hAnsi="Times New Roman" w:cs="Times New Roman"/>
              </w:rPr>
              <w:t>.0</w:t>
            </w:r>
            <w:r>
              <w:rPr>
                <w:rFonts w:ascii="Times New Roman" w:hAnsi="Times New Roman" w:cs="Times New Roman"/>
              </w:rPr>
              <w:t>9)</w:t>
            </w:r>
          </w:p>
        </w:tc>
      </w:tr>
      <w:tr w:rsidR="005D6FAB" w14:paraId="6D7911DE" w14:textId="77777777" w:rsidTr="00FD613B">
        <w:tc>
          <w:tcPr>
            <w:tcW w:w="3235" w:type="dxa"/>
          </w:tcPr>
          <w:p w14:paraId="705E0221" w14:textId="77777777" w:rsidR="005D6FAB" w:rsidRDefault="005D6FAB" w:rsidP="00FD613B">
            <w:pPr>
              <w:rPr>
                <w:rFonts w:ascii="Times New Roman" w:hAnsi="Times New Roman" w:cs="Times New Roman"/>
              </w:rPr>
            </w:pPr>
            <w:r w:rsidRPr="003D3598">
              <w:rPr>
                <w:rFonts w:ascii="Times New Roman" w:hAnsi="Times New Roman" w:cs="Times New Roman"/>
              </w:rPr>
              <w:t>Challenge</w:t>
            </w:r>
            <w:r w:rsidRPr="003D0A5C">
              <w:rPr>
                <w:rFonts w:ascii="Times New Roman" w:hAnsi="Times New Roman" w:cs="Times New Roman"/>
              </w:rPr>
              <w:t xml:space="preserve"> Slope, </w:t>
            </w:r>
            <m:oMath>
              <m:r>
                <w:rPr>
                  <w:rFonts w:ascii="Cambria Math" w:hAnsi="Cambria Math" w:cs="Times New Roman"/>
                </w:rPr>
                <m:t>β</m:t>
              </m:r>
            </m:oMath>
            <w:r w:rsidRPr="003D3598">
              <w:rPr>
                <w:rFonts w:ascii="Times New Roman" w:hAnsi="Times New Roman" w:cs="Times New Roman"/>
                <w:vertAlign w:val="subscript"/>
              </w:rPr>
              <w:t>10</w:t>
            </w:r>
          </w:p>
        </w:tc>
        <w:tc>
          <w:tcPr>
            <w:tcW w:w="1528" w:type="dxa"/>
          </w:tcPr>
          <w:p w14:paraId="61849DF4" w14:textId="77777777" w:rsidR="005D6FAB" w:rsidRDefault="005D6FAB" w:rsidP="00FD613B">
            <w:pPr>
              <w:rPr>
                <w:rFonts w:ascii="Times New Roman" w:hAnsi="Times New Roman" w:cs="Times New Roman"/>
              </w:rPr>
            </w:pPr>
          </w:p>
        </w:tc>
        <w:tc>
          <w:tcPr>
            <w:tcW w:w="1529" w:type="dxa"/>
          </w:tcPr>
          <w:p w14:paraId="37AC7E1F" w14:textId="77777777" w:rsidR="005D6FAB" w:rsidRDefault="005D6FAB" w:rsidP="00FD613B">
            <w:pPr>
              <w:rPr>
                <w:rFonts w:ascii="Times New Roman" w:hAnsi="Times New Roman" w:cs="Times New Roman"/>
              </w:rPr>
            </w:pPr>
            <w:r w:rsidRPr="003D3598">
              <w:rPr>
                <w:rFonts w:ascii="Times New Roman" w:hAnsi="Times New Roman" w:cs="Times New Roman"/>
              </w:rPr>
              <w:t>0.</w:t>
            </w:r>
            <w:r>
              <w:rPr>
                <w:rFonts w:ascii="Times New Roman" w:hAnsi="Times New Roman" w:cs="Times New Roman"/>
              </w:rPr>
              <w:t>14</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1)</w:t>
            </w:r>
          </w:p>
        </w:tc>
        <w:tc>
          <w:tcPr>
            <w:tcW w:w="1529" w:type="dxa"/>
          </w:tcPr>
          <w:p w14:paraId="6F6F34FD" w14:textId="77777777" w:rsidR="005D6FAB" w:rsidRDefault="005D6FAB" w:rsidP="00FD613B">
            <w:pPr>
              <w:rPr>
                <w:rFonts w:ascii="Times New Roman" w:hAnsi="Times New Roman" w:cs="Times New Roman"/>
              </w:rPr>
            </w:pPr>
            <w:r w:rsidRPr="003D3598">
              <w:rPr>
                <w:rFonts w:ascii="Times New Roman" w:hAnsi="Times New Roman" w:cs="Times New Roman"/>
              </w:rPr>
              <w:t>0.07</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c>
          <w:tcPr>
            <w:tcW w:w="1529" w:type="dxa"/>
          </w:tcPr>
          <w:p w14:paraId="1850C3ED" w14:textId="77777777" w:rsidR="005D6FAB" w:rsidRDefault="005D6FAB" w:rsidP="00FD613B">
            <w:pPr>
              <w:rPr>
                <w:rFonts w:ascii="Times New Roman" w:hAnsi="Times New Roman" w:cs="Times New Roman"/>
              </w:rPr>
            </w:pPr>
            <w:r w:rsidRPr="003D3598">
              <w:rPr>
                <w:rFonts w:ascii="Times New Roman" w:hAnsi="Times New Roman" w:cs="Times New Roman"/>
              </w:rPr>
              <w:t>0.0</w:t>
            </w:r>
            <w:r>
              <w:rPr>
                <w:rFonts w:ascii="Times New Roman" w:hAnsi="Times New Roman" w:cs="Times New Roman"/>
              </w:rPr>
              <w:t>4</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1)</w:t>
            </w:r>
          </w:p>
        </w:tc>
      </w:tr>
      <w:tr w:rsidR="005D6FAB" w14:paraId="23AE9A23" w14:textId="77777777" w:rsidTr="00FD613B">
        <w:tc>
          <w:tcPr>
            <w:tcW w:w="3235" w:type="dxa"/>
          </w:tcPr>
          <w:p w14:paraId="58AF6962" w14:textId="77777777" w:rsidR="005D6FAB" w:rsidRDefault="005D6FAB" w:rsidP="00FD613B">
            <w:pPr>
              <w:rPr>
                <w:rFonts w:ascii="Times New Roman" w:hAnsi="Times New Roman" w:cs="Times New Roman"/>
              </w:rPr>
            </w:pPr>
            <w:r w:rsidRPr="003D3598">
              <w:rPr>
                <w:rFonts w:ascii="Times New Roman" w:hAnsi="Times New Roman" w:cs="Times New Roman"/>
              </w:rPr>
              <w:t>Relevance</w:t>
            </w:r>
            <w:r w:rsidRPr="003D0A5C">
              <w:rPr>
                <w:rFonts w:ascii="Times New Roman" w:hAnsi="Times New Roman" w:cs="Times New Roman"/>
              </w:rPr>
              <w:t xml:space="preserve"> Slope,</w:t>
            </w:r>
            <m:oMath>
              <m:r>
                <m:rPr>
                  <m:sty m:val="p"/>
                </m:rPr>
                <w:rPr>
                  <w:rFonts w:ascii="Cambria Math" w:hAnsi="Cambria Math" w:cs="Times New Roman"/>
                </w:rPr>
                <m:t xml:space="preserve"> </m:t>
              </m:r>
              <m:r>
                <w:rPr>
                  <w:rFonts w:ascii="Cambria Math" w:hAnsi="Cambria Math" w:cs="Times New Roman"/>
                </w:rPr>
                <m:t>β</m:t>
              </m:r>
            </m:oMath>
            <w:r w:rsidRPr="003D3598">
              <w:rPr>
                <w:rFonts w:ascii="Times New Roman" w:hAnsi="Times New Roman" w:cs="Times New Roman"/>
                <w:vertAlign w:val="subscript"/>
              </w:rPr>
              <w:t>20</w:t>
            </w:r>
          </w:p>
        </w:tc>
        <w:tc>
          <w:tcPr>
            <w:tcW w:w="1528" w:type="dxa"/>
          </w:tcPr>
          <w:p w14:paraId="5C6AB8A1" w14:textId="77777777" w:rsidR="005D6FAB" w:rsidRDefault="005D6FAB" w:rsidP="00FD613B">
            <w:pPr>
              <w:rPr>
                <w:rFonts w:ascii="Times New Roman" w:hAnsi="Times New Roman" w:cs="Times New Roman"/>
              </w:rPr>
            </w:pPr>
          </w:p>
        </w:tc>
        <w:tc>
          <w:tcPr>
            <w:tcW w:w="1529" w:type="dxa"/>
          </w:tcPr>
          <w:p w14:paraId="0539E523" w14:textId="77777777" w:rsidR="005D6FAB" w:rsidRDefault="005D6FAB" w:rsidP="00FD613B">
            <w:pPr>
              <w:rPr>
                <w:rFonts w:ascii="Times New Roman" w:hAnsi="Times New Roman" w:cs="Times New Roman"/>
              </w:rPr>
            </w:pPr>
          </w:p>
        </w:tc>
        <w:tc>
          <w:tcPr>
            <w:tcW w:w="1529" w:type="dxa"/>
          </w:tcPr>
          <w:p w14:paraId="191831BB" w14:textId="77777777" w:rsidR="005D6FAB" w:rsidRDefault="005D6FAB" w:rsidP="00FD613B">
            <w:pPr>
              <w:rPr>
                <w:rFonts w:ascii="Times New Roman" w:hAnsi="Times New Roman" w:cs="Times New Roman"/>
              </w:rPr>
            </w:pPr>
            <w:r w:rsidRPr="003D3598">
              <w:rPr>
                <w:rFonts w:ascii="Times New Roman" w:hAnsi="Times New Roman" w:cs="Times New Roman"/>
              </w:rPr>
              <w:t>0.</w:t>
            </w:r>
            <w:r>
              <w:rPr>
                <w:rFonts w:ascii="Times New Roman" w:hAnsi="Times New Roman" w:cs="Times New Roman"/>
              </w:rPr>
              <w:t>51</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c>
          <w:tcPr>
            <w:tcW w:w="1529" w:type="dxa"/>
          </w:tcPr>
          <w:p w14:paraId="50388762" w14:textId="77777777" w:rsidR="005D6FAB" w:rsidRDefault="005D6FAB" w:rsidP="00FD613B">
            <w:pPr>
              <w:rPr>
                <w:rFonts w:ascii="Times New Roman" w:hAnsi="Times New Roman" w:cs="Times New Roman"/>
              </w:rPr>
            </w:pPr>
            <w:r w:rsidRPr="003D3598">
              <w:rPr>
                <w:rFonts w:ascii="Times New Roman" w:hAnsi="Times New Roman" w:cs="Times New Roman"/>
              </w:rPr>
              <w:t>0.3</w:t>
            </w:r>
            <w:r>
              <w:rPr>
                <w:rFonts w:ascii="Times New Roman" w:hAnsi="Times New Roman" w:cs="Times New Roman"/>
              </w:rPr>
              <w:t>5</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2)</w:t>
            </w:r>
          </w:p>
        </w:tc>
      </w:tr>
      <w:tr w:rsidR="005D6FAB" w14:paraId="26EC1D1D" w14:textId="77777777" w:rsidTr="00FD613B">
        <w:tc>
          <w:tcPr>
            <w:tcW w:w="3235" w:type="dxa"/>
            <w:tcBorders>
              <w:bottom w:val="single" w:sz="8" w:space="0" w:color="auto"/>
            </w:tcBorders>
          </w:tcPr>
          <w:p w14:paraId="7C5BFAE4" w14:textId="77777777" w:rsidR="005D6FAB" w:rsidRDefault="005D6FAB" w:rsidP="00FD613B">
            <w:pPr>
              <w:rPr>
                <w:rFonts w:ascii="Times New Roman" w:hAnsi="Times New Roman" w:cs="Times New Roman"/>
              </w:rPr>
            </w:pPr>
            <w:r w:rsidRPr="003D3598">
              <w:rPr>
                <w:rFonts w:ascii="Times New Roman" w:hAnsi="Times New Roman" w:cs="Times New Roman"/>
              </w:rPr>
              <w:t>Learning</w:t>
            </w:r>
            <w:r w:rsidRPr="003D0A5C">
              <w:rPr>
                <w:rFonts w:ascii="Times New Roman" w:hAnsi="Times New Roman" w:cs="Times New Roman"/>
              </w:rPr>
              <w:t xml:space="preserve"> Slope,</w:t>
            </w:r>
            <m:oMath>
              <m:r>
                <m:rPr>
                  <m:sty m:val="p"/>
                </m:rPr>
                <w:rPr>
                  <w:rFonts w:ascii="Cambria Math" w:hAnsi="Cambria Math" w:cs="Times New Roman"/>
                </w:rPr>
                <m:t xml:space="preserve"> </m:t>
              </m:r>
              <m:r>
                <w:rPr>
                  <w:rFonts w:ascii="Cambria Math" w:hAnsi="Cambria Math" w:cs="Times New Roman"/>
                </w:rPr>
                <m:t>β</m:t>
              </m:r>
            </m:oMath>
            <w:r w:rsidRPr="003D3598">
              <w:rPr>
                <w:rFonts w:ascii="Times New Roman" w:hAnsi="Times New Roman" w:cs="Times New Roman"/>
                <w:vertAlign w:val="subscript"/>
              </w:rPr>
              <w:t>30</w:t>
            </w:r>
          </w:p>
        </w:tc>
        <w:tc>
          <w:tcPr>
            <w:tcW w:w="1528" w:type="dxa"/>
            <w:tcBorders>
              <w:bottom w:val="single" w:sz="8" w:space="0" w:color="auto"/>
            </w:tcBorders>
          </w:tcPr>
          <w:p w14:paraId="6FB4F649" w14:textId="77777777" w:rsidR="005D6FAB" w:rsidRDefault="005D6FAB" w:rsidP="00FD613B">
            <w:pPr>
              <w:rPr>
                <w:rFonts w:ascii="Times New Roman" w:hAnsi="Times New Roman" w:cs="Times New Roman"/>
              </w:rPr>
            </w:pPr>
          </w:p>
        </w:tc>
        <w:tc>
          <w:tcPr>
            <w:tcW w:w="1529" w:type="dxa"/>
            <w:tcBorders>
              <w:bottom w:val="single" w:sz="8" w:space="0" w:color="auto"/>
            </w:tcBorders>
          </w:tcPr>
          <w:p w14:paraId="0C59394C" w14:textId="77777777" w:rsidR="005D6FAB" w:rsidRDefault="005D6FAB" w:rsidP="00FD613B">
            <w:pPr>
              <w:rPr>
                <w:rFonts w:ascii="Times New Roman" w:hAnsi="Times New Roman" w:cs="Times New Roman"/>
              </w:rPr>
            </w:pPr>
          </w:p>
        </w:tc>
        <w:tc>
          <w:tcPr>
            <w:tcW w:w="1529" w:type="dxa"/>
            <w:tcBorders>
              <w:bottom w:val="single" w:sz="8" w:space="0" w:color="auto"/>
            </w:tcBorders>
          </w:tcPr>
          <w:p w14:paraId="55F7C5F1" w14:textId="77777777" w:rsidR="005D6FAB" w:rsidRDefault="005D6FAB" w:rsidP="00FD613B">
            <w:pPr>
              <w:rPr>
                <w:rFonts w:ascii="Times New Roman" w:hAnsi="Times New Roman" w:cs="Times New Roman"/>
              </w:rPr>
            </w:pPr>
          </w:p>
        </w:tc>
        <w:tc>
          <w:tcPr>
            <w:tcW w:w="1529" w:type="dxa"/>
            <w:tcBorders>
              <w:bottom w:val="single" w:sz="8" w:space="0" w:color="auto"/>
            </w:tcBorders>
          </w:tcPr>
          <w:p w14:paraId="1D718445" w14:textId="77777777" w:rsidR="005D6FAB" w:rsidRDefault="005D6FAB" w:rsidP="00FD613B">
            <w:pPr>
              <w:rPr>
                <w:rFonts w:ascii="Times New Roman" w:hAnsi="Times New Roman" w:cs="Times New Roman"/>
              </w:rPr>
            </w:pPr>
            <w:r w:rsidRPr="003D3598">
              <w:rPr>
                <w:rFonts w:ascii="Times New Roman" w:hAnsi="Times New Roman" w:cs="Times New Roman"/>
              </w:rPr>
              <w:t>0.2</w:t>
            </w:r>
            <w:r>
              <w:rPr>
                <w:rFonts w:ascii="Times New Roman" w:hAnsi="Times New Roman" w:cs="Times New Roman"/>
              </w:rPr>
              <w:t>8</w:t>
            </w:r>
            <w:r w:rsidRPr="003D3598">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(0</w:t>
            </w:r>
            <w:r w:rsidRPr="003D3598">
              <w:rPr>
                <w:rFonts w:ascii="Times New Roman" w:hAnsi="Times New Roman" w:cs="Times New Roman"/>
              </w:rPr>
              <w:t>.0</w:t>
            </w:r>
            <w:r>
              <w:rPr>
                <w:rFonts w:ascii="Times New Roman" w:hAnsi="Times New Roman" w:cs="Times New Roman"/>
              </w:rPr>
              <w:t>1)</w:t>
            </w:r>
          </w:p>
        </w:tc>
      </w:tr>
      <w:tr w:rsidR="005D6FAB" w14:paraId="64B24EFC" w14:textId="77777777" w:rsidTr="00FD613B">
        <w:tc>
          <w:tcPr>
            <w:tcW w:w="3235" w:type="dxa"/>
            <w:tcBorders>
              <w:top w:val="single" w:sz="8" w:space="0" w:color="auto"/>
              <w:bottom w:val="single" w:sz="8" w:space="0" w:color="auto"/>
            </w:tcBorders>
          </w:tcPr>
          <w:p w14:paraId="4B25B767" w14:textId="77777777" w:rsidR="005D6FAB" w:rsidRDefault="005D6FAB" w:rsidP="00FD613B">
            <w:pPr>
              <w:rPr>
                <w:rFonts w:ascii="Times New Roman" w:hAnsi="Times New Roman" w:cs="Times New Roman"/>
              </w:rPr>
            </w:pPr>
            <w:r w:rsidRPr="003D3598">
              <w:rPr>
                <w:rFonts w:ascii="Times New Roman" w:hAnsi="Times New Roman" w:cs="Times New Roman"/>
                <w:i/>
              </w:rPr>
              <w:t>Random Effects</w:t>
            </w:r>
          </w:p>
        </w:tc>
        <w:tc>
          <w:tcPr>
            <w:tcW w:w="1528" w:type="dxa"/>
            <w:tcBorders>
              <w:top w:val="single" w:sz="8" w:space="0" w:color="auto"/>
              <w:bottom w:val="single" w:sz="8" w:space="0" w:color="auto"/>
            </w:tcBorders>
          </w:tcPr>
          <w:p w14:paraId="00F9CA68" w14:textId="77777777" w:rsidR="005D6FAB" w:rsidRDefault="005D6FAB" w:rsidP="00FD613B">
            <w:pPr>
              <w:rPr>
                <w:rFonts w:ascii="Times New Roman" w:hAnsi="Times New Roman" w:cs="Times New Roman"/>
              </w:rPr>
            </w:pPr>
            <m:oMath>
              <m:r>
                <w:rPr>
                  <w:rFonts w:ascii="Cambria Math" w:hAnsi="Cambria Math" w:cs="Times New Roman"/>
                </w:rPr>
                <m:t>σ</m:t>
              </m:r>
            </m:oMath>
            <w:r w:rsidRPr="003D3598">
              <w:rPr>
                <w:rFonts w:ascii="Times New Roman" w:hAnsi="Times New Roman" w:cs="Times New Roman"/>
                <w:vertAlign w:val="superscript"/>
              </w:rPr>
              <w:t>2</w:t>
            </w:r>
          </w:p>
        </w:tc>
        <w:tc>
          <w:tcPr>
            <w:tcW w:w="1529" w:type="dxa"/>
            <w:tcBorders>
              <w:top w:val="single" w:sz="8" w:space="0" w:color="auto"/>
              <w:bottom w:val="single" w:sz="8" w:space="0" w:color="auto"/>
            </w:tcBorders>
          </w:tcPr>
          <w:p w14:paraId="09D69F0C" w14:textId="77777777" w:rsidR="005D6FAB" w:rsidRDefault="005D6FAB" w:rsidP="00FD613B">
            <w:pPr>
              <w:rPr>
                <w:rFonts w:ascii="Times New Roman" w:hAnsi="Times New Roman" w:cs="Times New Roman"/>
              </w:rPr>
            </w:pPr>
            <m:oMath>
              <m:r>
                <w:rPr>
                  <w:rFonts w:ascii="Cambria Math" w:hAnsi="Cambria Math" w:cs="Times New Roman"/>
                </w:rPr>
                <m:t>σ</m:t>
              </m:r>
            </m:oMath>
            <w:r w:rsidRPr="003D3598">
              <w:rPr>
                <w:rFonts w:ascii="Times New Roman" w:hAnsi="Times New Roman" w:cs="Times New Roman"/>
                <w:vertAlign w:val="superscript"/>
              </w:rPr>
              <w:t>2</w:t>
            </w:r>
          </w:p>
        </w:tc>
        <w:tc>
          <w:tcPr>
            <w:tcW w:w="1529" w:type="dxa"/>
            <w:tcBorders>
              <w:top w:val="single" w:sz="8" w:space="0" w:color="auto"/>
              <w:bottom w:val="single" w:sz="8" w:space="0" w:color="auto"/>
            </w:tcBorders>
          </w:tcPr>
          <w:p w14:paraId="09A049BC" w14:textId="77777777" w:rsidR="005D6FAB" w:rsidRDefault="005D6FAB" w:rsidP="00FD613B">
            <w:pPr>
              <w:rPr>
                <w:rFonts w:ascii="Times New Roman" w:hAnsi="Times New Roman" w:cs="Times New Roman"/>
              </w:rPr>
            </w:pPr>
            <m:oMath>
              <m:r>
                <w:rPr>
                  <w:rFonts w:ascii="Cambria Math" w:hAnsi="Cambria Math" w:cs="Times New Roman"/>
                </w:rPr>
                <m:t>σ</m:t>
              </m:r>
            </m:oMath>
            <w:r w:rsidRPr="003D3598">
              <w:rPr>
                <w:rFonts w:ascii="Times New Roman" w:hAnsi="Times New Roman" w:cs="Times New Roman"/>
                <w:vertAlign w:val="superscript"/>
              </w:rPr>
              <w:t>2</w:t>
            </w:r>
          </w:p>
        </w:tc>
        <w:tc>
          <w:tcPr>
            <w:tcW w:w="1529" w:type="dxa"/>
            <w:tcBorders>
              <w:top w:val="single" w:sz="8" w:space="0" w:color="auto"/>
              <w:bottom w:val="single" w:sz="8" w:space="0" w:color="auto"/>
            </w:tcBorders>
          </w:tcPr>
          <w:p w14:paraId="65395D04" w14:textId="77777777" w:rsidR="005D6FAB" w:rsidRDefault="005D6FAB" w:rsidP="00FD613B">
            <w:pPr>
              <w:rPr>
                <w:rFonts w:ascii="Times New Roman" w:hAnsi="Times New Roman" w:cs="Times New Roman"/>
              </w:rPr>
            </w:pPr>
            <m:oMath>
              <m:r>
                <w:rPr>
                  <w:rFonts w:ascii="Cambria Math" w:hAnsi="Cambria Math" w:cs="Times New Roman"/>
                </w:rPr>
                <m:t>σ</m:t>
              </m:r>
            </m:oMath>
            <w:r w:rsidRPr="003D3598">
              <w:rPr>
                <w:rFonts w:ascii="Times New Roman" w:hAnsi="Times New Roman" w:cs="Times New Roman"/>
                <w:vertAlign w:val="superscript"/>
              </w:rPr>
              <w:t>2</w:t>
            </w:r>
          </w:p>
        </w:tc>
      </w:tr>
      <w:tr w:rsidR="005D6FAB" w14:paraId="021E2382" w14:textId="77777777" w:rsidTr="00FD613B">
        <w:tc>
          <w:tcPr>
            <w:tcW w:w="3235" w:type="dxa"/>
            <w:tcBorders>
              <w:top w:val="single" w:sz="8" w:space="0" w:color="auto"/>
            </w:tcBorders>
          </w:tcPr>
          <w:p w14:paraId="278D0AB1" w14:textId="77777777" w:rsidR="005D6FAB" w:rsidRDefault="005D6FAB" w:rsidP="00FD613B">
            <w:pPr>
              <w:rPr>
                <w:rFonts w:ascii="Times New Roman" w:hAnsi="Times New Roman" w:cs="Times New Roman"/>
              </w:rPr>
            </w:pPr>
            <w:r w:rsidRPr="003D3598">
              <w:rPr>
                <w:rFonts w:ascii="Times New Roman" w:hAnsi="Times New Roman" w:cs="Times New Roman"/>
              </w:rPr>
              <w:t>Beep, r</w:t>
            </w:r>
            <w:r w:rsidRPr="003D0A5C">
              <w:rPr>
                <w:rFonts w:ascii="Times New Roman" w:hAnsi="Times New Roman" w:cs="Times New Roman"/>
                <w:vertAlign w:val="subscript"/>
              </w:rPr>
              <w:t>0</w:t>
            </w:r>
          </w:p>
        </w:tc>
        <w:tc>
          <w:tcPr>
            <w:tcW w:w="1528" w:type="dxa"/>
            <w:tcBorders>
              <w:top w:val="single" w:sz="8" w:space="0" w:color="auto"/>
            </w:tcBorders>
          </w:tcPr>
          <w:p w14:paraId="68DFE66A" w14:textId="77777777" w:rsidR="005D6FAB" w:rsidRDefault="005D6FAB" w:rsidP="00FD613B">
            <w:pPr>
              <w:rPr>
                <w:rFonts w:ascii="Times New Roman" w:hAnsi="Times New Roman" w:cs="Times New Roman"/>
              </w:rPr>
            </w:pPr>
            <w:r w:rsidRPr="00DB3561">
              <w:rPr>
                <w:rFonts w:ascii="Times New Roman" w:hAnsi="Times New Roman" w:cs="Times New Roman"/>
              </w:rPr>
              <w:t>0.0</w:t>
            </w:r>
            <w:r>
              <w:rPr>
                <w:rFonts w:ascii="Times New Roman" w:hAnsi="Times New Roman" w:cs="Times New Roman"/>
              </w:rPr>
              <w:t>3</w:t>
            </w:r>
            <w:r w:rsidRPr="00E12A75">
              <w:rPr>
                <w:rFonts w:ascii="Times New Roman" w:hAnsi="Times New Roman" w:cs="Times New Roman"/>
                <w:vertAlign w:val="superscript"/>
              </w:rPr>
              <w:t>***</w:t>
            </w:r>
          </w:p>
        </w:tc>
        <w:tc>
          <w:tcPr>
            <w:tcW w:w="1529" w:type="dxa"/>
            <w:tcBorders>
              <w:top w:val="single" w:sz="8" w:space="0" w:color="auto"/>
            </w:tcBorders>
          </w:tcPr>
          <w:p w14:paraId="70976099" w14:textId="77777777" w:rsidR="005D6FAB" w:rsidRDefault="005D6FAB" w:rsidP="00FD613B">
            <w:pPr>
              <w:rPr>
                <w:rFonts w:ascii="Times New Roman" w:hAnsi="Times New Roman" w:cs="Times New Roman"/>
              </w:rPr>
            </w:pPr>
            <w:r w:rsidRPr="00DB3561">
              <w:rPr>
                <w:rFonts w:ascii="Times New Roman" w:hAnsi="Times New Roman" w:cs="Times New Roman"/>
              </w:rPr>
              <w:t>0.02</w:t>
            </w:r>
            <w:r w:rsidRPr="00E12A75">
              <w:rPr>
                <w:rFonts w:ascii="Times New Roman" w:hAnsi="Times New Roman" w:cs="Times New Roman"/>
                <w:vertAlign w:val="superscript"/>
              </w:rPr>
              <w:t>***</w:t>
            </w:r>
          </w:p>
        </w:tc>
        <w:tc>
          <w:tcPr>
            <w:tcW w:w="1529" w:type="dxa"/>
            <w:tcBorders>
              <w:top w:val="single" w:sz="8" w:space="0" w:color="auto"/>
            </w:tcBorders>
          </w:tcPr>
          <w:p w14:paraId="7A61C397" w14:textId="77777777" w:rsidR="005D6FAB" w:rsidRDefault="005D6FAB" w:rsidP="00FD613B">
            <w:pPr>
              <w:rPr>
                <w:rFonts w:ascii="Times New Roman" w:hAnsi="Times New Roman" w:cs="Times New Roman"/>
              </w:rPr>
            </w:pPr>
            <w:r w:rsidRPr="00DB3561">
              <w:rPr>
                <w:rFonts w:ascii="Times New Roman" w:hAnsi="Times New Roman" w:cs="Times New Roman"/>
              </w:rPr>
              <w:t>0.02</w:t>
            </w:r>
            <w:r w:rsidRPr="00E12A75">
              <w:rPr>
                <w:rFonts w:ascii="Times New Roman" w:hAnsi="Times New Roman" w:cs="Times New Roman"/>
                <w:vertAlign w:val="superscript"/>
              </w:rPr>
              <w:t>***</w:t>
            </w:r>
          </w:p>
        </w:tc>
        <w:tc>
          <w:tcPr>
            <w:tcW w:w="1529" w:type="dxa"/>
            <w:tcBorders>
              <w:top w:val="single" w:sz="8" w:space="0" w:color="auto"/>
            </w:tcBorders>
          </w:tcPr>
          <w:p w14:paraId="13997B5C" w14:textId="77777777" w:rsidR="005D6FAB" w:rsidRDefault="005D6FAB" w:rsidP="00FD613B">
            <w:pPr>
              <w:rPr>
                <w:rFonts w:ascii="Times New Roman" w:hAnsi="Times New Roman" w:cs="Times New Roman"/>
              </w:rPr>
            </w:pPr>
            <w:r w:rsidRPr="00DB3561">
              <w:rPr>
                <w:rFonts w:ascii="Times New Roman" w:hAnsi="Times New Roman" w:cs="Times New Roman"/>
              </w:rPr>
              <w:t>0.02</w:t>
            </w:r>
            <w:r w:rsidRPr="00E12A75">
              <w:rPr>
                <w:rFonts w:ascii="Times New Roman" w:hAnsi="Times New Roman" w:cs="Times New Roman"/>
                <w:vertAlign w:val="superscript"/>
              </w:rPr>
              <w:t>***</w:t>
            </w:r>
          </w:p>
        </w:tc>
      </w:tr>
      <w:tr w:rsidR="005D6FAB" w14:paraId="16640E67" w14:textId="77777777" w:rsidTr="00FD613B">
        <w:tc>
          <w:tcPr>
            <w:tcW w:w="3235" w:type="dxa"/>
          </w:tcPr>
          <w:p w14:paraId="5944F6B6" w14:textId="77777777" w:rsidR="005D6FAB" w:rsidRDefault="005D6FAB" w:rsidP="00FD613B">
            <w:pPr>
              <w:rPr>
                <w:rFonts w:ascii="Times New Roman" w:hAnsi="Times New Roman" w:cs="Times New Roman"/>
              </w:rPr>
            </w:pPr>
            <w:r w:rsidRPr="003D3598">
              <w:rPr>
                <w:rFonts w:ascii="Times New Roman" w:hAnsi="Times New Roman" w:cs="Times New Roman"/>
              </w:rPr>
              <w:t>Person, r</w:t>
            </w:r>
            <w:r w:rsidRPr="003D0A5C">
              <w:rPr>
                <w:rFonts w:ascii="Times New Roman" w:hAnsi="Times New Roman" w:cs="Times New Roman"/>
                <w:vertAlign w:val="subscript"/>
              </w:rPr>
              <w:t>1</w:t>
            </w:r>
          </w:p>
        </w:tc>
        <w:tc>
          <w:tcPr>
            <w:tcW w:w="1528" w:type="dxa"/>
          </w:tcPr>
          <w:p w14:paraId="45B97EB5" w14:textId="77777777" w:rsidR="005D6FAB" w:rsidRDefault="005D6FAB" w:rsidP="00FD613B">
            <w:pPr>
              <w:rPr>
                <w:rFonts w:ascii="Times New Roman" w:hAnsi="Times New Roman" w:cs="Times New Roman"/>
              </w:rPr>
            </w:pPr>
            <w:r w:rsidRPr="00DB3561">
              <w:rPr>
                <w:rFonts w:ascii="Times New Roman" w:hAnsi="Times New Roman" w:cs="Times New Roman"/>
              </w:rPr>
              <w:t>0.3</w:t>
            </w:r>
            <w:r>
              <w:rPr>
                <w:rFonts w:ascii="Times New Roman" w:hAnsi="Times New Roman" w:cs="Times New Roman"/>
              </w:rPr>
              <w:t>4</w:t>
            </w:r>
            <w:r w:rsidRPr="00E12A75">
              <w:rPr>
                <w:rFonts w:ascii="Times New Roman" w:hAnsi="Times New Roman" w:cs="Times New Roman"/>
                <w:vertAlign w:val="superscript"/>
              </w:rPr>
              <w:t>***</w:t>
            </w:r>
          </w:p>
        </w:tc>
        <w:tc>
          <w:tcPr>
            <w:tcW w:w="1529" w:type="dxa"/>
          </w:tcPr>
          <w:p w14:paraId="783EC762" w14:textId="77777777" w:rsidR="005D6FAB" w:rsidRDefault="005D6FAB" w:rsidP="00FD613B">
            <w:pPr>
              <w:rPr>
                <w:rFonts w:ascii="Times New Roman" w:hAnsi="Times New Roman" w:cs="Times New Roman"/>
              </w:rPr>
            </w:pPr>
            <w:r w:rsidRPr="00DB3561">
              <w:rPr>
                <w:rFonts w:ascii="Times New Roman" w:hAnsi="Times New Roman" w:cs="Times New Roman"/>
              </w:rPr>
              <w:t>0.3</w:t>
            </w:r>
            <w:r>
              <w:rPr>
                <w:rFonts w:ascii="Times New Roman" w:hAnsi="Times New Roman" w:cs="Times New Roman"/>
              </w:rPr>
              <w:t>4</w:t>
            </w:r>
            <w:r w:rsidRPr="00E12A75">
              <w:rPr>
                <w:rFonts w:ascii="Times New Roman" w:hAnsi="Times New Roman" w:cs="Times New Roman"/>
                <w:vertAlign w:val="superscript"/>
              </w:rPr>
              <w:t>***</w:t>
            </w:r>
          </w:p>
        </w:tc>
        <w:tc>
          <w:tcPr>
            <w:tcW w:w="1529" w:type="dxa"/>
          </w:tcPr>
          <w:p w14:paraId="1B73EE71" w14:textId="77777777" w:rsidR="005D6FAB" w:rsidRDefault="005D6FAB" w:rsidP="00FD613B">
            <w:pPr>
              <w:rPr>
                <w:rFonts w:ascii="Times New Roman" w:hAnsi="Times New Roman" w:cs="Times New Roman"/>
              </w:rPr>
            </w:pPr>
            <w:r w:rsidRPr="00DB3561">
              <w:rPr>
                <w:rFonts w:ascii="Times New Roman" w:hAnsi="Times New Roman" w:cs="Times New Roman"/>
              </w:rPr>
              <w:t>0.3</w:t>
            </w:r>
            <w:r>
              <w:rPr>
                <w:rFonts w:ascii="Times New Roman" w:hAnsi="Times New Roman" w:cs="Times New Roman"/>
              </w:rPr>
              <w:t>4</w:t>
            </w:r>
            <w:r w:rsidRPr="00E12A75">
              <w:rPr>
                <w:rFonts w:ascii="Times New Roman" w:hAnsi="Times New Roman" w:cs="Times New Roman"/>
                <w:vertAlign w:val="superscript"/>
              </w:rPr>
              <w:t>***</w:t>
            </w:r>
          </w:p>
        </w:tc>
        <w:tc>
          <w:tcPr>
            <w:tcW w:w="1529" w:type="dxa"/>
          </w:tcPr>
          <w:p w14:paraId="498F37FF" w14:textId="77777777" w:rsidR="005D6FAB" w:rsidRDefault="005D6FAB" w:rsidP="00FD613B">
            <w:pPr>
              <w:rPr>
                <w:rFonts w:ascii="Times New Roman" w:hAnsi="Times New Roman" w:cs="Times New Roman"/>
              </w:rPr>
            </w:pPr>
            <w:r w:rsidRPr="00DB3561">
              <w:rPr>
                <w:rFonts w:ascii="Times New Roman" w:hAnsi="Times New Roman" w:cs="Times New Roman"/>
              </w:rPr>
              <w:t>0.35</w:t>
            </w:r>
            <w:r w:rsidRPr="00E12A75">
              <w:rPr>
                <w:rFonts w:ascii="Times New Roman" w:hAnsi="Times New Roman" w:cs="Times New Roman"/>
                <w:vertAlign w:val="superscript"/>
              </w:rPr>
              <w:t>***</w:t>
            </w:r>
          </w:p>
        </w:tc>
      </w:tr>
      <w:tr w:rsidR="005D6FAB" w14:paraId="13768D30" w14:textId="77777777" w:rsidTr="00FD613B">
        <w:tc>
          <w:tcPr>
            <w:tcW w:w="3235" w:type="dxa"/>
          </w:tcPr>
          <w:p w14:paraId="178933F4" w14:textId="77777777" w:rsidR="005D6FAB" w:rsidRDefault="005D6FAB" w:rsidP="00FD613B">
            <w:pPr>
              <w:rPr>
                <w:rFonts w:ascii="Times New Roman" w:hAnsi="Times New Roman" w:cs="Times New Roman"/>
              </w:rPr>
            </w:pPr>
            <w:r w:rsidRPr="003D3598">
              <w:rPr>
                <w:rFonts w:ascii="Times New Roman" w:hAnsi="Times New Roman" w:cs="Times New Roman"/>
              </w:rPr>
              <w:t>Program,</w:t>
            </w:r>
            <w:r w:rsidRPr="003D0A5C">
              <w:rPr>
                <w:rFonts w:ascii="Times New Roman" w:hAnsi="Times New Roman" w:cs="Times New Roman"/>
              </w:rPr>
              <w:t xml:space="preserve"> r</w:t>
            </w:r>
            <w:r w:rsidRPr="003D0A5C">
              <w:rPr>
                <w:rFonts w:ascii="Times New Roman" w:hAnsi="Times New Roman" w:cs="Times New Roman"/>
                <w:vertAlign w:val="subscript"/>
              </w:rPr>
              <w:t>2</w:t>
            </w:r>
          </w:p>
        </w:tc>
        <w:tc>
          <w:tcPr>
            <w:tcW w:w="1528" w:type="dxa"/>
          </w:tcPr>
          <w:p w14:paraId="059AC367" w14:textId="77777777" w:rsidR="005D6FAB" w:rsidRDefault="005D6FAB" w:rsidP="00FD613B">
            <w:pPr>
              <w:rPr>
                <w:rFonts w:ascii="Times New Roman" w:hAnsi="Times New Roman" w:cs="Times New Roman"/>
              </w:rPr>
            </w:pPr>
            <w:r w:rsidRPr="00DB3561">
              <w:rPr>
                <w:rFonts w:ascii="Times New Roman" w:hAnsi="Times New Roman" w:cs="Times New Roman"/>
              </w:rPr>
              <w:t>0.01</w:t>
            </w:r>
          </w:p>
        </w:tc>
        <w:tc>
          <w:tcPr>
            <w:tcW w:w="1529" w:type="dxa"/>
          </w:tcPr>
          <w:p w14:paraId="1D46FCE5" w14:textId="77777777" w:rsidR="005D6FAB" w:rsidRDefault="005D6FAB" w:rsidP="00FD613B">
            <w:pPr>
              <w:rPr>
                <w:rFonts w:ascii="Times New Roman" w:hAnsi="Times New Roman" w:cs="Times New Roman"/>
              </w:rPr>
            </w:pPr>
            <w:r w:rsidRPr="00DB3561">
              <w:rPr>
                <w:rFonts w:ascii="Times New Roman" w:hAnsi="Times New Roman" w:cs="Times New Roman"/>
              </w:rPr>
              <w:t>0.01</w:t>
            </w:r>
          </w:p>
        </w:tc>
        <w:tc>
          <w:tcPr>
            <w:tcW w:w="1529" w:type="dxa"/>
          </w:tcPr>
          <w:p w14:paraId="476092B1" w14:textId="77777777" w:rsidR="005D6FAB" w:rsidRDefault="005D6FAB" w:rsidP="00FD613B">
            <w:pPr>
              <w:rPr>
                <w:rFonts w:ascii="Times New Roman" w:hAnsi="Times New Roman" w:cs="Times New Roman"/>
              </w:rPr>
            </w:pPr>
            <w:r w:rsidRPr="00DB3561">
              <w:rPr>
                <w:rFonts w:ascii="Times New Roman" w:hAnsi="Times New Roman" w:cs="Times New Roman"/>
              </w:rPr>
              <w:t>0.01</w:t>
            </w:r>
          </w:p>
        </w:tc>
        <w:tc>
          <w:tcPr>
            <w:tcW w:w="1529" w:type="dxa"/>
          </w:tcPr>
          <w:p w14:paraId="5EE85E4D" w14:textId="77777777" w:rsidR="005D6FAB" w:rsidRDefault="005D6FAB" w:rsidP="00FD613B">
            <w:pPr>
              <w:rPr>
                <w:rFonts w:ascii="Times New Roman" w:hAnsi="Times New Roman" w:cs="Times New Roman"/>
              </w:rPr>
            </w:pPr>
            <w:r w:rsidRPr="00DB3561">
              <w:rPr>
                <w:rFonts w:ascii="Times New Roman" w:hAnsi="Times New Roman" w:cs="Times New Roman"/>
              </w:rPr>
              <w:t>0.01</w:t>
            </w:r>
          </w:p>
        </w:tc>
      </w:tr>
      <w:tr w:rsidR="005D6FAB" w14:paraId="5E154482" w14:textId="77777777" w:rsidTr="00FD613B">
        <w:tc>
          <w:tcPr>
            <w:tcW w:w="3235" w:type="dxa"/>
          </w:tcPr>
          <w:p w14:paraId="46131C6A" w14:textId="77777777" w:rsidR="005D6FAB" w:rsidRDefault="005D6FAB" w:rsidP="00FD613B">
            <w:pPr>
              <w:rPr>
                <w:rFonts w:ascii="Times New Roman" w:hAnsi="Times New Roman" w:cs="Times New Roman"/>
              </w:rPr>
            </w:pPr>
            <w:r w:rsidRPr="003D3598">
              <w:rPr>
                <w:rFonts w:ascii="Times New Roman" w:hAnsi="Times New Roman" w:cs="Times New Roman"/>
              </w:rPr>
              <w:t>Level-1 error, e</w:t>
            </w:r>
          </w:p>
        </w:tc>
        <w:tc>
          <w:tcPr>
            <w:tcW w:w="1528" w:type="dxa"/>
          </w:tcPr>
          <w:p w14:paraId="6635EE44" w14:textId="77777777" w:rsidR="005D6FAB" w:rsidRDefault="005D6FAB" w:rsidP="00FD613B">
            <w:pPr>
              <w:rPr>
                <w:rFonts w:ascii="Times New Roman" w:hAnsi="Times New Roman" w:cs="Times New Roman"/>
              </w:rPr>
            </w:pPr>
            <w:r w:rsidRPr="00DB3561">
              <w:rPr>
                <w:rFonts w:ascii="Times New Roman" w:hAnsi="Times New Roman" w:cs="Times New Roman"/>
              </w:rPr>
              <w:t>0.</w:t>
            </w:r>
            <w:r>
              <w:rPr>
                <w:rFonts w:ascii="Times New Roman" w:hAnsi="Times New Roman" w:cs="Times New Roman"/>
              </w:rPr>
              <w:t>38</w:t>
            </w:r>
          </w:p>
        </w:tc>
        <w:tc>
          <w:tcPr>
            <w:tcW w:w="1529" w:type="dxa"/>
          </w:tcPr>
          <w:p w14:paraId="3E0285CA" w14:textId="77777777" w:rsidR="005D6FAB" w:rsidRDefault="005D6FAB" w:rsidP="00FD613B">
            <w:pPr>
              <w:rPr>
                <w:rFonts w:ascii="Times New Roman" w:hAnsi="Times New Roman" w:cs="Times New Roman"/>
              </w:rPr>
            </w:pPr>
            <w:r w:rsidRPr="00DB3561">
              <w:rPr>
                <w:rFonts w:ascii="Times New Roman" w:hAnsi="Times New Roman" w:cs="Times New Roman"/>
              </w:rPr>
              <w:t>0.</w:t>
            </w:r>
            <w:r>
              <w:rPr>
                <w:rFonts w:ascii="Times New Roman" w:hAnsi="Times New Roman" w:cs="Times New Roman"/>
              </w:rPr>
              <w:t>37</w:t>
            </w:r>
          </w:p>
        </w:tc>
        <w:tc>
          <w:tcPr>
            <w:tcW w:w="1529" w:type="dxa"/>
          </w:tcPr>
          <w:p w14:paraId="01D35D1F" w14:textId="77777777" w:rsidR="005D6FAB" w:rsidRDefault="005D6FAB" w:rsidP="00FD613B">
            <w:pPr>
              <w:rPr>
                <w:rFonts w:ascii="Times New Roman" w:hAnsi="Times New Roman" w:cs="Times New Roman"/>
              </w:rPr>
            </w:pPr>
            <w:r w:rsidRPr="00DB3561">
              <w:rPr>
                <w:rFonts w:ascii="Times New Roman" w:hAnsi="Times New Roman" w:cs="Times New Roman"/>
              </w:rPr>
              <w:t>0.2</w:t>
            </w:r>
            <w:r>
              <w:rPr>
                <w:rFonts w:ascii="Times New Roman" w:hAnsi="Times New Roman" w:cs="Times New Roman"/>
              </w:rPr>
              <w:t>6</w:t>
            </w:r>
          </w:p>
        </w:tc>
        <w:tc>
          <w:tcPr>
            <w:tcW w:w="1529" w:type="dxa"/>
          </w:tcPr>
          <w:p w14:paraId="24A80D5C" w14:textId="77777777" w:rsidR="005D6FAB" w:rsidRDefault="005D6FAB" w:rsidP="00FD613B">
            <w:pPr>
              <w:rPr>
                <w:rFonts w:ascii="Times New Roman" w:hAnsi="Times New Roman" w:cs="Times New Roman"/>
              </w:rPr>
            </w:pPr>
            <w:r w:rsidRPr="00DB3561">
              <w:rPr>
                <w:rFonts w:ascii="Times New Roman" w:hAnsi="Times New Roman" w:cs="Times New Roman"/>
              </w:rPr>
              <w:t>0.2</w:t>
            </w:r>
            <w:r>
              <w:rPr>
                <w:rFonts w:ascii="Times New Roman" w:hAnsi="Times New Roman" w:cs="Times New Roman"/>
              </w:rPr>
              <w:t>2</w:t>
            </w:r>
          </w:p>
        </w:tc>
      </w:tr>
    </w:tbl>
    <w:p w14:paraId="70F22802" w14:textId="77777777" w:rsidR="005D6FAB" w:rsidRPr="00942D05" w:rsidRDefault="005D6FAB" w:rsidP="005D6FAB">
      <w:pPr>
        <w:rPr>
          <w:rFonts w:ascii="Times New Roman" w:hAnsi="Times New Roman" w:cs="Times New Roman"/>
        </w:rPr>
      </w:pPr>
    </w:p>
    <w:p w14:paraId="1F2C47CF" w14:textId="77777777" w:rsidR="005D6FAB" w:rsidRPr="003D3598" w:rsidRDefault="005D6FAB" w:rsidP="005D6FAB">
      <w:pPr>
        <w:contextualSpacing/>
        <w:rPr>
          <w:rFonts w:ascii="Times New Roman" w:hAnsi="Times New Roman" w:cs="Times New Roman"/>
        </w:rPr>
      </w:pPr>
    </w:p>
    <w:p w14:paraId="6E06A68C" w14:textId="398043F0" w:rsidR="0076401C" w:rsidRPr="00FB522E" w:rsidRDefault="0076401C" w:rsidP="00A73422">
      <w:pPr>
        <w:rPr>
          <w:rFonts w:ascii="Times New Roman" w:hAnsi="Times New Roman" w:cs="Times New Roman"/>
          <w:b/>
        </w:rPr>
      </w:pPr>
    </w:p>
    <w:sectPr w:rsidR="0076401C" w:rsidRPr="00FB522E" w:rsidSect="0050500E">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BABD6" w14:textId="77777777" w:rsidR="00C264BC" w:rsidRDefault="00C264BC" w:rsidP="008F0683">
      <w:r>
        <w:separator/>
      </w:r>
    </w:p>
  </w:endnote>
  <w:endnote w:type="continuationSeparator" w:id="0">
    <w:p w14:paraId="655CBB54" w14:textId="77777777" w:rsidR="00C264BC" w:rsidRDefault="00C264BC" w:rsidP="008F0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0487D" w14:textId="77777777" w:rsidR="00A44B64" w:rsidRDefault="00A44B64" w:rsidP="00FE4D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79A1E" w14:textId="77777777" w:rsidR="00A44B64" w:rsidRDefault="00A44B64" w:rsidP="008F06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F5B8C" w14:textId="77777777" w:rsidR="00A44B64" w:rsidRDefault="00A44B64" w:rsidP="008F06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B1F17" w14:textId="77777777" w:rsidR="00C264BC" w:rsidRDefault="00C264BC" w:rsidP="008F0683">
      <w:r>
        <w:separator/>
      </w:r>
    </w:p>
  </w:footnote>
  <w:footnote w:type="continuationSeparator" w:id="0">
    <w:p w14:paraId="0A72A020" w14:textId="77777777" w:rsidR="00C264BC" w:rsidRDefault="00C264BC" w:rsidP="008F0683">
      <w:r>
        <w:continuationSeparator/>
      </w:r>
    </w:p>
  </w:footnote>
  <w:footnote w:id="1">
    <w:p w14:paraId="1B317286" w14:textId="350F44B2" w:rsidR="0081044D" w:rsidRDefault="0081044D">
      <w:pPr>
        <w:pStyle w:val="FootnoteText"/>
      </w:pPr>
      <w:r>
        <w:rPr>
          <w:rStyle w:val="FootnoteReference"/>
        </w:rPr>
        <w:footnoteRef/>
      </w:r>
      <w:r>
        <w:t xml:space="preserve"> We wish to </w:t>
      </w:r>
      <w:r w:rsidR="00C146AA">
        <w:t>clarify</w:t>
      </w:r>
      <w:r>
        <w:t xml:space="preserve"> that our description of “engagement” in OST settings refer</w:t>
      </w:r>
      <w:r w:rsidR="00C146AA">
        <w:t>s to what science communication experts refer to as “educational engagement.” Educational engagement refers to an individuals’ interaction with</w:t>
      </w:r>
      <w:r w:rsidR="00CC59A1">
        <w:t xml:space="preserve"> particular materials, and is distinct from</w:t>
      </w:r>
      <w:r w:rsidR="00C146AA">
        <w:t xml:space="preserve"> democratic engagement (which has to do with who </w:t>
      </w:r>
      <w:r w:rsidR="00CC59A1">
        <w:t xml:space="preserve">in society </w:t>
      </w:r>
      <w:r w:rsidR="00C146AA">
        <w:t>should be involved in decisions about resource allocation and what is valued in science), and institutional engagement (which has to do with how often members of a community utilize science learning resources –e.g. membership numbers for a museum)</w:t>
      </w:r>
      <w:r w:rsidR="00CC59A1">
        <w:t xml:space="preserve">. For a review see McCallie, et al. (2009). </w:t>
      </w:r>
    </w:p>
  </w:footnote>
  <w:footnote w:id="2">
    <w:p w14:paraId="7BE4F775" w14:textId="3430E96C" w:rsidR="00A01715" w:rsidRDefault="00A01715">
      <w:pPr>
        <w:pStyle w:val="FootnoteText"/>
      </w:pPr>
      <w:r>
        <w:rPr>
          <w:rStyle w:val="FootnoteReference"/>
        </w:rPr>
        <w:footnoteRef/>
      </w:r>
      <w:r>
        <w:t xml:space="preserve"> We note that youths</w:t>
      </w:r>
      <w:r w:rsidR="003C1ED9">
        <w:t>’</w:t>
      </w:r>
      <w:r>
        <w:t xml:space="preserve"> reports of their own hard work and concentrated effort might possibly refer to both behavioral and cognitive dimensions of their engagement (for discussion of the </w:t>
      </w:r>
      <w:r w:rsidR="002D4942">
        <w:t xml:space="preserve">challenges inherent in measuring multiple dimensions of engagement from self-reports, the reader is referred to Fredricks &amp; </w:t>
      </w:r>
      <w:proofErr w:type="spellStart"/>
      <w:r w:rsidR="002D4942">
        <w:t>McColskey</w:t>
      </w:r>
      <w:proofErr w:type="spellEnd"/>
      <w:r w:rsidR="002D4942">
        <w:t xml:space="preserve">, 2012) </w:t>
      </w:r>
      <w:r>
        <w:t xml:space="preserve"> </w:t>
      </w:r>
    </w:p>
  </w:footnote>
  <w:footnote w:id="3">
    <w:p w14:paraId="4ED8E428" w14:textId="297626C4" w:rsidR="00A44B64" w:rsidRPr="00BD3933" w:rsidRDefault="00A44B64">
      <w:pPr>
        <w:pStyle w:val="FootnoteText"/>
        <w:rPr>
          <w:rFonts w:ascii="Times New Roman" w:hAnsi="Times New Roman" w:cs="Times New Roman"/>
        </w:rPr>
      </w:pPr>
      <w:r w:rsidRPr="00BD3933">
        <w:rPr>
          <w:rStyle w:val="FootnoteReference"/>
          <w:rFonts w:ascii="Times New Roman" w:hAnsi="Times New Roman" w:cs="Times New Roman"/>
        </w:rPr>
        <w:footnoteRef/>
      </w:r>
      <w:r w:rsidRPr="00BD3933">
        <w:rPr>
          <w:rFonts w:ascii="Times New Roman" w:hAnsi="Times New Roman" w:cs="Times New Roman"/>
        </w:rPr>
        <w:t xml:space="preserve"> We note that we examined alternative approaches to constructing a measure of initial perceived competence including taking the scores from the single domain in which perceived competence was highest</w:t>
      </w:r>
      <w:r>
        <w:rPr>
          <w:rFonts w:ascii="Times New Roman" w:hAnsi="Times New Roman" w:cs="Times New Roman"/>
        </w:rPr>
        <w:t>.</w:t>
      </w:r>
      <w:r w:rsidRPr="00BD3933">
        <w:rPr>
          <w:rFonts w:ascii="Times New Roman" w:hAnsi="Times New Roman" w:cs="Times New Roman"/>
        </w:rPr>
        <w:t xml:space="preserve"> </w:t>
      </w:r>
      <w:r>
        <w:rPr>
          <w:rFonts w:ascii="Times New Roman" w:hAnsi="Times New Roman" w:cs="Times New Roman"/>
        </w:rPr>
        <w:t>T</w:t>
      </w:r>
      <w:r w:rsidRPr="00BD3933">
        <w:rPr>
          <w:rFonts w:ascii="Times New Roman" w:hAnsi="Times New Roman" w:cs="Times New Roman"/>
        </w:rPr>
        <w:t xml:space="preserve">hese measurement modifications did not </w:t>
      </w:r>
      <w:r>
        <w:rPr>
          <w:rFonts w:ascii="Times New Roman" w:hAnsi="Times New Roman" w:cs="Times New Roman"/>
        </w:rPr>
        <w:t xml:space="preserve">appreciably </w:t>
      </w:r>
      <w:r w:rsidRPr="00BD3933">
        <w:rPr>
          <w:rFonts w:ascii="Times New Roman" w:hAnsi="Times New Roman" w:cs="Times New Roman"/>
        </w:rPr>
        <w:t xml:space="preserve">alter the results.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2329634"/>
      <w:docPartObj>
        <w:docPartGallery w:val="Page Numbers (Top of Page)"/>
        <w:docPartUnique/>
      </w:docPartObj>
    </w:sdtPr>
    <w:sdtEndPr>
      <w:rPr>
        <w:rStyle w:val="PageNumber"/>
      </w:rPr>
    </w:sdtEndPr>
    <w:sdtContent>
      <w:p w14:paraId="6A8EE5CF" w14:textId="059F702A" w:rsidR="00A44B64" w:rsidRDefault="00A44B64" w:rsidP="00B17B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54ED3F" w14:textId="77777777" w:rsidR="00A44B64" w:rsidRDefault="00A44B64" w:rsidP="00BD393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23C20" w14:textId="5A507881" w:rsidR="00FB522E" w:rsidRPr="006E72C1" w:rsidRDefault="00FB522E">
    <w:pPr>
      <w:pStyle w:val="Header"/>
      <w:rPr>
        <w:rFonts w:ascii="Times New Roman" w:hAnsi="Times New Roman" w:cs="Times New Roman"/>
      </w:rPr>
    </w:pPr>
    <w:r w:rsidRPr="006E72C1">
      <w:rPr>
        <w:rFonts w:ascii="Times New Roman" w:hAnsi="Times New Roman" w:cs="Times New Roman"/>
      </w:rPr>
      <w:t>OST ENGAGEMENT</w:t>
    </w:r>
  </w:p>
  <w:p w14:paraId="36E01912" w14:textId="77777777" w:rsidR="00A44B64" w:rsidRDefault="00A44B64" w:rsidP="00BD393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BA50CDD"/>
    <w:multiLevelType w:val="hybridMultilevel"/>
    <w:tmpl w:val="8FF08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213E3"/>
    <w:multiLevelType w:val="hybridMultilevel"/>
    <w:tmpl w:val="8FF08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E00498"/>
    <w:multiLevelType w:val="hybridMultilevel"/>
    <w:tmpl w:val="C8D6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hideSpellingErrors/>
  <w:hideGrammatical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4BA"/>
    <w:rsid w:val="00000C88"/>
    <w:rsid w:val="00011528"/>
    <w:rsid w:val="0002029F"/>
    <w:rsid w:val="000209AE"/>
    <w:rsid w:val="0002108F"/>
    <w:rsid w:val="00021463"/>
    <w:rsid w:val="00024492"/>
    <w:rsid w:val="000251B2"/>
    <w:rsid w:val="00026666"/>
    <w:rsid w:val="0002772F"/>
    <w:rsid w:val="00030A8D"/>
    <w:rsid w:val="00036675"/>
    <w:rsid w:val="000376EC"/>
    <w:rsid w:val="0004026C"/>
    <w:rsid w:val="00041272"/>
    <w:rsid w:val="00044FFA"/>
    <w:rsid w:val="00050E64"/>
    <w:rsid w:val="00052CAE"/>
    <w:rsid w:val="00057029"/>
    <w:rsid w:val="000608CD"/>
    <w:rsid w:val="00071CD5"/>
    <w:rsid w:val="00074861"/>
    <w:rsid w:val="00074CD3"/>
    <w:rsid w:val="000761CA"/>
    <w:rsid w:val="00081634"/>
    <w:rsid w:val="000853E2"/>
    <w:rsid w:val="00085CBA"/>
    <w:rsid w:val="00087B13"/>
    <w:rsid w:val="00087D87"/>
    <w:rsid w:val="0009038B"/>
    <w:rsid w:val="00091884"/>
    <w:rsid w:val="000A04BF"/>
    <w:rsid w:val="000A10E6"/>
    <w:rsid w:val="000A71DA"/>
    <w:rsid w:val="000A7BF6"/>
    <w:rsid w:val="000B0FD3"/>
    <w:rsid w:val="000B409B"/>
    <w:rsid w:val="000B548A"/>
    <w:rsid w:val="000B7632"/>
    <w:rsid w:val="000C39F2"/>
    <w:rsid w:val="000C5413"/>
    <w:rsid w:val="000C65AE"/>
    <w:rsid w:val="000D6AD2"/>
    <w:rsid w:val="000E08DE"/>
    <w:rsid w:val="000E3A0A"/>
    <w:rsid w:val="000E7129"/>
    <w:rsid w:val="000E713E"/>
    <w:rsid w:val="000E7712"/>
    <w:rsid w:val="000F08D5"/>
    <w:rsid w:val="000F7A26"/>
    <w:rsid w:val="00102849"/>
    <w:rsid w:val="00107301"/>
    <w:rsid w:val="001076B7"/>
    <w:rsid w:val="00107F7B"/>
    <w:rsid w:val="00111E51"/>
    <w:rsid w:val="00112686"/>
    <w:rsid w:val="00112A15"/>
    <w:rsid w:val="00113544"/>
    <w:rsid w:val="00121576"/>
    <w:rsid w:val="00123A5D"/>
    <w:rsid w:val="00130026"/>
    <w:rsid w:val="00130F7C"/>
    <w:rsid w:val="0013626B"/>
    <w:rsid w:val="001428C5"/>
    <w:rsid w:val="00142B91"/>
    <w:rsid w:val="00143E64"/>
    <w:rsid w:val="00145580"/>
    <w:rsid w:val="001460E9"/>
    <w:rsid w:val="00152AEC"/>
    <w:rsid w:val="00161876"/>
    <w:rsid w:val="001643FA"/>
    <w:rsid w:val="001664AF"/>
    <w:rsid w:val="00166DE2"/>
    <w:rsid w:val="00172D70"/>
    <w:rsid w:val="00173FAD"/>
    <w:rsid w:val="0018028D"/>
    <w:rsid w:val="00181AE6"/>
    <w:rsid w:val="001869E0"/>
    <w:rsid w:val="0018707E"/>
    <w:rsid w:val="001876FA"/>
    <w:rsid w:val="00195D25"/>
    <w:rsid w:val="001A06BB"/>
    <w:rsid w:val="001A10AC"/>
    <w:rsid w:val="001A5F7E"/>
    <w:rsid w:val="001A7F20"/>
    <w:rsid w:val="001B23FE"/>
    <w:rsid w:val="001B4AC0"/>
    <w:rsid w:val="001C06A4"/>
    <w:rsid w:val="001C659C"/>
    <w:rsid w:val="001D3D37"/>
    <w:rsid w:val="001D5A18"/>
    <w:rsid w:val="001D638D"/>
    <w:rsid w:val="001E3C20"/>
    <w:rsid w:val="001F07AB"/>
    <w:rsid w:val="001F12F1"/>
    <w:rsid w:val="001F17BF"/>
    <w:rsid w:val="001F5DFD"/>
    <w:rsid w:val="00201909"/>
    <w:rsid w:val="0020192D"/>
    <w:rsid w:val="00204A5C"/>
    <w:rsid w:val="00206FAB"/>
    <w:rsid w:val="00213C3D"/>
    <w:rsid w:val="00233C65"/>
    <w:rsid w:val="00234442"/>
    <w:rsid w:val="00235411"/>
    <w:rsid w:val="00240050"/>
    <w:rsid w:val="0024206E"/>
    <w:rsid w:val="002421C9"/>
    <w:rsid w:val="00242CCA"/>
    <w:rsid w:val="002444E0"/>
    <w:rsid w:val="00244B22"/>
    <w:rsid w:val="002524C3"/>
    <w:rsid w:val="002560E1"/>
    <w:rsid w:val="002610C2"/>
    <w:rsid w:val="002629E8"/>
    <w:rsid w:val="00264D66"/>
    <w:rsid w:val="00265279"/>
    <w:rsid w:val="002718F7"/>
    <w:rsid w:val="00276BD4"/>
    <w:rsid w:val="00280974"/>
    <w:rsid w:val="00281351"/>
    <w:rsid w:val="00290E51"/>
    <w:rsid w:val="002916BA"/>
    <w:rsid w:val="00295DA2"/>
    <w:rsid w:val="00296A44"/>
    <w:rsid w:val="0029743D"/>
    <w:rsid w:val="002A11FE"/>
    <w:rsid w:val="002A7EA4"/>
    <w:rsid w:val="002B05FC"/>
    <w:rsid w:val="002B0743"/>
    <w:rsid w:val="002B6F52"/>
    <w:rsid w:val="002B78FB"/>
    <w:rsid w:val="002C04A0"/>
    <w:rsid w:val="002C05EC"/>
    <w:rsid w:val="002C2B28"/>
    <w:rsid w:val="002D090F"/>
    <w:rsid w:val="002D4942"/>
    <w:rsid w:val="002E1366"/>
    <w:rsid w:val="002E2241"/>
    <w:rsid w:val="002E5BD0"/>
    <w:rsid w:val="002E6035"/>
    <w:rsid w:val="00301553"/>
    <w:rsid w:val="0030277C"/>
    <w:rsid w:val="00304EFD"/>
    <w:rsid w:val="0030529B"/>
    <w:rsid w:val="00311739"/>
    <w:rsid w:val="00314B97"/>
    <w:rsid w:val="00316DFC"/>
    <w:rsid w:val="00325C79"/>
    <w:rsid w:val="003266E1"/>
    <w:rsid w:val="00337756"/>
    <w:rsid w:val="003429BD"/>
    <w:rsid w:val="00343548"/>
    <w:rsid w:val="00343C2E"/>
    <w:rsid w:val="00344954"/>
    <w:rsid w:val="0035074B"/>
    <w:rsid w:val="00354743"/>
    <w:rsid w:val="00355466"/>
    <w:rsid w:val="00356FD4"/>
    <w:rsid w:val="0036308D"/>
    <w:rsid w:val="00363868"/>
    <w:rsid w:val="003662F0"/>
    <w:rsid w:val="003750D9"/>
    <w:rsid w:val="00387931"/>
    <w:rsid w:val="00390822"/>
    <w:rsid w:val="003917DF"/>
    <w:rsid w:val="00391968"/>
    <w:rsid w:val="0039319B"/>
    <w:rsid w:val="00394282"/>
    <w:rsid w:val="00396A01"/>
    <w:rsid w:val="00397BFA"/>
    <w:rsid w:val="003A0138"/>
    <w:rsid w:val="003A403B"/>
    <w:rsid w:val="003A637E"/>
    <w:rsid w:val="003B10CC"/>
    <w:rsid w:val="003B129E"/>
    <w:rsid w:val="003B6B02"/>
    <w:rsid w:val="003B6F2C"/>
    <w:rsid w:val="003B7B6F"/>
    <w:rsid w:val="003C1BDE"/>
    <w:rsid w:val="003C1ED9"/>
    <w:rsid w:val="003C3B91"/>
    <w:rsid w:val="003C678E"/>
    <w:rsid w:val="003C754C"/>
    <w:rsid w:val="003D04EF"/>
    <w:rsid w:val="003D0A5C"/>
    <w:rsid w:val="003D1C46"/>
    <w:rsid w:val="003D2F34"/>
    <w:rsid w:val="003D3598"/>
    <w:rsid w:val="003E4CB8"/>
    <w:rsid w:val="003F1D1C"/>
    <w:rsid w:val="003F6726"/>
    <w:rsid w:val="00407A33"/>
    <w:rsid w:val="00414BD3"/>
    <w:rsid w:val="0041527C"/>
    <w:rsid w:val="00417535"/>
    <w:rsid w:val="00423F53"/>
    <w:rsid w:val="00444F74"/>
    <w:rsid w:val="004468DD"/>
    <w:rsid w:val="00450533"/>
    <w:rsid w:val="00453C57"/>
    <w:rsid w:val="00456D7A"/>
    <w:rsid w:val="004571F3"/>
    <w:rsid w:val="00457F93"/>
    <w:rsid w:val="00461A12"/>
    <w:rsid w:val="00461E40"/>
    <w:rsid w:val="0046230D"/>
    <w:rsid w:val="00464748"/>
    <w:rsid w:val="00466410"/>
    <w:rsid w:val="00472BB6"/>
    <w:rsid w:val="00474B14"/>
    <w:rsid w:val="00476480"/>
    <w:rsid w:val="00482C2C"/>
    <w:rsid w:val="00482E86"/>
    <w:rsid w:val="00486AEE"/>
    <w:rsid w:val="00486F90"/>
    <w:rsid w:val="00487D98"/>
    <w:rsid w:val="004941A9"/>
    <w:rsid w:val="004948C0"/>
    <w:rsid w:val="004967E7"/>
    <w:rsid w:val="00497906"/>
    <w:rsid w:val="00497BE7"/>
    <w:rsid w:val="004A086A"/>
    <w:rsid w:val="004A4DE2"/>
    <w:rsid w:val="004B17EE"/>
    <w:rsid w:val="004B3AC0"/>
    <w:rsid w:val="004B6734"/>
    <w:rsid w:val="004C0EAF"/>
    <w:rsid w:val="004C3F3A"/>
    <w:rsid w:val="004C5944"/>
    <w:rsid w:val="004C5A59"/>
    <w:rsid w:val="004C76BF"/>
    <w:rsid w:val="004D0FC3"/>
    <w:rsid w:val="004D649B"/>
    <w:rsid w:val="004D6900"/>
    <w:rsid w:val="004D69B9"/>
    <w:rsid w:val="004E1C59"/>
    <w:rsid w:val="004E35E2"/>
    <w:rsid w:val="004E37AE"/>
    <w:rsid w:val="004E470A"/>
    <w:rsid w:val="004E6604"/>
    <w:rsid w:val="004E6D85"/>
    <w:rsid w:val="004F307B"/>
    <w:rsid w:val="004F63AE"/>
    <w:rsid w:val="004F7499"/>
    <w:rsid w:val="00500AB5"/>
    <w:rsid w:val="0050329B"/>
    <w:rsid w:val="0050500E"/>
    <w:rsid w:val="00510E80"/>
    <w:rsid w:val="00510F66"/>
    <w:rsid w:val="005123E2"/>
    <w:rsid w:val="005128CC"/>
    <w:rsid w:val="00513A41"/>
    <w:rsid w:val="005143EF"/>
    <w:rsid w:val="00514D14"/>
    <w:rsid w:val="00520DD7"/>
    <w:rsid w:val="00520EE5"/>
    <w:rsid w:val="00520EE8"/>
    <w:rsid w:val="00523296"/>
    <w:rsid w:val="00524BA6"/>
    <w:rsid w:val="00524C14"/>
    <w:rsid w:val="00525469"/>
    <w:rsid w:val="0053704D"/>
    <w:rsid w:val="00540BEC"/>
    <w:rsid w:val="00550EE7"/>
    <w:rsid w:val="00554126"/>
    <w:rsid w:val="005564B6"/>
    <w:rsid w:val="00557189"/>
    <w:rsid w:val="00557511"/>
    <w:rsid w:val="00557C24"/>
    <w:rsid w:val="005609FF"/>
    <w:rsid w:val="00567605"/>
    <w:rsid w:val="00567690"/>
    <w:rsid w:val="00571F53"/>
    <w:rsid w:val="005721E5"/>
    <w:rsid w:val="005722DE"/>
    <w:rsid w:val="00573919"/>
    <w:rsid w:val="0057687E"/>
    <w:rsid w:val="00577565"/>
    <w:rsid w:val="00580D27"/>
    <w:rsid w:val="00584856"/>
    <w:rsid w:val="005857BA"/>
    <w:rsid w:val="00585F7B"/>
    <w:rsid w:val="00593933"/>
    <w:rsid w:val="005958B8"/>
    <w:rsid w:val="0059667B"/>
    <w:rsid w:val="005A0DC6"/>
    <w:rsid w:val="005B7239"/>
    <w:rsid w:val="005B7412"/>
    <w:rsid w:val="005C258A"/>
    <w:rsid w:val="005C5F3E"/>
    <w:rsid w:val="005D1AF7"/>
    <w:rsid w:val="005D2C80"/>
    <w:rsid w:val="005D6FAB"/>
    <w:rsid w:val="005E36E6"/>
    <w:rsid w:val="005E3854"/>
    <w:rsid w:val="005F215F"/>
    <w:rsid w:val="00600164"/>
    <w:rsid w:val="006002C2"/>
    <w:rsid w:val="0060234C"/>
    <w:rsid w:val="00606CCD"/>
    <w:rsid w:val="006119C0"/>
    <w:rsid w:val="006126B0"/>
    <w:rsid w:val="00612B81"/>
    <w:rsid w:val="00615F1E"/>
    <w:rsid w:val="006165B5"/>
    <w:rsid w:val="00617156"/>
    <w:rsid w:val="00621F39"/>
    <w:rsid w:val="00622894"/>
    <w:rsid w:val="00632F24"/>
    <w:rsid w:val="00635CDD"/>
    <w:rsid w:val="006379E9"/>
    <w:rsid w:val="00643718"/>
    <w:rsid w:val="00645535"/>
    <w:rsid w:val="00646D4C"/>
    <w:rsid w:val="006520C9"/>
    <w:rsid w:val="00663C43"/>
    <w:rsid w:val="00666E21"/>
    <w:rsid w:val="00670FF0"/>
    <w:rsid w:val="00671CE3"/>
    <w:rsid w:val="00677F6E"/>
    <w:rsid w:val="0069001F"/>
    <w:rsid w:val="0069213D"/>
    <w:rsid w:val="006A41F4"/>
    <w:rsid w:val="006A4A3D"/>
    <w:rsid w:val="006A7910"/>
    <w:rsid w:val="006B3FF1"/>
    <w:rsid w:val="006B658D"/>
    <w:rsid w:val="006B7C7D"/>
    <w:rsid w:val="006C407F"/>
    <w:rsid w:val="006C56FB"/>
    <w:rsid w:val="006C62F6"/>
    <w:rsid w:val="006C680F"/>
    <w:rsid w:val="006E29B9"/>
    <w:rsid w:val="006E72C1"/>
    <w:rsid w:val="006E7788"/>
    <w:rsid w:val="006F57C7"/>
    <w:rsid w:val="006F7351"/>
    <w:rsid w:val="007037D6"/>
    <w:rsid w:val="007049C5"/>
    <w:rsid w:val="0071247D"/>
    <w:rsid w:val="00713255"/>
    <w:rsid w:val="00716A26"/>
    <w:rsid w:val="00717474"/>
    <w:rsid w:val="007206F5"/>
    <w:rsid w:val="00721428"/>
    <w:rsid w:val="00737980"/>
    <w:rsid w:val="00742071"/>
    <w:rsid w:val="007442AD"/>
    <w:rsid w:val="00746553"/>
    <w:rsid w:val="007614A2"/>
    <w:rsid w:val="0076401C"/>
    <w:rsid w:val="00766B9D"/>
    <w:rsid w:val="007820F8"/>
    <w:rsid w:val="00782A8B"/>
    <w:rsid w:val="00785CC9"/>
    <w:rsid w:val="00786CE4"/>
    <w:rsid w:val="00787866"/>
    <w:rsid w:val="00792032"/>
    <w:rsid w:val="00793D11"/>
    <w:rsid w:val="0079648D"/>
    <w:rsid w:val="00796F08"/>
    <w:rsid w:val="007A093F"/>
    <w:rsid w:val="007A0B7D"/>
    <w:rsid w:val="007A2942"/>
    <w:rsid w:val="007B03C6"/>
    <w:rsid w:val="007B0DCD"/>
    <w:rsid w:val="007B2C24"/>
    <w:rsid w:val="007C628B"/>
    <w:rsid w:val="007C7BD4"/>
    <w:rsid w:val="007C7F65"/>
    <w:rsid w:val="007D47DE"/>
    <w:rsid w:val="007D6463"/>
    <w:rsid w:val="007D6BD0"/>
    <w:rsid w:val="007E1513"/>
    <w:rsid w:val="007E502F"/>
    <w:rsid w:val="007E5521"/>
    <w:rsid w:val="007F1A2C"/>
    <w:rsid w:val="007F6224"/>
    <w:rsid w:val="00800146"/>
    <w:rsid w:val="00802468"/>
    <w:rsid w:val="00802CE4"/>
    <w:rsid w:val="00803CE1"/>
    <w:rsid w:val="0081032D"/>
    <w:rsid w:val="0081044D"/>
    <w:rsid w:val="00811B52"/>
    <w:rsid w:val="00820A84"/>
    <w:rsid w:val="00821EE0"/>
    <w:rsid w:val="00823C18"/>
    <w:rsid w:val="00824DAF"/>
    <w:rsid w:val="008260A6"/>
    <w:rsid w:val="00827661"/>
    <w:rsid w:val="00830308"/>
    <w:rsid w:val="00830AB2"/>
    <w:rsid w:val="00834052"/>
    <w:rsid w:val="00840BCC"/>
    <w:rsid w:val="0084202B"/>
    <w:rsid w:val="00843097"/>
    <w:rsid w:val="008502C9"/>
    <w:rsid w:val="008544E3"/>
    <w:rsid w:val="00854BEE"/>
    <w:rsid w:val="008568F0"/>
    <w:rsid w:val="00857383"/>
    <w:rsid w:val="00866BD2"/>
    <w:rsid w:val="00866C60"/>
    <w:rsid w:val="00867527"/>
    <w:rsid w:val="008679B8"/>
    <w:rsid w:val="00870EF0"/>
    <w:rsid w:val="008753C5"/>
    <w:rsid w:val="00875C38"/>
    <w:rsid w:val="00881102"/>
    <w:rsid w:val="00882000"/>
    <w:rsid w:val="00885489"/>
    <w:rsid w:val="008870FD"/>
    <w:rsid w:val="008945C0"/>
    <w:rsid w:val="00895C01"/>
    <w:rsid w:val="008A1A49"/>
    <w:rsid w:val="008A2208"/>
    <w:rsid w:val="008A2679"/>
    <w:rsid w:val="008A29CA"/>
    <w:rsid w:val="008A3E94"/>
    <w:rsid w:val="008A66F7"/>
    <w:rsid w:val="008A6A44"/>
    <w:rsid w:val="008B3C3B"/>
    <w:rsid w:val="008B3F2E"/>
    <w:rsid w:val="008B54A1"/>
    <w:rsid w:val="008B6AA9"/>
    <w:rsid w:val="008D0F7A"/>
    <w:rsid w:val="008D2571"/>
    <w:rsid w:val="008D5B4F"/>
    <w:rsid w:val="008E00AE"/>
    <w:rsid w:val="008E30D5"/>
    <w:rsid w:val="008E3A4E"/>
    <w:rsid w:val="008F0683"/>
    <w:rsid w:val="009006EA"/>
    <w:rsid w:val="00901B8C"/>
    <w:rsid w:val="00904D1E"/>
    <w:rsid w:val="00912339"/>
    <w:rsid w:val="00913E51"/>
    <w:rsid w:val="00914588"/>
    <w:rsid w:val="00917E9F"/>
    <w:rsid w:val="009216F3"/>
    <w:rsid w:val="00921F21"/>
    <w:rsid w:val="0092498D"/>
    <w:rsid w:val="009252B5"/>
    <w:rsid w:val="00927FAB"/>
    <w:rsid w:val="00931EC8"/>
    <w:rsid w:val="009335CD"/>
    <w:rsid w:val="009353AD"/>
    <w:rsid w:val="0093647B"/>
    <w:rsid w:val="009422D3"/>
    <w:rsid w:val="00945A8A"/>
    <w:rsid w:val="00946D50"/>
    <w:rsid w:val="00947538"/>
    <w:rsid w:val="009501D3"/>
    <w:rsid w:val="00950991"/>
    <w:rsid w:val="009552B1"/>
    <w:rsid w:val="009610D9"/>
    <w:rsid w:val="00963F46"/>
    <w:rsid w:val="009662B5"/>
    <w:rsid w:val="00972FA2"/>
    <w:rsid w:val="009760E3"/>
    <w:rsid w:val="009763CA"/>
    <w:rsid w:val="00986FD4"/>
    <w:rsid w:val="00991D54"/>
    <w:rsid w:val="009A1FA9"/>
    <w:rsid w:val="009A4199"/>
    <w:rsid w:val="009A579A"/>
    <w:rsid w:val="009A7121"/>
    <w:rsid w:val="009A7720"/>
    <w:rsid w:val="009B0E97"/>
    <w:rsid w:val="009B4589"/>
    <w:rsid w:val="009C0096"/>
    <w:rsid w:val="009C2656"/>
    <w:rsid w:val="009C37D2"/>
    <w:rsid w:val="009C4A20"/>
    <w:rsid w:val="009C698E"/>
    <w:rsid w:val="009D0FAC"/>
    <w:rsid w:val="009D51A6"/>
    <w:rsid w:val="009E2157"/>
    <w:rsid w:val="009E4F8A"/>
    <w:rsid w:val="00A00B3F"/>
    <w:rsid w:val="00A01715"/>
    <w:rsid w:val="00A12694"/>
    <w:rsid w:val="00A2034E"/>
    <w:rsid w:val="00A20F55"/>
    <w:rsid w:val="00A2191F"/>
    <w:rsid w:val="00A30E32"/>
    <w:rsid w:val="00A318C8"/>
    <w:rsid w:val="00A331D1"/>
    <w:rsid w:val="00A355BB"/>
    <w:rsid w:val="00A4171A"/>
    <w:rsid w:val="00A43361"/>
    <w:rsid w:val="00A44B64"/>
    <w:rsid w:val="00A4700F"/>
    <w:rsid w:val="00A65E80"/>
    <w:rsid w:val="00A70FBD"/>
    <w:rsid w:val="00A71C68"/>
    <w:rsid w:val="00A72117"/>
    <w:rsid w:val="00A72475"/>
    <w:rsid w:val="00A73422"/>
    <w:rsid w:val="00A7469B"/>
    <w:rsid w:val="00A7777C"/>
    <w:rsid w:val="00A812DC"/>
    <w:rsid w:val="00A84B6C"/>
    <w:rsid w:val="00A8534F"/>
    <w:rsid w:val="00A93E74"/>
    <w:rsid w:val="00A943AA"/>
    <w:rsid w:val="00A954F8"/>
    <w:rsid w:val="00A95C8A"/>
    <w:rsid w:val="00AA2084"/>
    <w:rsid w:val="00AA333D"/>
    <w:rsid w:val="00AA4F14"/>
    <w:rsid w:val="00AA77E5"/>
    <w:rsid w:val="00AB0D5E"/>
    <w:rsid w:val="00AC6FA1"/>
    <w:rsid w:val="00AD4C76"/>
    <w:rsid w:val="00AE361F"/>
    <w:rsid w:val="00AE47C5"/>
    <w:rsid w:val="00AE66E0"/>
    <w:rsid w:val="00AF311D"/>
    <w:rsid w:val="00AF4CB5"/>
    <w:rsid w:val="00AF78B7"/>
    <w:rsid w:val="00B025A9"/>
    <w:rsid w:val="00B06CA6"/>
    <w:rsid w:val="00B15844"/>
    <w:rsid w:val="00B174BA"/>
    <w:rsid w:val="00B17B10"/>
    <w:rsid w:val="00B205EB"/>
    <w:rsid w:val="00B216DE"/>
    <w:rsid w:val="00B357FC"/>
    <w:rsid w:val="00B41D24"/>
    <w:rsid w:val="00B44C8A"/>
    <w:rsid w:val="00B46351"/>
    <w:rsid w:val="00B475E0"/>
    <w:rsid w:val="00B56D2C"/>
    <w:rsid w:val="00B62186"/>
    <w:rsid w:val="00B6535D"/>
    <w:rsid w:val="00B72642"/>
    <w:rsid w:val="00B8063B"/>
    <w:rsid w:val="00B91D0C"/>
    <w:rsid w:val="00B928A6"/>
    <w:rsid w:val="00B94864"/>
    <w:rsid w:val="00BA18A8"/>
    <w:rsid w:val="00BA19E6"/>
    <w:rsid w:val="00BA4528"/>
    <w:rsid w:val="00BA7994"/>
    <w:rsid w:val="00BB0C38"/>
    <w:rsid w:val="00BB22CC"/>
    <w:rsid w:val="00BB5726"/>
    <w:rsid w:val="00BC14FF"/>
    <w:rsid w:val="00BD2110"/>
    <w:rsid w:val="00BD3933"/>
    <w:rsid w:val="00BE3D6B"/>
    <w:rsid w:val="00BE7CD4"/>
    <w:rsid w:val="00BF1888"/>
    <w:rsid w:val="00BF40B7"/>
    <w:rsid w:val="00BF6C34"/>
    <w:rsid w:val="00BF6CDF"/>
    <w:rsid w:val="00BF7964"/>
    <w:rsid w:val="00C11641"/>
    <w:rsid w:val="00C146AA"/>
    <w:rsid w:val="00C21C90"/>
    <w:rsid w:val="00C2231F"/>
    <w:rsid w:val="00C22FFB"/>
    <w:rsid w:val="00C232B1"/>
    <w:rsid w:val="00C244B8"/>
    <w:rsid w:val="00C264BC"/>
    <w:rsid w:val="00C5484A"/>
    <w:rsid w:val="00C57422"/>
    <w:rsid w:val="00C604FE"/>
    <w:rsid w:val="00C613B2"/>
    <w:rsid w:val="00C617AB"/>
    <w:rsid w:val="00C61AFF"/>
    <w:rsid w:val="00C62F77"/>
    <w:rsid w:val="00C711E7"/>
    <w:rsid w:val="00C83893"/>
    <w:rsid w:val="00C8461E"/>
    <w:rsid w:val="00C97FDE"/>
    <w:rsid w:val="00CA7E3D"/>
    <w:rsid w:val="00CB713C"/>
    <w:rsid w:val="00CB759E"/>
    <w:rsid w:val="00CC59A1"/>
    <w:rsid w:val="00CC6CA5"/>
    <w:rsid w:val="00CC6F54"/>
    <w:rsid w:val="00CD1473"/>
    <w:rsid w:val="00CD1BFF"/>
    <w:rsid w:val="00CD4D4D"/>
    <w:rsid w:val="00CE2B0C"/>
    <w:rsid w:val="00CE4827"/>
    <w:rsid w:val="00CE5C26"/>
    <w:rsid w:val="00CE760C"/>
    <w:rsid w:val="00CF542F"/>
    <w:rsid w:val="00CF724A"/>
    <w:rsid w:val="00D05F5D"/>
    <w:rsid w:val="00D06EB4"/>
    <w:rsid w:val="00D10B4A"/>
    <w:rsid w:val="00D10CB4"/>
    <w:rsid w:val="00D1163A"/>
    <w:rsid w:val="00D20F5E"/>
    <w:rsid w:val="00D23A03"/>
    <w:rsid w:val="00D265C6"/>
    <w:rsid w:val="00D2771F"/>
    <w:rsid w:val="00D35B2D"/>
    <w:rsid w:val="00D36AE2"/>
    <w:rsid w:val="00D40A95"/>
    <w:rsid w:val="00D41A97"/>
    <w:rsid w:val="00D43F1D"/>
    <w:rsid w:val="00D47739"/>
    <w:rsid w:val="00D47EA3"/>
    <w:rsid w:val="00D505F5"/>
    <w:rsid w:val="00D5213F"/>
    <w:rsid w:val="00D52E5E"/>
    <w:rsid w:val="00D53423"/>
    <w:rsid w:val="00D5580F"/>
    <w:rsid w:val="00D60CD5"/>
    <w:rsid w:val="00D615B5"/>
    <w:rsid w:val="00D65987"/>
    <w:rsid w:val="00D65AD1"/>
    <w:rsid w:val="00D674B8"/>
    <w:rsid w:val="00D713E4"/>
    <w:rsid w:val="00D7195F"/>
    <w:rsid w:val="00D74E8D"/>
    <w:rsid w:val="00D770C7"/>
    <w:rsid w:val="00D828F7"/>
    <w:rsid w:val="00D864E8"/>
    <w:rsid w:val="00D90DFE"/>
    <w:rsid w:val="00DA0B00"/>
    <w:rsid w:val="00DA1456"/>
    <w:rsid w:val="00DA299E"/>
    <w:rsid w:val="00DA3D66"/>
    <w:rsid w:val="00DA411D"/>
    <w:rsid w:val="00DA4579"/>
    <w:rsid w:val="00DA47BC"/>
    <w:rsid w:val="00DA4EF9"/>
    <w:rsid w:val="00DA5537"/>
    <w:rsid w:val="00DA6322"/>
    <w:rsid w:val="00DA77F7"/>
    <w:rsid w:val="00DB0D1A"/>
    <w:rsid w:val="00DB3561"/>
    <w:rsid w:val="00DB70B7"/>
    <w:rsid w:val="00DC01D8"/>
    <w:rsid w:val="00DD043E"/>
    <w:rsid w:val="00DE0A48"/>
    <w:rsid w:val="00DE557C"/>
    <w:rsid w:val="00DE6198"/>
    <w:rsid w:val="00DF074E"/>
    <w:rsid w:val="00DF258D"/>
    <w:rsid w:val="00DF264F"/>
    <w:rsid w:val="00DF38B1"/>
    <w:rsid w:val="00DF620D"/>
    <w:rsid w:val="00DF6D5A"/>
    <w:rsid w:val="00E0595C"/>
    <w:rsid w:val="00E069E8"/>
    <w:rsid w:val="00E120C3"/>
    <w:rsid w:val="00E12A75"/>
    <w:rsid w:val="00E134BA"/>
    <w:rsid w:val="00E21F50"/>
    <w:rsid w:val="00E22A96"/>
    <w:rsid w:val="00E23A39"/>
    <w:rsid w:val="00E2469D"/>
    <w:rsid w:val="00E2566D"/>
    <w:rsid w:val="00E26467"/>
    <w:rsid w:val="00E35F14"/>
    <w:rsid w:val="00E40E85"/>
    <w:rsid w:val="00E47645"/>
    <w:rsid w:val="00E51E0F"/>
    <w:rsid w:val="00E53138"/>
    <w:rsid w:val="00E53A9D"/>
    <w:rsid w:val="00E53AF7"/>
    <w:rsid w:val="00E54BE7"/>
    <w:rsid w:val="00E55E5B"/>
    <w:rsid w:val="00E60E89"/>
    <w:rsid w:val="00E61923"/>
    <w:rsid w:val="00E65380"/>
    <w:rsid w:val="00E65E8E"/>
    <w:rsid w:val="00E75BB1"/>
    <w:rsid w:val="00E764FE"/>
    <w:rsid w:val="00E7730F"/>
    <w:rsid w:val="00E83B17"/>
    <w:rsid w:val="00E86643"/>
    <w:rsid w:val="00E926BF"/>
    <w:rsid w:val="00E94431"/>
    <w:rsid w:val="00EB5154"/>
    <w:rsid w:val="00EC373B"/>
    <w:rsid w:val="00EC6F5F"/>
    <w:rsid w:val="00EC7063"/>
    <w:rsid w:val="00ED25B0"/>
    <w:rsid w:val="00EE0489"/>
    <w:rsid w:val="00EE0903"/>
    <w:rsid w:val="00EE39D7"/>
    <w:rsid w:val="00EE7712"/>
    <w:rsid w:val="00EF0A4F"/>
    <w:rsid w:val="00EF5368"/>
    <w:rsid w:val="00EF7158"/>
    <w:rsid w:val="00EF7E5E"/>
    <w:rsid w:val="00F0443F"/>
    <w:rsid w:val="00F12A99"/>
    <w:rsid w:val="00F14471"/>
    <w:rsid w:val="00F240CD"/>
    <w:rsid w:val="00F340CE"/>
    <w:rsid w:val="00F37CF3"/>
    <w:rsid w:val="00F40470"/>
    <w:rsid w:val="00F42026"/>
    <w:rsid w:val="00F4242B"/>
    <w:rsid w:val="00F44B6C"/>
    <w:rsid w:val="00F600A7"/>
    <w:rsid w:val="00F6507B"/>
    <w:rsid w:val="00F70A68"/>
    <w:rsid w:val="00F823C3"/>
    <w:rsid w:val="00F8401C"/>
    <w:rsid w:val="00F84719"/>
    <w:rsid w:val="00F856F7"/>
    <w:rsid w:val="00F864C3"/>
    <w:rsid w:val="00F91F58"/>
    <w:rsid w:val="00F9245D"/>
    <w:rsid w:val="00F9371B"/>
    <w:rsid w:val="00FA026E"/>
    <w:rsid w:val="00FA10C0"/>
    <w:rsid w:val="00FA38A0"/>
    <w:rsid w:val="00FA66C3"/>
    <w:rsid w:val="00FB0170"/>
    <w:rsid w:val="00FB522E"/>
    <w:rsid w:val="00FB590F"/>
    <w:rsid w:val="00FC10D9"/>
    <w:rsid w:val="00FC14CB"/>
    <w:rsid w:val="00FC24F8"/>
    <w:rsid w:val="00FC273F"/>
    <w:rsid w:val="00FC4595"/>
    <w:rsid w:val="00FC53FA"/>
    <w:rsid w:val="00FC7070"/>
    <w:rsid w:val="00FD671F"/>
    <w:rsid w:val="00FD6AF2"/>
    <w:rsid w:val="00FE4DD8"/>
    <w:rsid w:val="00FE64CC"/>
    <w:rsid w:val="00FF08EC"/>
    <w:rsid w:val="00FF7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611094"/>
  <w14:defaultImageDpi w14:val="300"/>
  <w15:docId w15:val="{1B4BC291-6575-48F6-AA6E-A849FFC2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6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6B7"/>
    <w:rPr>
      <w:rFonts w:ascii="Lucida Grande" w:hAnsi="Lucida Grande" w:cs="Lucida Grande"/>
      <w:sz w:val="18"/>
      <w:szCs w:val="18"/>
    </w:rPr>
  </w:style>
  <w:style w:type="paragraph" w:styleId="ListParagraph">
    <w:name w:val="List Paragraph"/>
    <w:basedOn w:val="Normal"/>
    <w:uiPriority w:val="34"/>
    <w:qFormat/>
    <w:rsid w:val="00E47645"/>
    <w:pPr>
      <w:ind w:left="720"/>
      <w:contextualSpacing/>
    </w:pPr>
  </w:style>
  <w:style w:type="table" w:styleId="TableGrid">
    <w:name w:val="Table Grid"/>
    <w:basedOn w:val="TableNormal"/>
    <w:uiPriority w:val="39"/>
    <w:rsid w:val="00C61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17AB"/>
    <w:rPr>
      <w:sz w:val="18"/>
      <w:szCs w:val="18"/>
    </w:rPr>
  </w:style>
  <w:style w:type="paragraph" w:styleId="CommentText">
    <w:name w:val="annotation text"/>
    <w:basedOn w:val="Normal"/>
    <w:link w:val="CommentTextChar"/>
    <w:uiPriority w:val="99"/>
    <w:unhideWhenUsed/>
    <w:rsid w:val="00C617AB"/>
  </w:style>
  <w:style w:type="character" w:customStyle="1" w:styleId="CommentTextChar">
    <w:name w:val="Comment Text Char"/>
    <w:basedOn w:val="DefaultParagraphFont"/>
    <w:link w:val="CommentText"/>
    <w:uiPriority w:val="99"/>
    <w:rsid w:val="00C617AB"/>
  </w:style>
  <w:style w:type="paragraph" w:styleId="CommentSubject">
    <w:name w:val="annotation subject"/>
    <w:basedOn w:val="CommentText"/>
    <w:next w:val="CommentText"/>
    <w:link w:val="CommentSubjectChar"/>
    <w:uiPriority w:val="99"/>
    <w:semiHidden/>
    <w:unhideWhenUsed/>
    <w:rsid w:val="00C617AB"/>
    <w:rPr>
      <w:b/>
      <w:bCs/>
      <w:sz w:val="20"/>
      <w:szCs w:val="20"/>
    </w:rPr>
  </w:style>
  <w:style w:type="character" w:customStyle="1" w:styleId="CommentSubjectChar">
    <w:name w:val="Comment Subject Char"/>
    <w:basedOn w:val="CommentTextChar"/>
    <w:link w:val="CommentSubject"/>
    <w:uiPriority w:val="99"/>
    <w:semiHidden/>
    <w:rsid w:val="00C617AB"/>
    <w:rPr>
      <w:b/>
      <w:bCs/>
      <w:sz w:val="20"/>
      <w:szCs w:val="20"/>
    </w:rPr>
  </w:style>
  <w:style w:type="character" w:styleId="Hyperlink">
    <w:name w:val="Hyperlink"/>
    <w:basedOn w:val="DefaultParagraphFont"/>
    <w:uiPriority w:val="99"/>
    <w:unhideWhenUsed/>
    <w:rsid w:val="001B4AC0"/>
    <w:rPr>
      <w:color w:val="0000FF" w:themeColor="hyperlink"/>
      <w:u w:val="single"/>
    </w:rPr>
  </w:style>
  <w:style w:type="paragraph" w:customStyle="1" w:styleId="EndNoteBibliography">
    <w:name w:val="EndNote Bibliography"/>
    <w:basedOn w:val="Normal"/>
    <w:link w:val="EndNoteBibliographyChar"/>
    <w:rsid w:val="00A331D1"/>
    <w:pPr>
      <w:spacing w:line="480" w:lineRule="auto"/>
    </w:pPr>
    <w:rPr>
      <w:rFonts w:ascii="Times New Roman" w:eastAsia="Calibri" w:hAnsi="Times New Roman" w:cs="Times New Roman"/>
      <w:noProof/>
    </w:rPr>
  </w:style>
  <w:style w:type="character" w:customStyle="1" w:styleId="EndNoteBibliographyChar">
    <w:name w:val="EndNote Bibliography Char"/>
    <w:basedOn w:val="DefaultParagraphFont"/>
    <w:link w:val="EndNoteBibliography"/>
    <w:rsid w:val="00A331D1"/>
    <w:rPr>
      <w:rFonts w:ascii="Times New Roman" w:eastAsia="Calibri" w:hAnsi="Times New Roman" w:cs="Times New Roman"/>
      <w:noProof/>
    </w:rPr>
  </w:style>
  <w:style w:type="character" w:styleId="FollowedHyperlink">
    <w:name w:val="FollowedHyperlink"/>
    <w:basedOn w:val="DefaultParagraphFont"/>
    <w:uiPriority w:val="99"/>
    <w:semiHidden/>
    <w:unhideWhenUsed/>
    <w:rsid w:val="0069213D"/>
    <w:rPr>
      <w:color w:val="800080" w:themeColor="followedHyperlink"/>
      <w:u w:val="single"/>
    </w:rPr>
  </w:style>
  <w:style w:type="paragraph" w:styleId="Footer">
    <w:name w:val="footer"/>
    <w:basedOn w:val="Normal"/>
    <w:link w:val="FooterChar"/>
    <w:uiPriority w:val="99"/>
    <w:unhideWhenUsed/>
    <w:rsid w:val="008F0683"/>
    <w:pPr>
      <w:tabs>
        <w:tab w:val="center" w:pos="4320"/>
        <w:tab w:val="right" w:pos="8640"/>
      </w:tabs>
    </w:pPr>
  </w:style>
  <w:style w:type="character" w:customStyle="1" w:styleId="FooterChar">
    <w:name w:val="Footer Char"/>
    <w:basedOn w:val="DefaultParagraphFont"/>
    <w:link w:val="Footer"/>
    <w:uiPriority w:val="99"/>
    <w:rsid w:val="008F0683"/>
  </w:style>
  <w:style w:type="character" w:styleId="PageNumber">
    <w:name w:val="page number"/>
    <w:basedOn w:val="DefaultParagraphFont"/>
    <w:uiPriority w:val="99"/>
    <w:semiHidden/>
    <w:unhideWhenUsed/>
    <w:rsid w:val="008F0683"/>
  </w:style>
  <w:style w:type="paragraph" w:styleId="Header">
    <w:name w:val="header"/>
    <w:basedOn w:val="Normal"/>
    <w:link w:val="HeaderChar"/>
    <w:uiPriority w:val="99"/>
    <w:unhideWhenUsed/>
    <w:rsid w:val="00802CE4"/>
    <w:pPr>
      <w:tabs>
        <w:tab w:val="center" w:pos="4320"/>
        <w:tab w:val="right" w:pos="8640"/>
      </w:tabs>
    </w:pPr>
  </w:style>
  <w:style w:type="character" w:customStyle="1" w:styleId="HeaderChar">
    <w:name w:val="Header Char"/>
    <w:basedOn w:val="DefaultParagraphFont"/>
    <w:link w:val="Header"/>
    <w:uiPriority w:val="99"/>
    <w:rsid w:val="00802CE4"/>
  </w:style>
  <w:style w:type="paragraph" w:styleId="FootnoteText">
    <w:name w:val="footnote text"/>
    <w:basedOn w:val="Normal"/>
    <w:link w:val="FootnoteTextChar"/>
    <w:uiPriority w:val="99"/>
    <w:unhideWhenUsed/>
    <w:rsid w:val="001D3D37"/>
  </w:style>
  <w:style w:type="character" w:customStyle="1" w:styleId="FootnoteTextChar">
    <w:name w:val="Footnote Text Char"/>
    <w:basedOn w:val="DefaultParagraphFont"/>
    <w:link w:val="FootnoteText"/>
    <w:uiPriority w:val="99"/>
    <w:rsid w:val="001D3D37"/>
  </w:style>
  <w:style w:type="character" w:styleId="FootnoteReference">
    <w:name w:val="footnote reference"/>
    <w:basedOn w:val="DefaultParagraphFont"/>
    <w:uiPriority w:val="99"/>
    <w:unhideWhenUsed/>
    <w:rsid w:val="001D3D37"/>
    <w:rPr>
      <w:vertAlign w:val="superscript"/>
    </w:rPr>
  </w:style>
  <w:style w:type="paragraph" w:styleId="Revision">
    <w:name w:val="Revision"/>
    <w:hidden/>
    <w:uiPriority w:val="99"/>
    <w:semiHidden/>
    <w:rsid w:val="00316DFC"/>
  </w:style>
  <w:style w:type="character" w:styleId="UnresolvedMention">
    <w:name w:val="Unresolved Mention"/>
    <w:basedOn w:val="DefaultParagraphFont"/>
    <w:uiPriority w:val="99"/>
    <w:semiHidden/>
    <w:unhideWhenUsed/>
    <w:rsid w:val="00011528"/>
    <w:rPr>
      <w:color w:val="605E5C"/>
      <w:shd w:val="clear" w:color="auto" w:fill="E1DFDD"/>
    </w:rPr>
  </w:style>
  <w:style w:type="paragraph" w:styleId="NormalWeb">
    <w:name w:val="Normal (Web)"/>
    <w:basedOn w:val="Normal"/>
    <w:uiPriority w:val="99"/>
    <w:unhideWhenUsed/>
    <w:rsid w:val="00945A8A"/>
    <w:pPr>
      <w:spacing w:before="100" w:beforeAutospacing="1" w:after="100" w:afterAutospacing="1"/>
    </w:pPr>
    <w:rPr>
      <w:rFonts w:ascii="Times New Roman" w:eastAsia="Times New Roman" w:hAnsi="Times New Roman" w:cs="Times New Roman"/>
    </w:rPr>
  </w:style>
  <w:style w:type="paragraph" w:customStyle="1" w:styleId="dx-doi">
    <w:name w:val="dx-doi"/>
    <w:basedOn w:val="Normal"/>
    <w:rsid w:val="00945A8A"/>
    <w:pPr>
      <w:spacing w:before="100" w:beforeAutospacing="1" w:after="100" w:afterAutospacing="1"/>
    </w:pPr>
    <w:rPr>
      <w:rFonts w:ascii="Times New Roman" w:eastAsia="Times New Roman" w:hAnsi="Times New Roman" w:cs="Times New Roman"/>
    </w:rPr>
  </w:style>
  <w:style w:type="table" w:styleId="PlainTable4">
    <w:name w:val="Plain Table 4"/>
    <w:basedOn w:val="TableNormal"/>
    <w:uiPriority w:val="99"/>
    <w:rsid w:val="000608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847980">
      <w:bodyDiv w:val="1"/>
      <w:marLeft w:val="0"/>
      <w:marRight w:val="0"/>
      <w:marTop w:val="0"/>
      <w:marBottom w:val="0"/>
      <w:divBdr>
        <w:top w:val="none" w:sz="0" w:space="0" w:color="auto"/>
        <w:left w:val="none" w:sz="0" w:space="0" w:color="auto"/>
        <w:bottom w:val="none" w:sz="0" w:space="0" w:color="auto"/>
        <w:right w:val="none" w:sz="0" w:space="0" w:color="auto"/>
      </w:divBdr>
      <w:divsChild>
        <w:div w:id="1861971950">
          <w:marLeft w:val="0"/>
          <w:marRight w:val="0"/>
          <w:marTop w:val="0"/>
          <w:marBottom w:val="0"/>
          <w:divBdr>
            <w:top w:val="none" w:sz="0" w:space="0" w:color="auto"/>
            <w:left w:val="none" w:sz="0" w:space="0" w:color="auto"/>
            <w:bottom w:val="none" w:sz="0" w:space="0" w:color="auto"/>
            <w:right w:val="none" w:sz="0" w:space="0" w:color="auto"/>
          </w:divBdr>
        </w:div>
      </w:divsChild>
    </w:div>
    <w:div w:id="676729622">
      <w:bodyDiv w:val="1"/>
      <w:marLeft w:val="0"/>
      <w:marRight w:val="0"/>
      <w:marTop w:val="0"/>
      <w:marBottom w:val="0"/>
      <w:divBdr>
        <w:top w:val="none" w:sz="0" w:space="0" w:color="auto"/>
        <w:left w:val="none" w:sz="0" w:space="0" w:color="auto"/>
        <w:bottom w:val="none" w:sz="0" w:space="0" w:color="auto"/>
        <w:right w:val="none" w:sz="0" w:space="0" w:color="auto"/>
      </w:divBdr>
      <w:divsChild>
        <w:div w:id="972559833">
          <w:marLeft w:val="0"/>
          <w:marRight w:val="0"/>
          <w:marTop w:val="0"/>
          <w:marBottom w:val="0"/>
          <w:divBdr>
            <w:top w:val="none" w:sz="0" w:space="0" w:color="auto"/>
            <w:left w:val="none" w:sz="0" w:space="0" w:color="auto"/>
            <w:bottom w:val="none" w:sz="0" w:space="0" w:color="auto"/>
            <w:right w:val="none" w:sz="0" w:space="0" w:color="auto"/>
          </w:divBdr>
          <w:divsChild>
            <w:div w:id="856041459">
              <w:marLeft w:val="0"/>
              <w:marRight w:val="0"/>
              <w:marTop w:val="0"/>
              <w:marBottom w:val="0"/>
              <w:divBdr>
                <w:top w:val="none" w:sz="0" w:space="0" w:color="auto"/>
                <w:left w:val="none" w:sz="0" w:space="0" w:color="auto"/>
                <w:bottom w:val="none" w:sz="0" w:space="0" w:color="auto"/>
                <w:right w:val="none" w:sz="0" w:space="0" w:color="auto"/>
              </w:divBdr>
              <w:divsChild>
                <w:div w:id="18738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1119">
      <w:bodyDiv w:val="1"/>
      <w:marLeft w:val="0"/>
      <w:marRight w:val="0"/>
      <w:marTop w:val="0"/>
      <w:marBottom w:val="0"/>
      <w:divBdr>
        <w:top w:val="none" w:sz="0" w:space="0" w:color="auto"/>
        <w:left w:val="none" w:sz="0" w:space="0" w:color="auto"/>
        <w:bottom w:val="none" w:sz="0" w:space="0" w:color="auto"/>
        <w:right w:val="none" w:sz="0" w:space="0" w:color="auto"/>
      </w:divBdr>
      <w:divsChild>
        <w:div w:id="294533699">
          <w:marLeft w:val="0"/>
          <w:marRight w:val="0"/>
          <w:marTop w:val="0"/>
          <w:marBottom w:val="0"/>
          <w:divBdr>
            <w:top w:val="none" w:sz="0" w:space="0" w:color="auto"/>
            <w:left w:val="none" w:sz="0" w:space="0" w:color="auto"/>
            <w:bottom w:val="none" w:sz="0" w:space="0" w:color="auto"/>
            <w:right w:val="none" w:sz="0" w:space="0" w:color="auto"/>
          </w:divBdr>
        </w:div>
      </w:divsChild>
    </w:div>
    <w:div w:id="1217082912">
      <w:bodyDiv w:val="1"/>
      <w:marLeft w:val="0"/>
      <w:marRight w:val="0"/>
      <w:marTop w:val="0"/>
      <w:marBottom w:val="0"/>
      <w:divBdr>
        <w:top w:val="none" w:sz="0" w:space="0" w:color="auto"/>
        <w:left w:val="none" w:sz="0" w:space="0" w:color="auto"/>
        <w:bottom w:val="none" w:sz="0" w:space="0" w:color="auto"/>
        <w:right w:val="none" w:sz="0" w:space="0" w:color="auto"/>
      </w:divBdr>
    </w:div>
    <w:div w:id="1505559010">
      <w:bodyDiv w:val="1"/>
      <w:marLeft w:val="0"/>
      <w:marRight w:val="0"/>
      <w:marTop w:val="0"/>
      <w:marBottom w:val="0"/>
      <w:divBdr>
        <w:top w:val="none" w:sz="0" w:space="0" w:color="auto"/>
        <w:left w:val="none" w:sz="0" w:space="0" w:color="auto"/>
        <w:bottom w:val="none" w:sz="0" w:space="0" w:color="auto"/>
        <w:right w:val="none" w:sz="0" w:space="0" w:color="auto"/>
      </w:divBdr>
      <w:divsChild>
        <w:div w:id="1025836895">
          <w:marLeft w:val="0"/>
          <w:marRight w:val="0"/>
          <w:marTop w:val="0"/>
          <w:marBottom w:val="0"/>
          <w:divBdr>
            <w:top w:val="none" w:sz="0" w:space="0" w:color="auto"/>
            <w:left w:val="none" w:sz="0" w:space="0" w:color="auto"/>
            <w:bottom w:val="none" w:sz="0" w:space="0" w:color="auto"/>
            <w:right w:val="none" w:sz="0" w:space="0" w:color="auto"/>
          </w:divBdr>
          <w:divsChild>
            <w:div w:id="1138379282">
              <w:marLeft w:val="0"/>
              <w:marRight w:val="0"/>
              <w:marTop w:val="0"/>
              <w:marBottom w:val="0"/>
              <w:divBdr>
                <w:top w:val="none" w:sz="0" w:space="0" w:color="auto"/>
                <w:left w:val="none" w:sz="0" w:space="0" w:color="auto"/>
                <w:bottom w:val="none" w:sz="0" w:space="0" w:color="auto"/>
                <w:right w:val="none" w:sz="0" w:space="0" w:color="auto"/>
              </w:divBdr>
              <w:divsChild>
                <w:div w:id="874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41512">
      <w:bodyDiv w:val="1"/>
      <w:marLeft w:val="0"/>
      <w:marRight w:val="0"/>
      <w:marTop w:val="0"/>
      <w:marBottom w:val="0"/>
      <w:divBdr>
        <w:top w:val="none" w:sz="0" w:space="0" w:color="auto"/>
        <w:left w:val="none" w:sz="0" w:space="0" w:color="auto"/>
        <w:bottom w:val="none" w:sz="0" w:space="0" w:color="auto"/>
        <w:right w:val="none" w:sz="0" w:space="0" w:color="auto"/>
      </w:divBdr>
      <w:divsChild>
        <w:div w:id="96874306">
          <w:marLeft w:val="0"/>
          <w:marRight w:val="0"/>
          <w:marTop w:val="0"/>
          <w:marBottom w:val="0"/>
          <w:divBdr>
            <w:top w:val="none" w:sz="0" w:space="0" w:color="auto"/>
            <w:left w:val="none" w:sz="0" w:space="0" w:color="auto"/>
            <w:bottom w:val="none" w:sz="0" w:space="0" w:color="auto"/>
            <w:right w:val="none" w:sz="0" w:space="0" w:color="auto"/>
          </w:divBdr>
        </w:div>
      </w:divsChild>
    </w:div>
    <w:div w:id="1703822068">
      <w:bodyDiv w:val="1"/>
      <w:marLeft w:val="0"/>
      <w:marRight w:val="0"/>
      <w:marTop w:val="0"/>
      <w:marBottom w:val="0"/>
      <w:divBdr>
        <w:top w:val="none" w:sz="0" w:space="0" w:color="auto"/>
        <w:left w:val="none" w:sz="0" w:space="0" w:color="auto"/>
        <w:bottom w:val="none" w:sz="0" w:space="0" w:color="auto"/>
        <w:right w:val="none" w:sz="0" w:space="0" w:color="auto"/>
      </w:divBdr>
      <w:divsChild>
        <w:div w:id="1831558521">
          <w:marLeft w:val="0"/>
          <w:marRight w:val="0"/>
          <w:marTop w:val="0"/>
          <w:marBottom w:val="0"/>
          <w:divBdr>
            <w:top w:val="none" w:sz="0" w:space="0" w:color="auto"/>
            <w:left w:val="none" w:sz="0" w:space="0" w:color="auto"/>
            <w:bottom w:val="none" w:sz="0" w:space="0" w:color="auto"/>
            <w:right w:val="none" w:sz="0" w:space="0" w:color="auto"/>
          </w:divBdr>
        </w:div>
        <w:div w:id="192621364">
          <w:marLeft w:val="0"/>
          <w:marRight w:val="0"/>
          <w:marTop w:val="0"/>
          <w:marBottom w:val="0"/>
          <w:divBdr>
            <w:top w:val="none" w:sz="0" w:space="0" w:color="auto"/>
            <w:left w:val="none" w:sz="0" w:space="0" w:color="auto"/>
            <w:bottom w:val="none" w:sz="0" w:space="0" w:color="auto"/>
            <w:right w:val="none" w:sz="0" w:space="0" w:color="auto"/>
          </w:divBdr>
        </w:div>
        <w:div w:id="1871648307">
          <w:marLeft w:val="0"/>
          <w:marRight w:val="0"/>
          <w:marTop w:val="0"/>
          <w:marBottom w:val="0"/>
          <w:divBdr>
            <w:top w:val="none" w:sz="0" w:space="0" w:color="auto"/>
            <w:left w:val="none" w:sz="0" w:space="0" w:color="auto"/>
            <w:bottom w:val="none" w:sz="0" w:space="0" w:color="auto"/>
            <w:right w:val="none" w:sz="0" w:space="0" w:color="auto"/>
          </w:divBdr>
        </w:div>
        <w:div w:id="610167870">
          <w:marLeft w:val="0"/>
          <w:marRight w:val="0"/>
          <w:marTop w:val="0"/>
          <w:marBottom w:val="0"/>
          <w:divBdr>
            <w:top w:val="none" w:sz="0" w:space="0" w:color="auto"/>
            <w:left w:val="none" w:sz="0" w:space="0" w:color="auto"/>
            <w:bottom w:val="none" w:sz="0" w:space="0" w:color="auto"/>
            <w:right w:val="none" w:sz="0" w:space="0" w:color="auto"/>
          </w:divBdr>
        </w:div>
        <w:div w:id="840007221">
          <w:marLeft w:val="0"/>
          <w:marRight w:val="0"/>
          <w:marTop w:val="0"/>
          <w:marBottom w:val="0"/>
          <w:divBdr>
            <w:top w:val="none" w:sz="0" w:space="0" w:color="auto"/>
            <w:left w:val="none" w:sz="0" w:space="0" w:color="auto"/>
            <w:bottom w:val="none" w:sz="0" w:space="0" w:color="auto"/>
            <w:right w:val="none" w:sz="0" w:space="0" w:color="auto"/>
          </w:divBdr>
        </w:div>
        <w:div w:id="1501306904">
          <w:marLeft w:val="0"/>
          <w:marRight w:val="0"/>
          <w:marTop w:val="0"/>
          <w:marBottom w:val="0"/>
          <w:divBdr>
            <w:top w:val="none" w:sz="0" w:space="0" w:color="auto"/>
            <w:left w:val="none" w:sz="0" w:space="0" w:color="auto"/>
            <w:bottom w:val="none" w:sz="0" w:space="0" w:color="auto"/>
            <w:right w:val="none" w:sz="0" w:space="0" w:color="auto"/>
          </w:divBdr>
        </w:div>
        <w:div w:id="1337078284">
          <w:marLeft w:val="0"/>
          <w:marRight w:val="0"/>
          <w:marTop w:val="0"/>
          <w:marBottom w:val="0"/>
          <w:divBdr>
            <w:top w:val="none" w:sz="0" w:space="0" w:color="auto"/>
            <w:left w:val="none" w:sz="0" w:space="0" w:color="auto"/>
            <w:bottom w:val="none" w:sz="0" w:space="0" w:color="auto"/>
            <w:right w:val="none" w:sz="0" w:space="0" w:color="auto"/>
          </w:divBdr>
        </w:div>
        <w:div w:id="267352561">
          <w:marLeft w:val="0"/>
          <w:marRight w:val="0"/>
          <w:marTop w:val="0"/>
          <w:marBottom w:val="0"/>
          <w:divBdr>
            <w:top w:val="none" w:sz="0" w:space="0" w:color="auto"/>
            <w:left w:val="none" w:sz="0" w:space="0" w:color="auto"/>
            <w:bottom w:val="none" w:sz="0" w:space="0" w:color="auto"/>
            <w:right w:val="none" w:sz="0" w:space="0" w:color="auto"/>
          </w:divBdr>
        </w:div>
        <w:div w:id="89135562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tea.21630"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00/JOER.100.1.3-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D4E52F-685D-584D-9679-AFE4C8F0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15019</Words>
  <Characters>76903</Characters>
  <Application>Microsoft Office Word</Application>
  <DocSecurity>0</DocSecurity>
  <Lines>1424</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Schmidt</dc:creator>
  <cp:keywords/>
  <dc:description/>
  <cp:lastModifiedBy>Rosenberg, Joshua</cp:lastModifiedBy>
  <cp:revision>4</cp:revision>
  <cp:lastPrinted>2020-05-09T10:44:00Z</cp:lastPrinted>
  <dcterms:created xsi:type="dcterms:W3CDTF">2020-05-09T10:44:00Z</dcterms:created>
  <dcterms:modified xsi:type="dcterms:W3CDTF">2020-05-09T10:48:00Z</dcterms:modified>
</cp:coreProperties>
</file>