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Kenya recipient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355"/>
        <w:gridCol w:w="1328"/>
        <w:gridCol w:w="1328"/>
        <w:gridCol w:w="1132"/>
        <w:gridCol w:w="826"/>
        <w:gridCol w:w="1022"/>
        <w:gridCol w:w="875"/>
      </w:tblGrid>
      <w:tr>
        <w:trPr>
          <w:cantSplit/>
          <w:trHeight w:val="414"/>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0.633</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0.482</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Holds savings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Consumption (Ksh.)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2514.973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2836.776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r>
        <w:trPr>
          <w:cantSplit/>
          <w:trHeight w:val="45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Income (Ksh.)</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8661.965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8454.937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33.143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Completed std. 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Unemployed</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9.610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8.493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8.725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565</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primary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8.858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8.338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8.534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1.376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-1.956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8.695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106.436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0.597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0.668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2.562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3.384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3.604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6.000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564</w:t>
            </w:r>
          </w:p>
        </w:tc>
      </w:tr>
      <w:tr>
        <w:trPr>
          <w:cantSplit/>
          <w:trHeight w:val="360"/>
        </w:trPr>
        <w:tc>
          <w:tcPr>
            <w:gridSpan w:val="8"/>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female, for having completed primary schooling, above median age, and unemployment status.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0.703</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14.549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primary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-46.545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26.499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0.314</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15.038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24.508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of videos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Amount saved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-61.583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24.195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Recorded message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0.883</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0.941</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completion of primary schooling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0.997</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Self-Efficacy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Stigma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Affect (avg.)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status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Anticipated social mobility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Message support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Query ordering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0.217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Forecasting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tblHeader/>
        </w:trPr>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Hypothesis</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trPr>
        <w:tc>
          <w:tcPr>
            <w:tcBorders>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Controlling for own treatment assignment</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Community = Poverty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Individual = Community</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1695</w:t>
            </w:r>
          </w:p>
        </w:tc>
      </w:tr>
      <w:tr>
        <w:trPr>
          <w:cantSplit/>
          <w:trHeight w:val="360"/>
        </w:trPr>
        <w:tc>
          <w:tcPr>
            <w:gridSpan w:val="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2019-10-16T22:54:44Z</dcterms:modified>
  <cp:category/>
</cp:coreProperties>
</file>