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Forecasting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Hypothesis</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Controlling for own treatment assignment</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2020-02-13T09:30:32Z</dcterms:modified>
  <cp:category/>
</cp:coreProperties>
</file>