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Forecasting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Hypothesis</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Controlling for own treatment assignment</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2019-11-10T23:26:01Z</dcterms:modified>
  <cp:category/>
</cp:coreProperties>
</file>