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Pre-specified data analysis for Kenya recipient experiment (study 1)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Summary of sample sociodemographic characteristics for study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55"/>
        <w:gridCol w:w="1328"/>
        <w:gridCol w:w="1328"/>
        <w:gridCol w:w="1132"/>
        <w:gridCol w:w="826"/>
        <w:gridCol w:w="1022"/>
        <w:gridCol w:w="875"/>
      </w:tblGrid>
      <w:tr>
        <w:trPr>
          <w:cantSplit/>
          <w:trHeight w:val="414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Std. dev.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Min.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Max.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Obs.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0.633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0.482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564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Completed std. 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 savings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(Ksh.)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2514.973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2836.776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Income (Ksh.)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8661.965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8454.937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80000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Balance checks on subject demographic characteristics for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Equivalence tests on primary outcomes for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Treatment effects on primary outcomes for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Treatment effects on secondary outcomes for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Treatment effects on primary outcomes with covariate adjustment for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Treatment effects on secondary outcomes with covariate adjustment for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2020-02-25T19:20:34Z</dcterms:modified>
  <cp:category/>
</cp:coreProperties>
</file>