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32"/>
          <w:szCs w:val="32"/>
          <w:color w:val="000000"/>
        </w:rPr>
        <w:t xml:space="preserve">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044"/>
        <w:gridCol w:w="1161"/>
        <w:gridCol w:w="1161"/>
        <w:gridCol w:w="1022"/>
        <w:gridCol w:w="794"/>
        <w:gridCol w:w="911"/>
        <w:gridCol w:w="783"/>
      </w:tblGrid>
      <w:tr>
        <w:trPr>
          <w:cantSplit/>
          <w:trHeight w:val="393"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9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29"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3"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43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-0.085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0.689</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jc w:val="both"/>
        <w:spacing w:after="0" w:before="0"/>
        <w:ind w:firstLine="0" w:left="0" w:right="0"/>
      </w:pPr>
      <w:r>
        <w:rPr>
          <w:rFonts w:ascii="Times New Roman" w:hAnsi="Times New Roman" w:eastAsia="Times New Roman" w:cs="Times New Roman"/>
          <w:sz w:val="24"/>
          <w:szCs w:val="24"/>
          <w:color w:val="000000"/>
        </w:rP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04"/>
        <w:gridCol w:w="1152"/>
        <w:gridCol w:w="1152"/>
        <w:gridCol w:w="1152"/>
        <w:gridCol w:w="1152"/>
        <w:gridCol w:w="864"/>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0"/>
                <w:szCs w:val="20"/>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2020-03-03T12:09:08Z</dcterms:modified>
  <cp:category/>
</cp:coreProperties>
</file>