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US donor experiment (study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38"/>
        <w:gridCol w:w="1451"/>
        <w:gridCol w:w="1451"/>
        <w:gridCol w:w="1132"/>
        <w:gridCol w:w="1022"/>
        <w:gridCol w:w="1145"/>
        <w:gridCol w:w="900"/>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Prior donor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57318.148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36685.380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Balance checks on subject demographic characteristics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4986.927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2445.085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4551.955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2386.302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434.972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2470.711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58716.814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-3.797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-3.414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-8.062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4.187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1.679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prior donor status (have made a prior donation)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income (above $31,305)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social class (parents are college-educated)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religiosity (some religiosity or greater)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political affiliation (Democrat) for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2020-02-25T20:05:50Z</dcterms:modified>
  <cp:category/>
</cp:coreProperties>
</file>