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bookmarkStart w:id="20" w:name="course-objectives"/>
    <w:p>
      <w:pPr>
        <w:pStyle w:val="Heading2"/>
      </w:pPr>
      <w:r>
        <w:t xml:space="preserve">1.1 Course Objectives</w:t>
      </w:r>
    </w:p>
    <w:p>
      <w:pPr>
        <w:pStyle w:val="FirstParagraph"/>
      </w:pPr>
      <w:r>
        <w:t xml:space="preserve">More specifically, students who successfully complete this course should be able to…</w:t>
      </w:r>
    </w:p>
    <w:p>
      <w:pPr>
        <w:pStyle w:val="Compact"/>
        <w:numPr>
          <w:ilvl w:val="0"/>
          <w:numId w:val="1001"/>
        </w:numPr>
      </w:pPr>
      <w:r>
        <w:t xml:space="preserve">demonstrate introductory knowledge of statistical programming.</w:t>
      </w:r>
    </w:p>
    <w:p>
      <w:pPr>
        <w:pStyle w:val="Compact"/>
        <w:numPr>
          <w:ilvl w:val="0"/>
          <w:numId w:val="1001"/>
        </w:numPr>
      </w:pPr>
      <w:r>
        <w:t xml:space="preserve">select and compute descriptive and basic inferential statistics using R.</w:t>
      </w:r>
    </w:p>
    <w:p>
      <w:pPr>
        <w:pStyle w:val="Compact"/>
        <w:numPr>
          <w:ilvl w:val="0"/>
          <w:numId w:val="1001"/>
        </w:numPr>
      </w:pPr>
      <w:r>
        <w:t xml:space="preserve">read and interpret basic statistics as they appear in academic publications.</w:t>
      </w:r>
    </w:p>
    <w:p>
      <w:pPr>
        <w:pStyle w:val="Compact"/>
        <w:numPr>
          <w:ilvl w:val="0"/>
          <w:numId w:val="1001"/>
        </w:numPr>
      </w:pPr>
      <w:r>
        <w:t xml:space="preserve">communicate statistical methods and findings through reproducible reports and oral presentations.</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course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8" w:name="course-design"/>
    <w:p>
      <w:pPr>
        <w:pStyle w:val="Heading1"/>
      </w:pPr>
      <w:r>
        <w:t xml:space="preserve">3. Course Design</w:t>
      </w:r>
    </w:p>
    <w:p>
      <w:pPr>
        <w:pStyle w:val="FirstParagraph"/>
      </w:pPr>
      <w:r>
        <w:t xml:space="preserve">This course consists of three components: a self-paced online tutorial delivered asynchoronously, a two-hour in-person interactive lecture, and a one-hour lab.</w:t>
      </w:r>
    </w:p>
    <w:p>
      <w:pPr>
        <w:pStyle w:val="BodyText"/>
      </w:pPr>
      <w:r>
        <w:rPr>
          <w:b/>
          <w:bCs/>
        </w:rPr>
        <w:t xml:space="preserve">Online Tutorial:</w:t>
      </w:r>
      <w:r>
        <w:t xml:space="preserve"> </w:t>
      </w:r>
      <w:r>
        <w:t xml:space="preserve">Before most classes, there will be an online tutorial to complete at your own pace. The link to the tutorial will be available on Quercus. The asyhcnonous online tutorials will contain self-check questions (not for credit).</w:t>
      </w:r>
    </w:p>
    <w:p>
      <w:pPr>
        <w:pStyle w:val="BodyText"/>
      </w:pPr>
      <w:r>
        <w:t xml:space="preserve">It is easy to get lost in a course where each week’s content builds on the material of previous weeks. It is crucial to keep up with the tutorials regularly to help you stay on track.</w:t>
      </w:r>
    </w:p>
    <w:p>
      <w:pPr>
        <w:pStyle w:val="BodyText"/>
      </w:pPr>
      <w:r>
        <w:rPr>
          <w:b/>
          <w:bCs/>
        </w:rPr>
        <w:t xml:space="preserve">Interactive Lecture</w:t>
      </w:r>
      <w:r>
        <w:t xml:space="preserve">: The in-person interactive lecture consists of two parts. In the first part, I will ask and solicit questions about the week’s tutorial, focusing on any points of confusion or tricky components. In the second part, we will cover the R code and dataset. Make sure to bring a laptop computer, as you are expected to interact and program along.</w:t>
      </w:r>
    </w:p>
    <w:p>
      <w:pPr>
        <w:pStyle w:val="BodyText"/>
      </w:pPr>
      <w:r>
        <w:rPr>
          <w:b/>
          <w:bCs/>
        </w:rPr>
        <w:t xml:space="preserve">Lab:</w:t>
      </w:r>
      <w:r>
        <w:t xml:space="preserve"> </w:t>
      </w:r>
      <w:r>
        <w:t xml:space="preserve">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week’s milestone, then you are expected to help other students during the lab or work on your research brief (attendance in mandatory).</w:t>
      </w:r>
    </w:p>
    <w:bookmarkStart w:id="27" w:name="components"/>
    <w:p>
      <w:pPr>
        <w:pStyle w:val="Heading2"/>
      </w:pPr>
      <w:r>
        <w:t xml:space="preserve">3.1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End w:id="28"/>
    <w:bookmarkStart w:id="29"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Lab</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Frequency, Central Tendency, &amp; 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Maniuplating variables/descriptive stats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Sampling/Normal distribution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Manipulating datasets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Estimation &amp; Confidence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18BC9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9"/>
    <w:bookmarkStart w:id="36" w:name="evaluation"/>
    <w:p>
      <w:pPr>
        <w:pStyle w:val="Heading1"/>
      </w:pPr>
      <w:r>
        <w:t xml:space="preserve">5. Evaluation</w:t>
      </w:r>
    </w:p>
    <w:bookmarkStart w:id="30"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30"/>
    <w:bookmarkStart w:id="31"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1"/>
    <w:bookmarkStart w:id="32"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2"/>
    <w:bookmarkStart w:id="33"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3"/>
    <w:bookmarkStart w:id="35" w:name="grading-scale"/>
    <w:p>
      <w:pPr>
        <w:pStyle w:val="Heading2"/>
      </w:pPr>
      <w:r>
        <w:t xml:space="preserve">5.5 Grading Scale</w:t>
      </w:r>
    </w:p>
    <w:p>
      <w:pPr>
        <w:pStyle w:val="FirstParagraph"/>
      </w:pPr>
      <w:r>
        <w:t xml:space="preserve">Final grades will adhere to the</w:t>
      </w:r>
      <w:r>
        <w:t xml:space="preserve"> </w:t>
      </w:r>
      <w:hyperlink r:id="rId34">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5"/>
    <w:bookmarkEnd w:id="36"/>
    <w:bookmarkStart w:id="49" w:name="course-policies"/>
    <w:p>
      <w:pPr>
        <w:pStyle w:val="Heading1"/>
      </w:pPr>
      <w:r>
        <w:t xml:space="preserve">6. Course Policies</w:t>
      </w:r>
    </w:p>
    <w:bookmarkStart w:id="37"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7"/>
    <w:bookmarkStart w:id="38"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8"/>
    <w:bookmarkStart w:id="40"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9">
        <w:r>
          <w:rPr>
            <w:rStyle w:val="Hyperlink"/>
          </w:rPr>
          <w:t xml:space="preserve">Code of Behaviour on Academic Matters</w:t>
        </w:r>
      </w:hyperlink>
      <w:r>
        <w:t xml:space="preserve"> </w:t>
      </w:r>
      <w:r>
        <w:t xml:space="preserve">for specific information on academic integrity at UofT.</w:t>
      </w:r>
    </w:p>
    <w:bookmarkEnd w:id="40"/>
    <w:bookmarkStart w:id="43"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1">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2">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3"/>
    <w:bookmarkStart w:id="44"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4"/>
    <w:bookmarkStart w:id="46"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5">
        <w:r>
          <w:rPr>
            <w:rStyle w:val="Hyperlink"/>
          </w:rPr>
          <w:t xml:space="preserve">http://studentlife.utoronto.ca/as</w:t>
        </w:r>
      </w:hyperlink>
      <w:r>
        <w:t xml:space="preserve"> </w:t>
      </w:r>
      <w:r>
        <w:t xml:space="preserve">as soon as possible.</w:t>
      </w:r>
    </w:p>
    <w:bookmarkEnd w:id="46"/>
    <w:bookmarkStart w:id="48"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7">
        <w:r>
          <w:rPr>
            <w:rStyle w:val="Hyperlink"/>
          </w:rPr>
          <w:t xml:space="preserve">http://equity.hrandequity.utoronto.ca</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2025-07-23T18:17:26Z</dcterms:created>
  <dcterms:modified xsi:type="dcterms:W3CDTF">2025-07-23T18:17:26Z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