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Isolation, Purification, and Structural Analysis of Green Fluorescent Protein (GFP)</w:t>
      </w:r>
    </w:p>
    <w:p>
      <w:pPr>
        <w:jc w:val="center"/>
      </w:pPr>
      <w:r>
        <w:rPr>
          <w:sz w:val="24"/>
        </w:rPr>
        <w:t>Justin Raymond Pena</w:t>
        <w:br/>
        <w:t>Texas A&amp;M University-Corpus Christi</w:t>
        <w:br/>
        <w:t>Biochemistry II</w:t>
      </w:r>
    </w:p>
    <w:p>
      <w:r>
        <w:br w:type="page"/>
      </w:r>
    </w:p>
    <w:p>
      <w:pPr>
        <w:pStyle w:val="Heading1"/>
      </w:pPr>
      <w:r>
        <w:t>Abstract</w:t>
      </w:r>
    </w:p>
    <w:p>
      <w:r>
        <w:t>This cumulative project focused on the transformation, induction, purification, and molecular analysis of Green Fluorescent Protein (GFP). E. coli cells were transformed with the pGLO plasmid, which contains the GFP gene regulated by an arabinose-inducible operon and an ampicillin resistance marker. Following successful transformation and induction, the cells were lysed, and GFP was purified utilizing Hydrophobic Interaction Chromatography (HIC). The structural integrity and purity of the isolated protein were then evaluated using SDS-PAGE. Gel electrophoresis confirmed the presence of a distinct band corresponding to the theoretical ~27 kDa molecular weight of GFP, indicating a successful purification process.</w:t>
      </w:r>
    </w:p>
    <w:p>
      <w:pPr>
        <w:pStyle w:val="Heading1"/>
      </w:pPr>
      <w:r>
        <w:t>Introduction</w:t>
      </w:r>
    </w:p>
    <w:p>
      <w:r>
        <w:t>Green Fluorescent Protein (GFP) is a highly versatile reporter gene originally isolated from the jellyfish Aequorea victoria. Its unique beta-barrel structure protects the internal fluorophore, allowing it to emit green light when exposed to UV radiation. In this lab series, we utilized the pGLO plasmid system to express GFP in E. coli. The pGLO plasmid is engineered with a bla gene for ampicillin resistance, ensuring that only successfully transformed bacteria survive on treated agar plates. Furthermore, the GFP gene is placed downstream of an arabinose promoter (araBAD). This means GFP is only transcribed and translated when the simple sugar arabinose is present in the growth medium.</w:t>
      </w:r>
    </w:p>
    <w:p>
      <w:r>
        <w:t>The overarching goal of these experiments was to take the project from the initial genetic level (PCR, restriction enzyme digests, and sequencing) all the way to protein expression and isolation. By employing HIC, we exploited the highly hydrophobic nature of GFP under high-salt conditions to separate it from other endogenous E. coli proteins. Finally, SDS-PAGE was used to map the migration distance of the purified samples against a standard ladder to verify the mass and purity of the final product.</w:t>
      </w:r>
    </w:p>
    <w:p>
      <w:pPr>
        <w:pStyle w:val="Heading1"/>
      </w:pPr>
      <w:r>
        <w:t>Materials and Methods</w:t>
      </w:r>
    </w:p>
    <w:p>
      <w:r>
        <w:t>The procedures for this project followed the standardized protocols provided in the Biochemistry II lab manuals (Labs 1 through 12). Key phases included:</w:t>
      </w:r>
    </w:p>
    <w:p>
      <w:pPr>
        <w:pStyle w:val="ListBullet"/>
      </w:pPr>
      <w:r>
        <w:t>DNA &amp; Plasmid Analysis: PCR was used to amplify the target sequences, followed by agarose gel electrophoresis to confirm fragment sizes. Restriction enzyme mapping and bioinformatics databases were utilized for structural analysis.</w:t>
      </w:r>
    </w:p>
    <w:p>
      <w:pPr>
        <w:pStyle w:val="ListBullet"/>
      </w:pPr>
      <w:r>
        <w:t>Transformation &amp; Induction: Competent E. coli cells were transformed with pGLO via heat shock. Transformants were selected on LB/ampicillin/arabinose plates. Broth cultures were then inoculated and induced to produce GFP.</w:t>
      </w:r>
    </w:p>
    <w:p>
      <w:pPr>
        <w:pStyle w:val="ListBullet"/>
      </w:pPr>
      <w:r>
        <w:t>Purification (HIC): Induced bacterial pellets were lysed using lysozyme and freezing/thawing. The lysate was passed through a Hydrophobic Interaction Chromatography column. High-salt binding buffer promoted GFP binding to the matrix, while subsequent lower-salt wash and elution buffers released the purified GFP.</w:t>
      </w:r>
    </w:p>
    <w:p>
      <w:pPr>
        <w:pStyle w:val="ListBullet"/>
      </w:pPr>
      <w:r>
        <w:t>SDS-PAGE Analysis: The eluted fractions were denatured and loaded onto a polyacrylamide gel. Electrophoresis was run to separate proteins by mass. The gel was subsequently stained to visualize the protein bands.</w:t>
      </w:r>
    </w:p>
    <w:p>
      <w:pPr>
        <w:pStyle w:val="Heading1"/>
      </w:pPr>
      <w:r>
        <w:t>Results</w:t>
      </w:r>
    </w:p>
    <w:p>
      <w:r>
        <w:t>Transformation plates successfully yielded colonies that fluoresced under UV light, confirming the uptake of the pGLO plasmid and the activation of the araBAD operon. During the HIC purification, the final elution fraction exhibited strong fluorescence, indicating a high concentration of active GFP.</w:t>
      </w:r>
    </w:p>
    <w:p>
      <w:r>
        <w:t>For the SDS-PAGE analysis, the gel was imaged and migration distances were measured to calculate the relative mobility (Rf) of the bands.</w:t>
      </w:r>
    </w:p>
    <w:p>
      <w:pPr>
        <w:jc w:val="center"/>
      </w:pPr>
      <w:r>
        <w:rPr>
          <w:b/>
        </w:rPr>
        <w:t>[ INSERT "80 mm (2).jpg" HERE ]</w:t>
      </w:r>
    </w:p>
    <w:p>
      <w:r>
        <w:t>Figure 1: SDS-PAGE gel analysis of the GFP purification fractions. Reference migration lines are marked at 0, 12, 25, 38, 50, 65, and 80 mm from the starting interface.</w:t>
      </w:r>
    </w:p>
    <w:p>
      <w:r>
        <w:t>The ladder in the reference lane migrated predictably, allowing for the construction of a standard curve (log MW vs. Rf). The primary band in our purified elution fraction migrated to a distance consistent with a molecular weight of approximately 27 kDa. Minimal secondary banding was observed in the final fraction, suggesting a high degree of purity following the chromatography step.</w:t>
      </w:r>
    </w:p>
    <w:p>
      <w:pPr>
        <w:pStyle w:val="Heading1"/>
      </w:pPr>
      <w:r>
        <w:t>Discussion</w:t>
      </w:r>
    </w:p>
    <w:p>
      <w:r>
        <w:t>The isolation and analysis of GFP were highly successful. The initial PCR and bioinformatics labs set the groundwork for understanding the genetic sequence, which translated perfectly into the phenotypic expression observed post-transformation. The HIC column proved to be an efficient purification method. Because GFP has many hydrophobic residues that are exposed under high-salt conditions, it bound tightly to the hydrophobic beads while the hydrophilic E. coli proteins washed through. As the salt concentration was dropped in the elution buffer, GFP returned to its standard conformation and released from the column.</w:t>
      </w:r>
    </w:p>
    <w:p>
      <w:r>
        <w:t>The SDS-PAGE results corroborated the success of the HIC procedure. Based on the migration distances marked on the gel (from 0 down to 80 mm), the target protein's mass aligns with the theoretical mass of GFP (27 kDa). If any faint secondary bands were present, they likely represent minor endogenous bacterial proteins that shared similar hydrophobic properties or slight degradation products of GFP. However, the prominent single band confirms that the methodology effectively isolated the target protein.</w:t>
      </w:r>
    </w:p>
    <w:p>
      <w:pPr>
        <w:pStyle w:val="Heading1"/>
      </w:pPr>
      <w:r>
        <w:t>Conclusion</w:t>
      </w:r>
    </w:p>
    <w:p>
      <w:r>
        <w:t>This sequence of experiments successfully demonstrated the central dogma of molecular biology. By manipulating the genetic code via the pGLO plasmid, we were able to induce the expression of a specific protein, isolate it based on its biochemical properties, and verify its physical structure and mass. The successful ~27 kDa band on the SDS-PAGE gel serves as definitive proof of a successful GFP purification.</w:t>
      </w:r>
    </w:p>
    <w:p>
      <w:pPr>
        <w:pStyle w:val="Heading1"/>
      </w:pPr>
      <w:r>
        <w:t>References</w:t>
      </w:r>
    </w:p>
    <w:p>
      <w:pPr>
        <w:pStyle w:val="ListNumber"/>
      </w:pPr>
      <w:r>
        <w:t>1. Biochemistry II Laboratory Manual, Texas A&amp;M University-Corpus Christi.</w:t>
        <w:br/>
        <w:t>2. Bio-Rad pGLO Bacterial Transformation and GFP Purification Kits.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