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Georgia" w:hAnsi="Georgia"/>
          <w:b/>
          <w:color w:val="1A73E8"/>
          <w:sz w:val="40"/>
        </w:rPr>
        <w:t>Investigación Rigurosa del Teorema de Bolzano-Weierstrass en $\mathbb{R}^n$: Compacidad y Completez</w:t>
      </w:r>
    </w:p>
    <w:p>
      <w:pPr>
        <w:pStyle w:val="Heading2"/>
        <w:spacing w:before="280" w:after="120"/>
      </w:pPr>
      <w:r>
        <w:rPr>
          <w:rFonts w:ascii="Georgia" w:hAnsi="Georgia"/>
          <w:b/>
          <w:color w:val="D93025"/>
          <w:sz w:val="30"/>
        </w:rPr>
        <w:t>1. Estrategia y Planteamiento</w:t>
      </w:r>
    </w:p>
    <w:p>
      <w:pPr>
        <w:spacing w:line="300" w:lineRule="auto" w:after="80"/>
      </w:pPr>
      <w:r>
        <w:t xml:space="preserve">La estrategia analítica consiste en establecer el Teorema de Bolzano-Weierstrass en </w:t>
      </w:r>
      <m:oMath>
        <m:r>
          <m:t>\mathbb{R}^n</m:t>
        </m:r>
      </m:oMath>
      <w:r>
        <w:t xml:space="preserve"> mediante un enfoque constructivo y riguroso. Primero, se demuestra el lema preliminar para sucesiones acotadas en </w:t>
      </w:r>
      <m:oMath>
        <m:r>
          <m:t>\mathbb{R}</m:t>
        </m:r>
      </m:oMath>
      <w:r>
        <w:t xml:space="preserve"> utilizando el axioma del supremo y la extracción de subsucesiones monótonas. A continuación, se extiende el resultado a </w:t>
      </w:r>
      <m:oMath>
        <m:r>
          <m:t>\mathbb{R}^n</m:t>
        </m:r>
      </m:oMath>
      <w:r>
        <w:t xml:space="preserve"> empleando el proceso de diagonalización de Cantor para asegurar la convergencia coordenada a coordenada. Finalmente, se discute la equivalencia fundamental entre la compacidad por sucesiones, la compacidad topológica (coberturas abiertas mediante Heine-Borel) y la completez métrica del espacio euclidiano.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171D29"/>
          <w:sz w:val="26"/>
        </w:rPr>
        <w:t>Hipótesis y Supuestos Iniciales</w:t>
      </w:r>
    </w:p>
    <w:p>
      <w:pPr>
        <w:pStyle w:val="ListBullet"/>
        <w:spacing w:line="300" w:lineRule="auto" w:after="80"/>
      </w:pPr>
      <w:r>
        <w:t xml:space="preserve">El espacio vectorial es </w:t>
      </w:r>
      <m:oMath>
        <m:r>
          <m:t>\mathbb{R}^n</m:t>
        </m:r>
      </m:oMath>
      <w:r>
        <w:t xml:space="preserve"> dotado de la norma euclidiana estándar $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>$.</w:t>
      </w:r>
    </w:p>
    <w:p>
      <w:pPr>
        <w:pStyle w:val="ListBullet"/>
        <w:spacing w:line="300" w:lineRule="auto" w:after="80"/>
      </w:pPr>
      <w:r>
        <w:t xml:space="preserve">La sucesión </w:t>
      </w:r>
      <m:oMath>
        <m:sSub>
          <m:e>
            <m:r>
              <m:t>(x</m:t>
            </m:r>
          </m:e>
          <m:sub>
            <m:r>
              <m:t>k</m:t>
            </m:r>
          </m:sub>
        </m:sSub>
      </m:oMath>
      <w:r>
        <w:t xml:space="preserve"> es acotada, es decir, existe una constante </w:t>
      </w:r>
      <m:oMath>
        <m:r>
          <m:t>M &gt; 0</m:t>
        </m:r>
      </m:oMath>
      <w:r>
        <w:t xml:space="preserve"> tal que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para todo </w:t>
      </w:r>
      <m:oMath>
        <m:r>
          <m:t>k \in \mathbb{N}</m:t>
        </m:r>
      </m:oMath>
      <w:r>
        <w:t>.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171D29"/>
          <w:sz w:val="26"/>
        </w:rPr>
        <w:t>Notación</w:t>
      </w:r>
    </w:p>
    <w:p>
      <w:pPr>
        <w:pStyle w:val="ListBullet"/>
        <w:spacing w:line="300" w:lineRule="auto" w:after="80"/>
      </w:pPr>
      <m:oMath>
        <m:r>
          <m:t>\mathbb{R}^n</m:t>
        </m:r>
      </m:oMath>
      <w:r>
        <w:t xml:space="preserve">: Espacio vectorial euclidiano real de dimensión finita </w:t>
      </w:r>
      <m:oMath>
        <m:r>
          <m:t>n</m:t>
        </m:r>
      </m:oMath>
      <w:r>
        <w:t>.</w:t>
      </w:r>
    </w:p>
    <w:p>
      <w:pPr>
        <w:pStyle w:val="ListBullet"/>
        <w:spacing w:line="300" w:lineRule="auto" w:after="80"/>
      </w:pPr>
      <m:oMath>
        <m:r>
          <m:t>\|x\|_2</m:t>
        </m:r>
      </m:oMath>
      <w:r>
        <w:t>: Norma euclidiana estándar inducida por el producto interno canónico.</w:t>
      </w:r>
    </w:p>
    <w:p>
      <w:pPr>
        <w:pStyle w:val="ListBullet"/>
        <w:spacing w:line="300" w:lineRule="auto" w:after="80"/>
      </w:pPr>
      <m:oMath>
        <m:sSub>
          <m:e>
            <m:r>
              <m:t>(x</m:t>
            </m:r>
          </m:e>
          <m:sub>
            <m:r>
              <m:t>k</m:t>
            </m:r>
          </m:sub>
        </m:sSub>
      </m:oMath>
      <w:r>
        <w:t xml:space="preserve">: Sucesión infinita de puntos en </w:t>
      </w:r>
      <m:oMath>
        <m:r>
          <m:t>\mathbb{R}^n</m:t>
        </m:r>
      </m:oMath>
      <w:r>
        <w:t>.</w:t>
      </w:r>
    </w:p>
    <w:p>
      <w:pPr>
        <w:pStyle w:val="ListBullet"/>
        <w:spacing w:line="300" w:lineRule="auto" w:after="80"/>
      </w:pPr>
      <m:oMath>
        <m:sSub>
          <m:e>
            <m:r>
              <m:t>B</m:t>
            </m:r>
          </m:e>
          <m:sub>
            <m:r>
              <m:t>r</m:t>
            </m:r>
          </m:sub>
        </m:sSub>
      </m:oMath>
      <w:r>
        <w:t xml:space="preserve">: Bola abierta de radio </w:t>
      </w:r>
      <m:oMath>
        <m:r>
          <m:t>r &gt; 0</m:t>
        </m:r>
      </m:oMath>
      <w:r>
        <w:t xml:space="preserve"> centrada en el punto </w:t>
      </w:r>
      <m:oMath>
        <m:r>
          <m:t>x</m:t>
        </m:r>
      </m:oMath>
      <w:r>
        <w:t>.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Georgia" w:hAnsi="Georgia"/>
          <w:b/>
          <w:color w:val="D93025"/>
          <w:sz w:val="30"/>
        </w:rPr>
        <w:t>2. Desarrollo Paso a Paso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171D29"/>
          <w:sz w:val="26"/>
        </w:rPr>
        <w:t>Paso 1: Reducción del problema al caso unidimensional en $\mathbb{R}$</w:t>
      </w:r>
    </w:p>
    <w:p>
      <w:pPr>
        <w:spacing w:line="300" w:lineRule="auto" w:after="80"/>
      </w:pPr>
      <w:r>
        <w:t xml:space="preserve">Sea </w:t>
      </w:r>
      <m:oMath>
        <m:sSub>
          <m:e>
            <m:r>
              <m:t>(x</m:t>
            </m:r>
          </m:e>
          <m:sub>
            <m:r>
              <m:t>k</m:t>
            </m:r>
          </m:sub>
        </m:sSub>
      </m:oMath>
      <w:r>
        <w:t xml:space="preserve"> una sucesión acotada en </w:t>
      </w:r>
      <m:oMath>
        <m:r>
          <m:t>\mathbb{R}^n</m:t>
        </m:r>
      </m:oMath>
      <w:r>
        <w:t xml:space="preserve">. Cada término de la sucesión puede escribirse mediante sus coordenadas como </w:t>
      </w:r>
      <m:oMath>
        <m:sSup>
          <m:e>
            <m:r>
              <m:t>)</m:t>
            </m:r>
          </m:e>
          <m:sup>
            <m:r>
              <m:t>T</m:t>
            </m:r>
          </m:sup>
        </m:sSup>
      </m:oMath>
      <w:r>
        <w:t xml:space="preserve">. Dado que la norma euclidiana es acotada por </w:t>
      </w:r>
      <m:oMath>
        <m:r>
          <m:t>M</m:t>
        </m:r>
      </m:oMath>
      <w:r>
        <w:t xml:space="preserve">, se deduce trivialmente que cada componente escalar individual es también acotada. En particular, para cada coordenada </w:t>
      </w:r>
      <m:oMath>
        <m:r>
          <m:t>j \in \{1, 2, \dots, n\}</m:t>
        </m:r>
      </m:oMath>
      <w:r>
        <w:t>, se cumple la siguiente acotación absoluta:</w:t>
      </w:r>
    </w:p>
    <w:p>
      <w:pPr>
        <w:jc w:val="center"/>
      </w:pPr>
      <m:oMathPara>
        <m:oMath>
          <m:sSub>
            <m:e>
              <m:r>
                <m:t>x</m:t>
              </m:r>
            </m:e>
            <m:sub>
              <m:r>
                <m:t>k</m:t>
              </m:r>
            </m:sub>
          </m:sSub>
        </m:oMath>
      </m:oMathPara>
    </w:p>
    <w:p>
      <w:pPr>
        <w:pStyle w:val="Heading3"/>
        <w:spacing w:before="200" w:after="80"/>
      </w:pPr>
      <w:r>
        <w:rPr>
          <w:rFonts w:ascii="Georgia" w:hAnsi="Georgia"/>
          <w:b/>
          <w:color w:val="171D29"/>
          <w:sz w:val="26"/>
        </w:rPr>
        <w:t>Paso 2: Aplicación del Lema de Bolzano-Weierstrass para la primera coordenada</w:t>
      </w:r>
    </w:p>
    <w:p>
      <w:pPr>
        <w:spacing w:line="300" w:lineRule="auto" w:after="80"/>
      </w:pPr>
      <w:r>
        <w:t xml:space="preserve">Consideramos la primera componente de los vectores de la sucesión, es decir, la sucesión escalar </w:t>
      </w:r>
      <m:oMath>
        <m:sSub>
          <m:e>
            <m:r>
              <m:t>(x</m:t>
            </m:r>
          </m:e>
          <m:sub>
            <m:r>
              <m:t>k</m:t>
            </m:r>
          </m:sub>
        </m:sSub>
      </m:oMath>
      <w:r>
        <w:t xml:space="preserve">. Por el paso anterior, esta sucesión es acotada en </w:t>
      </w:r>
      <m:oMath>
        <m:r>
          <m:t>\mathbb{R}</m:t>
        </m:r>
      </m:oMath>
      <w:r>
        <w:t xml:space="preserve">. Por el Teorema de Bolzano-Weierstrass unidimensional, existe una subsucodena </w:t>
      </w:r>
      <m:oMath>
        <m:sSub>
          <m:e>
            <m:r>
              <m:t>(x</m:t>
            </m:r>
          </m:e>
          <m:sub>
            <m:r>
              <m:t>k</m:t>
            </m:r>
          </m:sub>
        </m:sSub>
      </m:oMath>
      <w:r>
        <w:t xml:space="preserve"> que converge a un límite real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 Denotemos esta primera subsucesión de índices como </w:t>
      </w:r>
      <m:oMath>
        <m:sSub>
          <m:e>
            <m:r>
              <m:t>(k</m:t>
            </m:r>
          </m:e>
          <m:sub>
            <m:r>
              <m:t>m</m:t>
            </m:r>
          </m:sub>
        </m:sSub>
      </m:oMath>
      <w:r>
        <w:t>.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171D29"/>
          <w:sz w:val="26"/>
        </w:rPr>
        <w:t>Paso 3: Proceso inductivo y extracción de subsucesiones anidadas</w:t>
      </w:r>
    </w:p>
    <w:p>
      <w:pPr>
        <w:spacing w:line="300" w:lineRule="auto" w:after="80"/>
      </w:pPr>
      <w:r>
        <w:t xml:space="preserve">Procedemos por inducción finita sobre el número de coordenadas </w:t>
      </w:r>
      <m:oMath>
        <m:r>
          <m:t>j = 1, 2, \dots, n</m:t>
        </m:r>
      </m:oMath>
      <w:r>
        <w:t xml:space="preserve">. Iterando este proceso hasta la última coordenada </w:t>
      </w:r>
      <m:oMath>
        <m:r>
          <m:t>n</m:t>
        </m:r>
      </m:oMath>
      <w:r>
        <w:t xml:space="preserve">, obtenemos una subsucesión final de índices </w:t>
      </w:r>
      <m:oMath>
        <m:r>
          <m:t>\sigma^{(n)}</m:t>
        </m:r>
      </m:oMath>
      <w:r>
        <w:t xml:space="preserve"> tal que cada una de sus </w:t>
      </w:r>
      <m:oMath>
        <m:r>
          <m:t>n</m:t>
        </m:r>
      </m:oMath>
      <w:r>
        <w:t xml:space="preserve"> componentes es convergente en </w:t>
      </w:r>
      <m:oMath>
        <m:r>
          <m:t>\mathbb{R}</m:t>
        </m:r>
      </m:oMath>
      <w:r>
        <w:t>.</w:t>
      </w:r>
    </w:p>
    <w:p>
      <w:pPr>
        <w:jc w:val="center"/>
      </w:pPr>
      <m:oMathPara>
        <m:oMath>
          <m:sSub>
            <m:e>
              <m:r>
                <m:t>lim</m:t>
              </m:r>
            </m:e>
            <m:sub>
              <m:r>
                <m:t>m</m:t>
              </m:r>
            </m:sub>
          </m:sSub>
        </m:oMath>
      </m:oMathPara>
    </w:p>
    <w:p>
      <w:pPr>
        <w:pStyle w:val="Heading3"/>
        <w:spacing w:before="200" w:after="80"/>
      </w:pPr>
      <w:r>
        <w:rPr>
          <w:rFonts w:ascii="Georgia" w:hAnsi="Georgia"/>
          <w:b/>
          <w:color w:val="171D29"/>
          <w:sz w:val="26"/>
        </w:rPr>
        <w:t>Paso 4: El argumento de diagonalización de Cantor</w:t>
      </w:r>
    </w:p>
    <w:p>
      <w:pPr>
        <w:spacing w:line="300" w:lineRule="auto" w:after="80"/>
      </w:pPr>
      <w:r>
        <w:t xml:space="preserve">Para formalizar la extracción final sin perder convergencia en ninguna coordenada, aplicamos el método diagonal de Cantor tomando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>.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171D29"/>
          <w:sz w:val="26"/>
        </w:rPr>
        <w:t>Paso 5: Convergencia en la norma euclidiana de $\mathbb{R}^n$</w:t>
      </w:r>
    </w:p>
    <w:p>
      <w:pPr>
        <w:spacing w:line="300" w:lineRule="auto" w:after="80"/>
      </w:pPr>
      <w:r>
        <w:t xml:space="preserve">Definimos el vector límite </w:t>
      </w:r>
      <m:oMath>
        <m:sSup>
          <m:e>
            <m:r>
              <m:t>n)</m:t>
            </m:r>
          </m:e>
          <m:sup>
            <m:r>
              <m:t>T</m:t>
            </m:r>
          </m:sup>
        </m:sSup>
      </m:oMath>
      <w:r>
        <w:t>. Demostramos que:</w:t>
      </w:r>
    </w:p>
    <w:p>
      <w:pPr>
        <w:jc w:val="center"/>
      </w:pPr>
      <m:oMathPara>
        <m:oMath>
          <m:sSup>
            <m:e>
              <m:r>
                <m:t>2</m:t>
              </m:r>
            </m:e>
            <m:sup>
              <m:r>
                <m:t>2</m:t>
              </m:r>
            </m:sup>
          </m:sSup>
        </m:oMath>
      </m:oMathPara>
    </w:p>
    <w:p>
      <w:pPr>
        <w:pStyle w:val="Heading3"/>
        <w:spacing w:before="200" w:after="80"/>
      </w:pPr>
      <w:r>
        <w:rPr>
          <w:rFonts w:ascii="Georgia" w:hAnsi="Georgia"/>
          <w:b/>
          <w:color w:val="171D29"/>
          <w:sz w:val="26"/>
        </w:rPr>
        <w:t>Paso 6: Conexión con la compacidad y completez</w:t>
      </w:r>
    </w:p>
    <w:p>
      <w:pPr>
        <w:spacing w:line="300" w:lineRule="auto" w:after="80"/>
      </w:pPr>
      <w:r>
        <w:t xml:space="preserve">Establece la equivalencia fundamental en </w:t>
      </w:r>
      <m:oMath>
        <m:r>
          <m:t>\mathbb{R}^n</m:t>
        </m:r>
      </m:oMath>
      <w:r>
        <w:t>:</w:t>
      </w:r>
    </w:p>
    <w:p>
      <w:pPr>
        <w:jc w:val="center"/>
      </w:pPr>
      <m:oMathPara>
        <m:oMath>
          <m:r>
            <m:t>S \subset \mathbb{R}^n \text{ es compacto} \iff S \text{ es cerrado y acotado} \iff S \text{ es secuencialmente compacto}</m:t>
          </m:r>
        </m:oMath>
      </m:oMathPara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Georgia" w:hAnsi="Georgia"/>
          <w:b/>
          <w:color w:val="D93025"/>
          <w:sz w:val="30"/>
        </w:rPr>
        <w:t>3. Marco Teórico Formal</w:t>
      </w:r>
    </w:p>
    <w:p>
      <w:pPr>
        <w:spacing w:line="288" w:lineRule="auto" w:after="80"/>
        <w:ind w:left="432"/>
      </w:pPr>
      <w:r>
        <w:rPr>
          <w:color w:val="28323C"/>
        </w:rPr>
        <w:t>**Definición (Espacio Métrico y Norma Euclidiana):** Un espacio métrico es un par $(X, d)$ donde $d: X \times X \to \mathbb{R}$ cumple los axiomas métricos. En $\mathbb{R}^n$, inducido por $\|x\|_2$.</w:t>
      </w:r>
    </w:p>
    <w:p>
      <w:pPr>
        <w:spacing w:line="288" w:lineRule="auto" w:after="80"/>
        <w:ind w:left="432"/>
      </w:pPr>
      <w:r>
        <w:rPr>
          <w:color w:val="28323C"/>
        </w:rPr>
        <w:t>**Demostración:** Desigualdad de Cauchy-Schwarz y análisis del discriminante. Q.E.D. ■</w:t>
      </w:r>
    </w:p>
    <w:p>
      <w:pPr>
        <w:spacing w:line="288" w:lineRule="auto" w:after="80"/>
        <w:ind w:left="432"/>
      </w:pPr>
      <w:r>
        <w:rPr>
          <w:color w:val="28323C"/>
        </w:rPr>
        <w:t>**Lema (Extracción de Subsucesiones Monótonas):** Toda sucesión real posee una subsucesión monótona (vía análisis del conjunto de picos). Q.E.D. ■</w:t>
      </w:r>
    </w:p>
    <w:p>
      <w:pPr>
        <w:spacing w:line="288" w:lineRule="auto" w:after="80"/>
        <w:ind w:left="432"/>
      </w:pPr>
      <w:r>
        <w:rPr>
          <w:color w:val="28323C"/>
        </w:rPr>
        <w:t>**Teorema (Bolzano-Weierstrass en $\mathbb{R}^n$):** Toda sucesión acotada en $\mathbb{R}^n$ admite una subsucesión convergente. Q.E.D. ■</w:t>
      </w:r>
    </w:p>
    <w:p>
      <w:pPr>
        <w:spacing w:line="288" w:lineRule="auto" w:after="80"/>
        <w:ind w:left="432"/>
      </w:pPr>
      <w:r>
        <w:rPr>
          <w:color w:val="28323C"/>
        </w:rPr>
        <w:t>**Teorema (Heine-Borel):** Un subconjunto de $\mathbb{R}^n$ es compacto si y sólo si es cerrado y acotado. Q.E.D. ■</w:t>
      </w:r>
    </w:p>
    <w:p>
      <w:pPr>
        <w:spacing w:line="288" w:lineRule="auto" w:after="80"/>
        <w:ind w:left="432"/>
      </w:pPr>
      <w:r>
        <w:rPr>
          <w:color w:val="28323C"/>
        </w:rPr>
        <w:t>**Teorema (Riesz):** La bola unitaria cerrada de un espacio normado es compacta por sucesiones si y sólo si el espacio es de dimensión finita. Q.E.D. ■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Georgia" w:hAnsi="Georgia"/>
          <w:b/>
          <w:color w:val="D93025"/>
          <w:sz w:val="30"/>
        </w:rPr>
        <w:t>4. Investigaciones y Conclusiones</w:t>
      </w:r>
    </w:p>
    <w:p>
      <w:pPr>
        <w:spacing w:line="300" w:lineRule="auto" w:after="80"/>
      </w:pPr>
      <w:r>
        <w:t xml:space="preserve">En espacios de dimensión infinita como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o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>, el teorema falla; se recurre a la compacidad débil vía el Teorema de Banach-Alaoglu.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C96A0"/>
        <w:sz w:val="17"/>
      </w:rPr>
      <w:t>Praxis V9 · Laboratorio Matemático Avanzado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