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Investigación sobre la Nulidad del Ejercicio No Definido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1. Estrategia y Planteamiento</w:t>
      </w:r>
    </w:p>
    <w:p>
      <w:pPr>
        <w:spacing w:line="300" w:lineRule="auto" w:after="80"/>
      </w:pPr>
      <w:r>
        <w:t>La presente investigación aborda el análisis riguroso del comportamiento límite y formal de un sistema carente de restricciones algebraicas iniciales. El objetivo principal es establecer la trivialidad formal y el comportamiento deductivo de un enunciado no especificado bajo el principio de explosión (</w:t>
      </w:r>
      <m:oMath>
        <m:r>
          <m:t>ex \ falso \ quodlibet</m:t>
        </m:r>
      </m:oMath>
      <w:r>
        <w:t>).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Hipótesis y Supuestos Iniciales</w:t>
      </w:r>
    </w:p>
    <w:p>
      <w:pPr>
        <w:spacing w:line="300" w:lineRule="auto" w:after="80"/>
      </w:pPr>
      <w:r>
        <w:t xml:space="preserve">1. El enunciado de entrada pertenece al conjunto vacío </w:t>
      </w:r>
      <m:oMath>
        <m:r>
          <m:t>\emptyset</m:t>
        </m:r>
      </m:oMath>
      <w:r>
        <w:t>.</w:t>
      </w:r>
    </w:p>
    <w:p>
      <w:pPr>
        <w:spacing w:line="300" w:lineRule="auto" w:after="80"/>
      </w:pPr>
      <w:r>
        <w:t xml:space="preserve">2. El espacio de estados del sistema es trivial, denotado por </w:t>
      </w:r>
      <m:oMath>
        <m:r>
          <m:t>X = \emptyset</m:t>
        </m:r>
      </m:oMath>
      <w:r>
        <w:t>.</w:t>
      </w:r>
    </w:p>
    <w:p>
      <w:pPr>
        <w:spacing w:line="300" w:lineRule="auto" w:after="80"/>
      </w:pPr>
      <w:r>
        <w:t>3. No existe ninguna estructura algebraica, métrica o topológica predefinida.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2. Desarrollo Paso a Paso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1: Formulación axiomática del estado nulo</w:t>
      </w:r>
    </w:p>
    <w:p>
      <w:pPr>
        <w:jc w:val="center"/>
      </w:pPr>
      <m:oMathPara>
        <m:oMath>
          <m:r>
            <m:t>\forall x \; \neg(x \in \emptyset)</m:t>
          </m:r>
        </m:oMath>
      </m:oMathPara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2: Aplicación del Principio de Explosión</w:t>
      </w:r>
    </w:p>
    <w:p>
      <w:pPr>
        <w:jc w:val="center"/>
      </w:pPr>
      <m:oMathPara>
        <m:oMath>
          <m:r>
            <m:t>\bot \implies P</m:t>
          </m:r>
        </m:oMath>
      </m:oMathPara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3: Análisis categórico del objeto inicial</w:t>
      </w:r>
    </w:p>
    <w:p>
      <w:pPr>
        <w:jc w:val="center"/>
      </w:pPr>
      <m:oMathPara>
        <m:oMath>
          <m:r>
            <m:t>! : \emptyset \to A \implies \text{Resultado} = \emptyset \quad \forall P</m:t>
          </m:r>
        </m:oMath>
      </m:oMathPara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3. Marco Teórico Formal</w:t>
      </w:r>
    </w:p>
    <w:p>
      <w:pPr>
        <w:spacing w:line="288" w:lineRule="auto" w:after="80"/>
        <w:ind w:left="432"/>
      </w:pPr>
      <w:r>
        <w:rPr>
          <w:color w:val="28323C"/>
        </w:rPr>
        <w:t>**Definición (Conjunto Vacío):** Conjunto que no contiene elementos. Q.E.D. ■</w:t>
      </w:r>
    </w:p>
    <w:p>
      <w:pPr>
        <w:spacing w:line="288" w:lineRule="auto" w:after="80"/>
        <w:ind w:left="432"/>
      </w:pPr>
      <w:r>
        <w:rPr>
          <w:color w:val="28323C"/>
        </w:rPr>
        <w:t>**Teorema (Ex Falso Quodlibet):** De una contradicción se sigue cualquier proposición. Q.E.D. ■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V9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