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Georgia" w:hAnsi="Georgia"/>
          <w:b/>
          <w:color w:val="1A73E8"/>
          <w:sz w:val="40"/>
        </w:rPr>
        <w:t>Borrador Personalizado: Cinemática de Manipuladores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1. Marco Teórico Axiomático</w:t>
      </w:r>
    </w:p>
    <w:p>
      <w:pPr>
        <w:spacing w:line="300" w:lineRule="auto" w:after="80"/>
      </w:pPr>
      <w:r>
        <w:t>Demostración paso a paso sin saltos algebraicos.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2. Modelación del Manipulador en Lie SO(3)</w:t>
      </w:r>
    </w:p>
    <w:p>
      <w:pPr>
        <w:spacing w:line="300" w:lineRule="auto" w:after="80"/>
      </w:pPr>
      <w:r>
        <w:t>Ecuaciones de gobierno $</w:t>
      </w:r>
      <m:oMath>
        <m:r>
          <m:t>X' = F(X)</m:t>
        </m:r>
      </m:oMath>
      <w:r>
        <w:t>$ con algoritmo Runge-Kutta.</w:t>
      </w:r>
    </w:p>
    <w:p>
      <w:pPr>
        <w:pStyle w:val="Heading2"/>
        <w:spacing w:before="280" w:after="120"/>
      </w:pPr>
      <w:r>
        <w:rPr>
          <w:rFonts w:ascii="Georgia" w:hAnsi="Georgia"/>
          <w:b/>
          <w:color w:val="D93025"/>
          <w:sz w:val="30"/>
        </w:rPr>
        <w:t>3. Anexo de Simulación Interactiva</w:t>
      </w:r>
    </w:p>
    <w:p>
      <w:pPr>
        <w:spacing w:line="300" w:lineRule="auto" w:after="80"/>
      </w:pPr>
      <w:r>
        <w:t>Código del simulador Canvas HTML5.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C96A0"/>
        <w:sz w:val="17"/>
      </w:rPr>
      <w:t>Praxis V10 · Laboratorio Matemático Avanzado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