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12" w:lineRule="auto"/>
        <w:ind w:left="283" w:firstLine="0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12" w:lineRule="auto"/>
        <w:ind w:left="402" w:firstLine="0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 Nova Light" w:cs="Arial Nova Light" w:eastAsia="Arial Nova Light" w:hAnsi="Arial Nova Light"/>
          <w:i w:val="1"/>
          <w:smallCaps w:val="1"/>
          <w:sz w:val="40"/>
          <w:szCs w:val="4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smallCaps w:val="1"/>
          <w:sz w:val="40"/>
          <w:szCs w:val="40"/>
          <w:rtl w:val="0"/>
        </w:rPr>
        <w:t xml:space="preserve">H.S.P(Healthy Sofware Products)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 Nova Light" w:cs="Arial Nova Light" w:eastAsia="Arial Nova Light" w:hAnsi="Arial Nova Light"/>
          <w:smallCaps w:val="1"/>
          <w:sz w:val="58"/>
          <w:szCs w:val="58"/>
        </w:rPr>
      </w:pPr>
      <w:r w:rsidDel="00000000" w:rsidR="00000000" w:rsidRPr="00000000">
        <w:rPr>
          <w:rFonts w:ascii="Arial Nova Light" w:cs="Arial Nova Light" w:eastAsia="Arial Nova Light" w:hAnsi="Arial Nova Light"/>
          <w:smallCaps w:val="1"/>
          <w:sz w:val="58"/>
          <w:szCs w:val="58"/>
          <w:rtl w:val="0"/>
        </w:rPr>
        <w:t xml:space="preserve">CANVAS</w:t>
      </w:r>
    </w:p>
    <w:p w:rsidR="00000000" w:rsidDel="00000000" w:rsidP="00000000" w:rsidRDefault="00000000" w:rsidRPr="00000000" w14:paraId="00000007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mallCaps w:val="1"/>
          <w:sz w:val="36"/>
          <w:szCs w:val="36"/>
          <w:rtl w:val="0"/>
        </w:rPr>
        <w:t xml:space="preserve">GERENCIA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mallCaps w:val="1"/>
          <w:sz w:val="22"/>
          <w:szCs w:val="22"/>
          <w:rtl w:val="0"/>
        </w:rPr>
        <w:t xml:space="preserve">ISABEL ANDREA MAHECHA NIETO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2266454</wp:posOffset>
            </wp:positionH>
            <wp:positionV relativeFrom="paragraph">
              <wp:posOffset>7804994</wp:posOffset>
            </wp:positionV>
            <wp:extent cx="1799312" cy="54693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312" cy="546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mallCaps w:val="1"/>
          <w:sz w:val="22"/>
          <w:szCs w:val="22"/>
          <w:rtl w:val="0"/>
        </w:rPr>
        <w:t xml:space="preserve">GABRIEL SANTIAGO ÁLVAREZ AMAYA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mallCaps w:val="1"/>
          <w:sz w:val="22"/>
          <w:szCs w:val="22"/>
        </w:rPr>
      </w:pPr>
      <w:r w:rsidDel="00000000" w:rsidR="00000000" w:rsidRPr="00000000">
        <w:rPr>
          <w:rFonts w:ascii="Arial Nova Light" w:cs="Arial Nova Light" w:eastAsia="Arial Nova Light" w:hAnsi="Arial Nova Light"/>
          <w:smallCaps w:val="1"/>
          <w:sz w:val="22"/>
          <w:szCs w:val="22"/>
          <w:rtl w:val="0"/>
        </w:rPr>
        <w:t xml:space="preserve">CAMILO ARTURO D’ACHIARDI LEÓN</w:t>
      </w:r>
    </w:p>
    <w:p w:rsidR="00000000" w:rsidDel="00000000" w:rsidP="00000000" w:rsidRDefault="00000000" w:rsidRPr="00000000" w14:paraId="00000016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mallCaps w:val="1"/>
          <w:sz w:val="22"/>
          <w:szCs w:val="22"/>
        </w:rPr>
      </w:pPr>
      <w:r w:rsidDel="00000000" w:rsidR="00000000" w:rsidRPr="00000000">
        <w:rPr>
          <w:rFonts w:ascii="Arial Nova Light" w:cs="Arial Nova Light" w:eastAsia="Arial Nova Light" w:hAnsi="Arial Nova Light"/>
          <w:smallCaps w:val="1"/>
          <w:sz w:val="22"/>
          <w:szCs w:val="22"/>
          <w:rtl w:val="0"/>
        </w:rPr>
        <w:t xml:space="preserve">JAIR DARÍO MUÑOZ </w:t>
      </w:r>
    </w:p>
    <w:p w:rsidR="00000000" w:rsidDel="00000000" w:rsidP="00000000" w:rsidRDefault="00000000" w:rsidRPr="00000000" w14:paraId="00000017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mallCaps w:val="1"/>
          <w:sz w:val="22"/>
          <w:szCs w:val="22"/>
        </w:rPr>
      </w:pPr>
      <w:r w:rsidDel="00000000" w:rsidR="00000000" w:rsidRPr="00000000">
        <w:rPr>
          <w:rFonts w:ascii="Arial Nova Light" w:cs="Arial Nova Light" w:eastAsia="Arial Nova Light" w:hAnsi="Arial Nova Light"/>
          <w:smallCaps w:val="1"/>
          <w:sz w:val="22"/>
          <w:szCs w:val="22"/>
          <w:rtl w:val="0"/>
        </w:rPr>
        <w:t xml:space="preserve">JEIMY ROCÍO SOSA GÓMEZ</w:t>
      </w:r>
    </w:p>
    <w:p w:rsidR="00000000" w:rsidDel="00000000" w:rsidP="00000000" w:rsidRDefault="00000000" w:rsidRPr="00000000" w14:paraId="00000018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</w:rPr>
        <w:drawing>
          <wp:inline distB="114300" distT="114300" distL="114300" distR="114300">
            <wp:extent cx="1516746" cy="4657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746" cy="46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2" w:lineRule="auto"/>
        <w:contextualSpacing w:val="0"/>
        <w:jc w:val="center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mallCaps w:val="1"/>
          <w:color w:val="919191"/>
          <w:sz w:val="18"/>
          <w:szCs w:val="18"/>
          <w:rtl w:val="0"/>
        </w:rPr>
        <w:t xml:space="preserve">16  DE FEBRERO DE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12" w:lineRule="auto"/>
        <w:contextualSpacing w:val="0"/>
        <w:rPr>
          <w:rFonts w:ascii="Arial Nova Light" w:cs="Arial Nova Light" w:eastAsia="Arial Nova Light" w:hAnsi="Arial Nova Light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contextualSpacing w:val="0"/>
        <w:jc w:val="center"/>
        <w:rPr>
          <w:rFonts w:ascii="Arial Nova Light" w:cs="Arial Nova Light" w:eastAsia="Arial Nova Light" w:hAnsi="Arial Nova Light"/>
        </w:rPr>
      </w:pPr>
      <w:r w:rsidDel="00000000" w:rsidR="00000000" w:rsidRPr="00000000">
        <w:rPr>
          <w:rFonts w:ascii="Arial Nova Light" w:cs="Arial Nova Light" w:eastAsia="Arial Nova Light" w:hAnsi="Arial Nova Light"/>
          <w:rtl w:val="0"/>
        </w:rPr>
        <w:t xml:space="preserve">CANVAS</w:t>
      </w:r>
    </w:p>
    <w:p w:rsidR="00000000" w:rsidDel="00000000" w:rsidP="00000000" w:rsidRDefault="00000000" w:rsidRPr="00000000" w14:paraId="00000024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  <w:sectPr>
          <w:headerReference r:id="rId8" w:type="default"/>
          <w:footerReference r:id="rId9" w:type="default"/>
          <w:pgSz w:h="15840" w:w="12240"/>
          <w:pgMar w:bottom="1134" w:top="1134" w:left="1134" w:right="1134" w:header="709" w:footer="85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Segmentos del Mercado</w:t>
      </w:r>
    </w:p>
    <w:p w:rsidR="00000000" w:rsidDel="00000000" w:rsidP="00000000" w:rsidRDefault="00000000" w:rsidRPr="00000000" w14:paraId="00000027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El segmento de mercado son los grupos de personas o entidades a los que se dirige el producto teniendo en cuenta las necesidades de dicho segmento.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p. 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Institutos, clínicas o centros de Salud.</w:t>
      </w:r>
    </w:p>
    <w:p w:rsidR="00000000" w:rsidDel="00000000" w:rsidP="00000000" w:rsidRDefault="00000000" w:rsidRPr="00000000" w14:paraId="00000029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Propuestas de Valor</w:t>
      </w:r>
    </w:p>
    <w:p w:rsidR="00000000" w:rsidDel="00000000" w:rsidP="00000000" w:rsidRDefault="00000000" w:rsidRPr="00000000" w14:paraId="0000002B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Es el conjunto de productos y servicios que crean valor para un segmento de mercado específico. […] Las propuestas de valor son un conjunto de productos o servicios que satisfacen los requerimientos de un segmento de mercado.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p. 22]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527" w:hanging="244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Repositorio para almacenar videos, tutoriales y conferencias explicando los últimos hallazgos de investigaciones y el tratamiento de diferentes enfermedades.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527" w:hanging="244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Chat online, su propósito es ser un medio de comunicación personalizada entre un asesor del centro de salud y un paciente.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527" w:hanging="244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Aplicación Web, que contiene los siguientes módulos: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1247" w:hanging="242.99999999999997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Módulo para el Banco de Sangre: Permite ver el inventario de los diferentes tipos de sangre disponibles y así mismo, permite programar citas a usuarios que quieran donar.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Rule="auto"/>
        <w:ind w:left="1247" w:hanging="242.99999999999997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Módulo para el Reclutamiento de Pacientes: Administración para datos de pacientes saludables, pruebas a realizar y resultados.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1247" w:hanging="242.99999999999997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Módulo para el Departamento de Manejo de Materiales y Servicios Ambientales: Gestionar todas las tareas que realizan día a día y controlar los pedidos de investigadores.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527" w:hanging="244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Repositorio de imágenes, agregar todas las imágenes en un solo repositorio, cada una con tags, filtros, descripciones, tipo de enfermedad, para poder realizar una búsqueda sencilla y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Canales</w:t>
      </w:r>
    </w:p>
    <w:p w:rsidR="00000000" w:rsidDel="00000000" w:rsidP="00000000" w:rsidRDefault="00000000" w:rsidRPr="00000000" w14:paraId="00000035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Los canales de comunicación, distribución y venta establecen el contacto entre la empresa y los clientes.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 .26]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Tipo de canal: 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u w:val="single"/>
          <w:rtl w:val="0"/>
        </w:rPr>
        <w:t xml:space="preserve">Directo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b w:val="1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Información: 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Página Web de la empresa en donde se den a conocer todos los productos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b w:val="1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Evaluación: 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Los usuarios pueden evaluar nuestra propuesta de valor realizando pequeñas encuestas sobre 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b w:val="1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Compra: 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En la página Web se encontrará toda la información referente a la compra de licencias de nuestros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b w:val="1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Entrega: 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Después de comprar la licencia se dará una llave al cliente para que pueda acceder a su licencia.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Posventa: 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Ofrecemos el servicio de soporte técnico gratuito por el primer mes de uso de la licencia de nuestros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Relaciones con Clientes</w:t>
      </w:r>
    </w:p>
    <w:p w:rsidR="00000000" w:rsidDel="00000000" w:rsidP="00000000" w:rsidRDefault="00000000" w:rsidRPr="00000000" w14:paraId="0000003D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Se describen los diferentes tipos de relaciones que establece una empresa con determinado segmento de mercado.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 .29]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Asistencia personal, inducción y soporte a los clientes.</w:t>
      </w:r>
    </w:p>
    <w:p w:rsidR="00000000" w:rsidDel="00000000" w:rsidP="00000000" w:rsidRDefault="00000000" w:rsidRPr="00000000" w14:paraId="0000003F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Fuentes de Ingresos</w:t>
      </w:r>
    </w:p>
    <w:p w:rsidR="00000000" w:rsidDel="00000000" w:rsidP="00000000" w:rsidRDefault="00000000" w:rsidRPr="00000000" w14:paraId="00000040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Flujo de caja que genera una empresa en los diferentes segmentos de mercado.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 .30]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Venta de licencia: 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Vender licencias para cada producto a cualquier institución o centro de salud interesado.</w:t>
      </w:r>
    </w:p>
    <w:p w:rsidR="00000000" w:rsidDel="00000000" w:rsidP="00000000" w:rsidRDefault="00000000" w:rsidRPr="00000000" w14:paraId="00000042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Recursos Clave</w:t>
      </w:r>
    </w:p>
    <w:p w:rsidR="00000000" w:rsidDel="00000000" w:rsidP="00000000" w:rsidRDefault="00000000" w:rsidRPr="00000000" w14:paraId="00000044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Son los activos más importantes para que un modelo de negocio funcione; éstos recursos clave pueden ser físicos, económicos, intelectuales o humanos.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 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Física: 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Cuatro computadores.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Intelectuales: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Bases de datos de nuestros clientes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Servidores en la nube.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Humanos: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Un gerente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Tres desarrolladores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Administrador Base de datos.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Community Manager.</w:t>
      </w:r>
    </w:p>
    <w:p w:rsidR="00000000" w:rsidDel="00000000" w:rsidP="00000000" w:rsidRDefault="00000000" w:rsidRPr="00000000" w14:paraId="0000004E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Actividades Clave</w:t>
      </w:r>
    </w:p>
    <w:p w:rsidR="00000000" w:rsidDel="00000000" w:rsidP="00000000" w:rsidRDefault="00000000" w:rsidRPr="00000000" w14:paraId="00000050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Son las acciones más importantes que debe emprender una empresa para tener éxito, al igual que los recursos clave, son necesarias para crear y ofrecer una propuesta de valor, llegar a los mercados, establecer relaciones con los clientes y percibir ingresos.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 .37]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Página Web o plataforma de la empresa.</w:t>
      </w:r>
    </w:p>
    <w:p w:rsidR="00000000" w:rsidDel="00000000" w:rsidP="00000000" w:rsidRDefault="00000000" w:rsidRPr="00000000" w14:paraId="00000052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Asociaciones Clave</w:t>
      </w:r>
    </w:p>
    <w:p w:rsidR="00000000" w:rsidDel="00000000" w:rsidP="00000000" w:rsidRDefault="00000000" w:rsidRPr="00000000" w14:paraId="00000053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Describe la red de proveedores y socios que contribuyen al funcionamiento de un modelo de negocio.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 .36]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The National Institutes of Health Clinical Center America’s Research Hospital.</w:t>
      </w:r>
    </w:p>
    <w:p w:rsidR="00000000" w:rsidDel="00000000" w:rsidP="00000000" w:rsidRDefault="00000000" w:rsidRPr="00000000" w14:paraId="00000055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Estructura de Costos</w:t>
      </w:r>
    </w:p>
    <w:p w:rsidR="00000000" w:rsidDel="00000000" w:rsidP="00000000" w:rsidRDefault="00000000" w:rsidRPr="00000000" w14:paraId="00000056">
      <w:pPr>
        <w:spacing w:after="160" w:line="312" w:lineRule="auto"/>
        <w:ind w:left="283" w:firstLine="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i w:val="1"/>
          <w:color w:val="357ca2"/>
          <w:sz w:val="16"/>
          <w:szCs w:val="16"/>
          <w:rtl w:val="0"/>
        </w:rPr>
        <w:t xml:space="preserve">def.</w:t>
      </w:r>
      <w:r w:rsidDel="00000000" w:rsidR="00000000" w:rsidRPr="00000000">
        <w:rPr>
          <w:rFonts w:ascii="Arial Nova Light" w:cs="Arial Nova Light" w:eastAsia="Arial Nova Light" w:hAnsi="Arial Nova Light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 Nova Light" w:cs="Arial Nova Light" w:eastAsia="Arial Nova Light" w:hAnsi="Arial Nova Light"/>
          <w:i w:val="1"/>
          <w:color w:val="7f7f7f"/>
          <w:sz w:val="16"/>
          <w:szCs w:val="16"/>
          <w:rtl w:val="0"/>
        </w:rPr>
        <w:t xml:space="preserve">Describe todos los costes que implica la puesta en marcha de un modelo de negocio. </w:t>
      </w:r>
      <w:r w:rsidDel="00000000" w:rsidR="00000000" w:rsidRPr="00000000">
        <w:rPr>
          <w:rFonts w:ascii="Arial Nova Light" w:cs="Arial Nova Light" w:eastAsia="Arial Nova Light" w:hAnsi="Arial Nova Light"/>
          <w:color w:val="489bc9"/>
          <w:sz w:val="16"/>
          <w:szCs w:val="16"/>
          <w:vertAlign w:val="superscript"/>
          <w:rtl w:val="0"/>
        </w:rPr>
        <w:t xml:space="preserve">[1, p .40]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Infraestructura: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Cuatro ordenadores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Oficina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Servidor en la nube.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b w:val="1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Costes fijos: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Arriendo oficina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Servicios públicos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Internet.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160" w:line="312" w:lineRule="auto"/>
        <w:ind w:left="1247" w:hanging="242.99999999999997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Servidor en la nube.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60" w:line="312" w:lineRule="auto"/>
        <w:ind w:left="527" w:hanging="244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b w:val="1"/>
          <w:sz w:val="20"/>
          <w:szCs w:val="20"/>
          <w:rtl w:val="0"/>
        </w:rPr>
        <w:t xml:space="preserve">Costos variables:</w:t>
      </w: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 Investigación y Publicidad.</w:t>
      </w:r>
    </w:p>
    <w:p w:rsidR="00000000" w:rsidDel="00000000" w:rsidP="00000000" w:rsidRDefault="00000000" w:rsidRPr="00000000" w14:paraId="00000061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16"/>
          <w:szCs w:val="16"/>
        </w:rPr>
        <mc:AlternateContent>
          <mc:Choice Requires="wpg">
            <w:drawing>
              <wp:inline distB="0" distT="0" distL="0" distR="0">
                <wp:extent cx="574391" cy="254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5155" y="3780000"/>
                          <a:ext cx="561691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391" cy="2540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91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contextualSpacing w:val="0"/>
        <w:rPr>
          <w:rFonts w:ascii="Arial Nova Light" w:cs="Arial Nova Light" w:eastAsia="Arial Nova Light" w:hAnsi="Arial Nova Light"/>
          <w:sz w:val="34"/>
          <w:szCs w:val="34"/>
        </w:rPr>
      </w:pPr>
      <w:r w:rsidDel="00000000" w:rsidR="00000000" w:rsidRPr="00000000">
        <w:rPr>
          <w:rFonts w:ascii="Arial Nova Light" w:cs="Arial Nova Light" w:eastAsia="Arial Nova Light" w:hAnsi="Arial Nova Light"/>
          <w:sz w:val="34"/>
          <w:szCs w:val="34"/>
          <w:rtl w:val="0"/>
        </w:rPr>
        <w:t xml:space="preserve">Referencias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60" w:line="312" w:lineRule="auto"/>
        <w:ind w:left="643" w:hanging="360"/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Fonts w:ascii="Arial Nova Light" w:cs="Arial Nova Light" w:eastAsia="Arial Nova Light" w:hAnsi="Arial Nova Light"/>
          <w:sz w:val="20"/>
          <w:szCs w:val="20"/>
          <w:rtl w:val="0"/>
        </w:rPr>
        <w:t xml:space="preserve">A. Osterwalder y Y. Pigneur, Generación de Modelos de Negocio, Bogotá D.C: Planeta Colombiana S.A., 2016. </w:t>
      </w:r>
    </w:p>
    <w:p w:rsidR="00000000" w:rsidDel="00000000" w:rsidP="00000000" w:rsidRDefault="00000000" w:rsidRPr="00000000" w14:paraId="00000065">
      <w:pPr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 Nova Light" w:cs="Arial Nova Light" w:eastAsia="Arial Nova Light" w:hAnsi="Arial Nova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34" w:top="1134" w:left="1134" w:right="1134" w:header="709" w:footer="850"/>
      <w:cols w:equalWidth="0" w:num="2">
        <w:col w:space="499" w:w="4736.5"/>
        <w:col w:space="0" w:w="4736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rial Nov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527" w:hanging="24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247" w:hanging="24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967" w:hanging="244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87" w:hanging="24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407" w:hanging="244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4127" w:hanging="24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47" w:hanging="24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567" w:hanging="242.999999999999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287" w:hanging="242.9999999999991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(%1)"/>
      <w:lvlJc w:val="left"/>
      <w:pPr>
        <w:ind w:left="643" w:hanging="360"/>
      </w:pPr>
      <w:rPr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decimal"/>
      <w:lvlText w:val="(%2)"/>
      <w:lvlJc w:val="left"/>
      <w:pPr>
        <w:ind w:left="1363" w:hanging="359"/>
      </w:pPr>
      <w:rPr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decimal"/>
      <w:lvlText w:val="(%3)"/>
      <w:lvlJc w:val="left"/>
      <w:pPr>
        <w:ind w:left="2083" w:hanging="360"/>
      </w:pPr>
      <w:rPr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decimal"/>
      <w:lvlText w:val="(%4)"/>
      <w:lvlJc w:val="left"/>
      <w:pPr>
        <w:ind w:left="2803" w:hanging="360"/>
      </w:pPr>
      <w:rPr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523" w:hanging="360"/>
      </w:pPr>
      <w:rPr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decimal"/>
      <w:lvlText w:val="(%6)"/>
      <w:lvlJc w:val="left"/>
      <w:pPr>
        <w:ind w:left="4243" w:hanging="360"/>
      </w:pPr>
      <w:rPr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decimal"/>
      <w:lvlText w:val="(%7)"/>
      <w:lvlJc w:val="left"/>
      <w:pPr>
        <w:ind w:left="4963" w:hanging="360"/>
      </w:pPr>
      <w:rPr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decimal"/>
      <w:lvlText w:val="(%8)"/>
      <w:lvlJc w:val="left"/>
      <w:pPr>
        <w:ind w:left="5683" w:hanging="360"/>
      </w:pPr>
      <w:rPr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decimal"/>
      <w:lvlText w:val="(%9)"/>
      <w:lvlJc w:val="left"/>
      <w:pPr>
        <w:ind w:left="6403" w:hanging="360"/>
      </w:pPr>
      <w:rPr>
        <w:smallCaps w:val="0"/>
        <w:strike w:val="0"/>
        <w:color w:val="00000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</w:pPr>
    <w:rPr>
      <w:rFonts w:ascii="Play" w:cs="Play" w:eastAsia="Play" w:hAnsi="Play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