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644" w:type="dxa"/>
        <w:tblLayout w:type="fixed"/>
        <w:tblCellMar>
          <w:left w:w="0" w:type="dxa"/>
          <w:right w:w="0" w:type="dxa"/>
        </w:tblCellMar>
        <w:tblLook w:val="01E0" w:firstRow="1" w:lastRow="1" w:firstColumn="1" w:lastColumn="1" w:noHBand="0" w:noVBand="0"/>
      </w:tblPr>
      <w:tblGrid>
        <w:gridCol w:w="8644"/>
      </w:tblGrid>
      <w:tr w:rsidR="00B54FD5" w:rsidRPr="00D3066F" w14:paraId="1B53D78E" w14:textId="77777777" w:rsidTr="002F688D">
        <w:trPr>
          <w:trHeight w:val="3943"/>
        </w:trPr>
        <w:tc>
          <w:tcPr>
            <w:tcW w:w="8644" w:type="dxa"/>
          </w:tcPr>
          <w:p w14:paraId="57C42888" w14:textId="0872D0DB" w:rsidR="00B54FD5" w:rsidRPr="00D3066F" w:rsidRDefault="005F31CC" w:rsidP="005F31CC">
            <w:pPr>
              <w:pStyle w:val="ForsideOverskrift1"/>
            </w:pPr>
            <w:r>
              <w:t>Sensor-based behavioural monitoring setup</w:t>
            </w:r>
            <w:r w:rsidR="00634349">
              <w:t xml:space="preserve"> to support dementia care</w:t>
            </w:r>
          </w:p>
        </w:tc>
      </w:tr>
      <w:tr w:rsidR="00B54FD5" w:rsidRPr="00D3066F" w14:paraId="454974B5" w14:textId="77777777" w:rsidTr="002F688D">
        <w:trPr>
          <w:trHeight w:val="3452"/>
        </w:trPr>
        <w:tc>
          <w:tcPr>
            <w:tcW w:w="8644" w:type="dxa"/>
          </w:tcPr>
          <w:p w14:paraId="73A49567" w14:textId="77777777" w:rsidR="00B54FD5" w:rsidRDefault="00DB2C57" w:rsidP="00DB2C57">
            <w:r w:rsidRPr="00DB2C57">
              <w:t>Abstract</w:t>
            </w:r>
            <w:r>
              <w:t>:</w:t>
            </w:r>
          </w:p>
          <w:p w14:paraId="04D05322" w14:textId="77777777" w:rsidR="00F33E4D" w:rsidRDefault="008A6BF6" w:rsidP="008A6BF6">
            <w:r>
              <w:t>Mobility plays a critical role in enhancing quality of life among people with dementia.</w:t>
            </w:r>
          </w:p>
          <w:p w14:paraId="3DA395FB" w14:textId="16865045" w:rsidR="008A6BF6" w:rsidRDefault="008A6BF6" w:rsidP="009C0631">
            <w:r>
              <w:t>Mobile and wearable technology offers a promising alternative to questionnaire-based methods for measuring out-of-home mobility continuously, passively and remotely</w:t>
            </w:r>
            <w:r w:rsidR="009C0631">
              <w:t xml:space="preserve"> using location data from device sensors.</w:t>
            </w:r>
          </w:p>
          <w:p w14:paraId="2084318A" w14:textId="5E6CBD78" w:rsidR="009C0631" w:rsidRDefault="009C0631" w:rsidP="009C0631">
            <w:r>
              <w:t xml:space="preserve">This work presents a mobility monitoring system developed to accommodate a wide variety of mobile/wearable devices and calculate a broad set of </w:t>
            </w:r>
            <w:r w:rsidR="00FD3692">
              <w:t xml:space="preserve">spatial, temporal and frequency-based </w:t>
            </w:r>
            <w:r>
              <w:t xml:space="preserve">mobility metrics. Additionally, we present a sensor-based implementation of the mobility measurement approach employed by established life space assessments. </w:t>
            </w:r>
          </w:p>
          <w:p w14:paraId="527B0A0C" w14:textId="77777777" w:rsidR="009C0631" w:rsidRDefault="00FD3692" w:rsidP="00FD3692">
            <w:r>
              <w:t>Data is collected using</w:t>
            </w:r>
            <w:r w:rsidR="009C0631">
              <w:t xml:space="preserve"> a smartwatch, smartphone and </w:t>
            </w:r>
            <w:r>
              <w:t xml:space="preserve">custom </w:t>
            </w:r>
            <w:r w:rsidR="009C0631">
              <w:t>application</w:t>
            </w:r>
            <w:r>
              <w:t xml:space="preserve"> based on open source resources. A set of algorithms is developed to extract trajectories, features and mobility assessment results from raw location data. The system is evaluated in pilot study with 5 healthy volunteers, and using data from a series of 6 case studies including people with dementia. Results demonstrate that the system performs adequately and minimal data pre-processing, is comparable with subject perceptions </w:t>
            </w:r>
            <w:proofErr w:type="gramStart"/>
            <w:r>
              <w:t>…[</w:t>
            </w:r>
            <w:proofErr w:type="gramEnd"/>
            <w:r>
              <w:t>TBC when all results are final].</w:t>
            </w:r>
          </w:p>
          <w:p w14:paraId="7A811682" w14:textId="102FD5CA" w:rsidR="00FD3692" w:rsidRPr="00D3066F" w:rsidRDefault="00FD3692" w:rsidP="00FD3692">
            <w:r>
              <w:t>Sensor-based mobility monitoring could greatly benefit dementia care, offering new/important opportunities for proactive and personalised care approaches.</w:t>
            </w:r>
          </w:p>
        </w:tc>
      </w:tr>
      <w:tr w:rsidR="00B54FD5" w:rsidRPr="00D3066F" w14:paraId="1D27B0BD" w14:textId="77777777" w:rsidTr="002F688D">
        <w:tc>
          <w:tcPr>
            <w:tcW w:w="8644" w:type="dxa"/>
          </w:tcPr>
          <w:p w14:paraId="2E0F2AC8" w14:textId="77777777" w:rsidR="00B54FD5" w:rsidRPr="00D3066F" w:rsidRDefault="00B54FD5" w:rsidP="00A21212">
            <w:pPr>
              <w:pStyle w:val="Forfatter"/>
            </w:pPr>
            <w:bookmarkStart w:id="0" w:name="FLD_Authors"/>
            <w:bookmarkEnd w:id="0"/>
          </w:p>
          <w:p w14:paraId="16E90B22" w14:textId="77777777" w:rsidR="00B54FD5" w:rsidRPr="00D3066F" w:rsidRDefault="00B54FD5" w:rsidP="0092466D"/>
          <w:p w14:paraId="055CCDFA" w14:textId="77777777" w:rsidR="00B54FD5" w:rsidRPr="00D3066F" w:rsidRDefault="00B54FD5" w:rsidP="0092466D"/>
          <w:p w14:paraId="5456B341" w14:textId="44244511" w:rsidR="00B54FD5" w:rsidRPr="00D3066F" w:rsidRDefault="00F33E4D" w:rsidP="00AC2E07">
            <w:bookmarkStart w:id="1" w:name="CUS_Date"/>
            <w:r>
              <w:t>July</w:t>
            </w:r>
            <w:r w:rsidR="005F5D16">
              <w:t xml:space="preserve"> 2018</w:t>
            </w:r>
            <w:bookmarkEnd w:id="1"/>
          </w:p>
        </w:tc>
      </w:tr>
    </w:tbl>
    <w:p w14:paraId="16B3FA43" w14:textId="77777777" w:rsidR="007D4E32" w:rsidRDefault="007D4E32" w:rsidP="00CA55BC"/>
    <w:p w14:paraId="11948747" w14:textId="77777777" w:rsidR="0045214D" w:rsidRDefault="0045214D" w:rsidP="00CA55BC"/>
    <w:p w14:paraId="0A166558" w14:textId="77777777" w:rsidR="0045214D" w:rsidRDefault="0045214D" w:rsidP="00CA55BC"/>
    <w:p w14:paraId="183A9D70" w14:textId="77777777" w:rsidR="0045214D" w:rsidRDefault="0045214D" w:rsidP="00CA55BC">
      <w:pPr>
        <w:sectPr w:rsidR="0045214D" w:rsidSect="0045214D">
          <w:headerReference w:type="even" r:id="rId8"/>
          <w:headerReference w:type="default" r:id="rId9"/>
          <w:headerReference w:type="first" r:id="rId10"/>
          <w:pgSz w:w="11907" w:h="16840" w:code="9"/>
          <w:pgMar w:top="1593" w:right="1418" w:bottom="1559" w:left="1985" w:header="709" w:footer="726" w:gutter="0"/>
          <w:cols w:space="708"/>
          <w:titlePg/>
          <w:docGrid w:linePitch="360"/>
        </w:sectPr>
      </w:pPr>
    </w:p>
    <w:p w14:paraId="1BB69B92" w14:textId="77777777" w:rsidR="00586489" w:rsidRPr="00D3066F" w:rsidRDefault="00DB2C57" w:rsidP="00960858">
      <w:pPr>
        <w:pStyle w:val="Heading1"/>
      </w:pPr>
      <w:commentRangeStart w:id="2"/>
      <w:r>
        <w:lastRenderedPageBreak/>
        <w:t>Introduction</w:t>
      </w:r>
      <w:r w:rsidR="00751BA2">
        <w:t xml:space="preserve"> (motivation)</w:t>
      </w:r>
      <w:r w:rsidR="00DE09F5">
        <w:t xml:space="preserve"> [</w:t>
      </w:r>
      <w:r w:rsidR="00DF164D">
        <w:t>1</w:t>
      </w:r>
      <w:r w:rsidR="00DE09F5">
        <w:t>]</w:t>
      </w:r>
      <w:commentRangeEnd w:id="2"/>
      <w:r w:rsidR="00B65FF5">
        <w:rPr>
          <w:rStyle w:val="CommentReference"/>
          <w:rFonts w:ascii="Arial" w:hAnsi="Arial" w:cs="Times New Roman"/>
          <w:bCs w:val="0"/>
        </w:rPr>
        <w:commentReference w:id="2"/>
      </w:r>
    </w:p>
    <w:p w14:paraId="5CBE6C20" w14:textId="7CD75C9D" w:rsidR="0036149E" w:rsidRDefault="00CA3635" w:rsidP="00DE151F">
      <w:r>
        <w:t xml:space="preserve">The ageing of the population and consequent rise in prevalence of conditions such as dementia presents a great challenge to society. </w:t>
      </w:r>
      <w:r w:rsidR="0036149E">
        <w:t xml:space="preserve">New care approaches are needed to overcome the increasing disparity between </w:t>
      </w:r>
      <w:r w:rsidR="00445D38">
        <w:t xml:space="preserve">available resources </w:t>
      </w:r>
      <w:r w:rsidR="0036149E">
        <w:t>and</w:t>
      </w:r>
      <w:r w:rsidR="00445D38" w:rsidRPr="00445D38">
        <w:t xml:space="preserve"> </w:t>
      </w:r>
      <w:r w:rsidR="00830645">
        <w:t xml:space="preserve">the growing </w:t>
      </w:r>
      <w:r w:rsidR="00445D38">
        <w:t>demands on our healthcare systems</w:t>
      </w:r>
      <w:r w:rsidR="0036149E">
        <w:t xml:space="preserve">. Many </w:t>
      </w:r>
      <w:r w:rsidR="009869C0">
        <w:t>interesting</w:t>
      </w:r>
      <w:r w:rsidR="0036149E">
        <w:t xml:space="preserve"> opportunities are presented by</w:t>
      </w:r>
      <w:r w:rsidR="00830645">
        <w:t xml:space="preserve"> smart</w:t>
      </w:r>
      <w:r w:rsidR="0036149E">
        <w:t xml:space="preserve"> mobile and wearable technologies</w:t>
      </w:r>
      <w:r w:rsidR="007A4B21">
        <w:t>. Our personal devices are capable of</w:t>
      </w:r>
      <w:r w:rsidR="0036149E">
        <w:t xml:space="preserve"> </w:t>
      </w:r>
      <w:r w:rsidR="007A4B21">
        <w:t xml:space="preserve">generating rich data </w:t>
      </w:r>
      <w:r w:rsidR="00830645">
        <w:t xml:space="preserve">throughout everyday life </w:t>
      </w:r>
      <w:r w:rsidR="007A4B21">
        <w:t>from on-board and connected sensors</w:t>
      </w:r>
      <w:r w:rsidR="00445D38">
        <w:t>,</w:t>
      </w:r>
      <w:r w:rsidR="007A4B21">
        <w:t xml:space="preserve"> and </w:t>
      </w:r>
      <w:r w:rsidR="009869C0">
        <w:t xml:space="preserve">provide </w:t>
      </w:r>
      <w:r w:rsidR="007A4B21">
        <w:t xml:space="preserve">a convenient and familiar platform through which to offer various </w:t>
      </w:r>
      <w:r w:rsidR="00445D38">
        <w:t xml:space="preserve">forms of </w:t>
      </w:r>
      <w:r w:rsidR="007A4B21">
        <w:t xml:space="preserve">support </w:t>
      </w:r>
      <w:r w:rsidR="003E771C">
        <w:t>via</w:t>
      </w:r>
      <w:r w:rsidR="007A4B21">
        <w:t xml:space="preserve"> applications. For dementia, smart technology has been used to…</w:t>
      </w:r>
      <w:r w:rsidR="00A01788">
        <w:t xml:space="preserve"> </w:t>
      </w:r>
      <w:r w:rsidR="00A01788">
        <w:rPr>
          <w:i/>
          <w:color w:val="3366CC" w:themeColor="accent4"/>
        </w:rPr>
        <w:t>[g</w:t>
      </w:r>
      <w:r w:rsidR="007A4B21" w:rsidRPr="007A4B21">
        <w:rPr>
          <w:i/>
          <w:color w:val="3366CC" w:themeColor="accent4"/>
        </w:rPr>
        <w:t xml:space="preserve">et key references from </w:t>
      </w:r>
      <w:r w:rsidR="003830B2" w:rsidRPr="007A4B21">
        <w:rPr>
          <w:i/>
          <w:color w:val="3366CC" w:themeColor="accent4"/>
        </w:rPr>
        <w:t>earlier</w:t>
      </w:r>
      <w:r w:rsidR="007A4B21" w:rsidRPr="007A4B21">
        <w:rPr>
          <w:i/>
          <w:color w:val="3366CC" w:themeColor="accent4"/>
        </w:rPr>
        <w:t xml:space="preserve"> literature review</w:t>
      </w:r>
      <w:r w:rsidR="005E4A5E">
        <w:rPr>
          <w:i/>
          <w:color w:val="3366CC" w:themeColor="accent4"/>
        </w:rPr>
        <w:t>, examples include</w:t>
      </w:r>
      <w:r w:rsidR="005E4A5E" w:rsidRPr="005E4A5E">
        <w:rPr>
          <w:i/>
          <w:color w:val="3366CC" w:themeColor="accent4"/>
        </w:rPr>
        <w:t xml:space="preserve"> detection of ADL’s; wandering; falls</w:t>
      </w:r>
      <w:r w:rsidR="005E4A5E">
        <w:rPr>
          <w:i/>
          <w:color w:val="3366CC" w:themeColor="accent4"/>
        </w:rPr>
        <w:t>;</w:t>
      </w:r>
      <w:r w:rsidR="005E4A5E" w:rsidRPr="005E4A5E">
        <w:rPr>
          <w:i/>
          <w:color w:val="3366CC" w:themeColor="accent4"/>
        </w:rPr>
        <w:t xml:space="preserve"> support with managing ADL’s/memory s</w:t>
      </w:r>
      <w:r w:rsidR="00BD264B">
        <w:rPr>
          <w:i/>
          <w:color w:val="3366CC" w:themeColor="accent4"/>
        </w:rPr>
        <w:t xml:space="preserve">upport, stimulating activities, </w:t>
      </w:r>
      <w:r w:rsidR="005E4A5E" w:rsidRPr="005E4A5E">
        <w:rPr>
          <w:i/>
          <w:color w:val="3366CC" w:themeColor="accent4"/>
        </w:rPr>
        <w:t>etc.</w:t>
      </w:r>
      <w:r w:rsidR="00A01788">
        <w:rPr>
          <w:i/>
          <w:color w:val="3366CC" w:themeColor="accent4"/>
        </w:rPr>
        <w:t>]</w:t>
      </w:r>
      <w:r w:rsidR="007A4B21">
        <w:t xml:space="preserve">. </w:t>
      </w:r>
      <w:r w:rsidR="00445D38">
        <w:t xml:space="preserve">Leveraging the functionality of mobile technologies will become even more relevant as today’s highest adopters age. It is therefore </w:t>
      </w:r>
      <w:r w:rsidR="00830645">
        <w:t xml:space="preserve">already </w:t>
      </w:r>
      <w:r w:rsidR="00445D38">
        <w:t>important</w:t>
      </w:r>
      <w:r w:rsidR="00830645">
        <w:t xml:space="preserve"> now</w:t>
      </w:r>
      <w:r w:rsidR="00445D38">
        <w:t xml:space="preserve"> to examine how personal devices and the data these generate can be used to support dementia care.</w:t>
      </w:r>
    </w:p>
    <w:p w14:paraId="2D81B242" w14:textId="59BC3445" w:rsidR="006A7368" w:rsidRDefault="00445D38" w:rsidP="006A7368">
      <w:commentRangeStart w:id="3"/>
      <w:r>
        <w:t xml:space="preserve">One interesting </w:t>
      </w:r>
      <w:r w:rsidR="00A01788">
        <w:t>avenue is mobility monitoring</w:t>
      </w:r>
      <w:r w:rsidR="001161B0">
        <w:t>, specifically out-of-home (or global) mobility, which describes the extent to which an individual moves within their environment</w:t>
      </w:r>
      <w:r w:rsidR="00A95F9D">
        <w:t xml:space="preserve"> by any means</w:t>
      </w:r>
      <w:r w:rsidR="00A75B4E">
        <w:t>.</w:t>
      </w:r>
      <w:commentRangeEnd w:id="3"/>
      <w:r w:rsidR="005F31CC">
        <w:rPr>
          <w:rStyle w:val="CommentReference"/>
        </w:rPr>
        <w:commentReference w:id="3"/>
      </w:r>
      <w:r w:rsidR="00A75B4E">
        <w:t xml:space="preserve"> </w:t>
      </w:r>
      <w:r w:rsidR="008B0420">
        <w:t>Both increasing age and cognitive impairment are associated with reduced mobility</w:t>
      </w:r>
      <w:r w:rsidR="00F073E9">
        <w:t xml:space="preserve"> </w:t>
      </w:r>
      <w:r w:rsidR="00F073E9">
        <w:fldChar w:fldCharType="begin" w:fldLock="1"/>
      </w:r>
      <w:r w:rsidR="00F073E9">
        <w:instrText>ADDIN CSL_CITATION { "citationItems" : [ { "id" : "ITEM-1", "itemData" : { "DOI" : "10.1017/S0144686X10001455", "ISSN" : "0144686X", "abstract" : "Cognitive impairment manifests in changed out-of-home mobility. Until recently, the assessment of outdoor mobility relied on the reports of family care-givers and institutional staff and used observational approaches, activity monitoring or behavioural checklists. This article presents data for 41 mildly demented, mildly cognitively impaired and healthy men and women aged 64-90 years in Tel-Aviv (Israel) who took part in an interdisciplinary project, SenTra, that is studying the outdoor activities of elderly people using advanced tracking technologies and that involves researchers from geography, social work, gerontology, psychology and medicine. The participants were tracked for 28 consecutive days using a location kit that combined a global positioning system (GPS) with radio frequency identification. The high-resolution spatial and temporal data enabled detailed analysis of the differences in the timing and distance of the participants' daily outdoor mobility patterns. It was found that the spatial range of the mobility of elderly people with cognitive impairment is severely restricted, with most out-of-home time spent in close proximity to their residences. We conclude that GPS is an advanced research tool able to understand out-of-home behaviour better than was possible with previous methods. \u00a9 Copyright Cambridge University Press 2011.", "author" : [ { "dropping-particle" : "", "family" : "Shoval", "given" : "N.a", "non-dropping-particle" : "", "parse-names" : false, "suffix" : "" }, { "dropping-particle" : "", "family" : "Wahl", "given" : "H.-W.b", "non-dropping-particle" : "", "parse-names" : false, "suffix" : "" }, { "dropping-particle" : "", "family" : "Auslander", "given" : "G.a", "non-dropping-particle" : "", "parse-names" : false, "suffix" : "" }, { "dropping-particle" : "", "family" : "Isaacson", "given" : "M.a", "non-dropping-particle" : "", "parse-names" : false, "suffix" : "" }, { "dropping-particle" : "", "family" : "Oswald", "given" : "F.c", "non-dropping-particle" : "", "parse-names" : false, "suffix" : "" }, { "dropping-particle" : "", "family" : "Edry", "given" : "T.a", "non-dropping-particle" : "", "parse-names" : false, "suffix" : "" }, { "dropping-particle" : "", "family" : "Landau", "given" : "R.a", "non-dropping-particle" : "", "parse-names" : false, "suffix" : "" }, { "dropping-particle" : "", "family" : "Heinik", "given" : "J.d", "non-dropping-particle" : "", "parse-names" : false, "suffix" : "" } ], "container-title" : "Ageing and Society", "id" : "ITEM-1", "issue" : "5", "issued" : { "date-parts" : [ [ "2011" ] ] }, "note" : "cited By 19", "page" : "849-869", "title" : "Use of the global positioning system to measure the out-of-home mobility of older adults with differing cognitive functioning", "type" : "article-journal", "volume" : "31" }, "uris" : [ "http://www.mendeley.com/documents/?uuid=a2e9828c-eb78-46a3-bfc9-88f487c69093" ] }, { "id" : "ITEM-2", "itemData" : { "DOI" : "10.1177/0898264313482489", "ISBN" : "0898264313482", "ISSN" : "08982643", "PMID" : "23548944", "abstract" : "OBJECTIVE To examine cross sectional associations between mobility with or without disability and social engagement in a community-based sample of older adults. METHODS Social engagement of participants (n = 676) was outside the home (participation in organizations and use of senior centers) and in home (talking by phone and use of Internet). Logistic or proportional odds models evaluated the association between social engagement and position in the disablement process (no mobility limitations, mobility limitations/no disability, and mobility limitations/disability). RESULTS Low mobility was associated with lower level of social engagement of all forms (Odds ratio (OR) = 0.59, confidence intervals (CI): 0.41-0.85 for organizations; OR = 0.67, CI: 0.42-1.06 for senior center; OR = 0.47, CI: 0.32-0.70 for phone; OR = 0.38, CI: 0.23-0.65 for Internet). For social engagement outside the home, odds of engagement were further reduced for individuals with disability. DISCUSSION Low mobility is associated with low social engagement even in the absence of disability; associations with disability differed by type of social engagement.", "author" : [ { "dropping-particle" : "", "family" : "Rosso", "given" : "Andrea L.", "non-dropping-particle" : "", "parse-names" : false, "suffix" : "" }, { "dropping-particle" : "", "family" : "Taylor", "given" : "Jennifer A.", "non-dropping-particle" : "", "parse-names" : false, "suffix" : "" }, { "dropping-particle" : "", "family" : "Tabb", "given" : "Loni Philip", "non-dropping-particle" : "", "parse-names" : false, "suffix" : "" }, { "dropping-particle" : "", "family" : "Michael", "given" : "Yvonne L.", "non-dropping-particle" : "", "parse-names" : false, "suffix" : "" } ], "container-title" : "Journal of Aging and Health", "id" : "ITEM-2", "issue" : "4", "issued" : { "date-parts" : [ [ "2013" ] ] }, "page" : "617-637", "title" : "Mobility, disability, and social engagement in older adults", "type" : "article-journal", "volume" : "25" }, "uris" : [ "http://www.mendeley.com/documents/?uuid=8c871468-55ea-42a3-b5d4-dfd2360e1814" ] } ], "mendeley" : { "formattedCitation" : "(Rosso, Taylor, Tabb, &amp; Michael, 2013; Shoval et al., 2011)", "plainTextFormattedCitation" : "(Rosso, Taylor, Tabb, &amp; Michael, 2013; Shoval et al., 2011)" }, "properties" : { "noteIndex" : 0 }, "schema" : "https://github.com/citation-style-language/schema/raw/master/csl-citation.json" }</w:instrText>
      </w:r>
      <w:r w:rsidR="00F073E9">
        <w:fldChar w:fldCharType="separate"/>
      </w:r>
      <w:r w:rsidR="00F073E9" w:rsidRPr="00F073E9">
        <w:rPr>
          <w:noProof/>
        </w:rPr>
        <w:t>(Rosso, Taylor, Tabb, &amp; Michael, 2013; Shoval et al., 2011)</w:t>
      </w:r>
      <w:r w:rsidR="00F073E9">
        <w:fldChar w:fldCharType="end"/>
      </w:r>
      <w:r w:rsidR="008B0420">
        <w:t xml:space="preserve">. This is of great concern regarding quality of life for people with dementia, since mobility is intrinsically linked to social engagement, functional capacity, affective state and caregiver burden, and a decisive factor for active aging </w:t>
      </w:r>
      <w:r w:rsidR="008B0420">
        <w:fldChar w:fldCharType="begin" w:fldLock="1"/>
      </w:r>
      <w:r w:rsidR="00F073E9">
        <w:instrText>ADDIN CSL_CITATION { "citationItems" : [ { "id" : "ITEM-1", "itemData" : { "DOI" : "10.1093/geront/gnq013", "ISBN" : "1758-5341 (Electronic)\\n0016-9013 (Linking)", "ISSN" : "00169013", "PMID" : "20145017", "abstract" : "Mobility is fundamental to active aging and is intimately linked to health status and quality of life. Although there is widespread acceptance regarding the importance of mobility in older adults, there have been few attempts to comprehensively portray mobility, and research has to a large extent been discipline specific. In this article, a new theoretical framework for mobility is presented with the goals of raising awareness of the complexity of factors that influence mobility and stimulating new integrative and interdisciplinary research ideas. Mobility is broadly defined as the ability to move oneself (e.g., by walking, by using assistive devices, or by using transportation) within community environments that expand from one's home, to the neighborhood, and to regions beyond. The concept of mobility is portrayed through 5 fundamental categories of determinants (cognitive, psychosocial, physical, environmental, and financial), with gender, culture, and biography (personal life history) conceptualized as critical cross-cutting influences. Each category of determinants consists of an increasing number of factors, demonstrating greater complexity, as the mobility environment expands farther from the home. The framework illustrates how mobility impairments can lead to limitations in accessing different life-spaces and stresses the associations among determinants that influence mobility. By bridging disciplines and representing mobility in an inclusive manner, the model suggests that research needs to be more interdisciplinary and current mobility findings should be interpreted more comprehensively, and new more complex strategies should be developed to address mobility concerns.", "author" : [ { "dropping-particle" : "", "family" : "Webber", "given" : "Sandra C.", "non-dropping-particle" : "", "parse-names" : false, "suffix" : "" }, { "dropping-particle" : "", "family" : "Porter", "given" : "Michelle M.", "non-dropping-particle" : "", "parse-names" : false, "suffix" : "" }, { "dropping-particle" : "", "family" : "Menec", "given" : "Verena H.", "non-dropping-particle" : "", "parse-names" : false, "suffix" : "" } ], "container-title" : "Gerontologist", "id" : "ITEM-1", "issue" : "4", "issued" : { "date-parts" : [ [ "2010" ] ] }, "page" : "443-450", "title" : "Mobility in older adults: A comprehensive framework", "type" : "article-journal", "volume" : "50" }, "uris" : [ "http://www.mendeley.com/documents/?uuid=6a03916c-b23a-4f12-8bfd-438d77c3939c" ] }, { "id" : "ITEM-2", "itemData" : { "DOI" : "10.1177/0898264313482489", "ISBN" : "0898264313482", "ISSN" : "08982643", "PMID" : "23548944", "abstract" : "OBJECTIVE To examine cross sectional associations between mobility with or without disability and social engagement in a community-based sample of older adults. METHODS Social engagement of participants (n = 676) was outside the home (participation in organizations and use of senior centers) and in home (talking by phone and use of Internet). Logistic or proportional odds models evaluated the association between social engagement and position in the disablement process (no mobility limitations, mobility limitations/no disability, and mobility limitations/disability). RESULTS Low mobility was associated with lower level of social engagement of all forms (Odds ratio (OR) = 0.59, confidence intervals (CI): 0.41-0.85 for organizations; OR = 0.67, CI: 0.42-1.06 for senior center; OR = 0.47, CI: 0.32-0.70 for phone; OR = 0.38, CI: 0.23-0.65 for Internet). For social engagement outside the home, odds of engagement were further reduced for individuals with disability. DISCUSSION Low mobility is associated with low social engagement even in the absence of disability; associations with disability differed by type of social engagement.", "author" : [ { "dropping-particle" : "", "family" : "Rosso", "given" : "Andrea L.", "non-dropping-particle" : "", "parse-names" : false, "suffix" : "" }, { "dropping-particle" : "", "family" : "Taylor", "given" : "Jennifer A.", "non-dropping-particle" : "", "parse-names" : false, "suffix" : "" }, { "dropping-particle" : "", "family" : "Tabb", "given" : "Loni Philip", "non-dropping-particle" : "", "parse-names" : false, "suffix" : "" }, { "dropping-particle" : "", "family" : "Michael", "given" : "Yvonne L.", "non-dropping-particle" : "", "parse-names" : false, "suffix" : "" } ], "container-title" : "Journal of Aging and Health", "id" : "ITEM-2", "issue" : "4", "issued" : { "date-parts" : [ [ "2013" ] ] }, "page" : "617-637", "title" : "Mobility, disability, and social engagement in older adults", "type" : "article-journal", "volume" : "25" }, "uris" : [ "http://www.mendeley.com/documents/?uuid=8c871468-55ea-42a3-b5d4-dfd2360e1814" ] }, { "id" : "ITEM-3", "itemData" : { "DOI" : "10.1017/S1041610212001135", "ISSN" : "1741-203X (Electronic)", "PMID" : "22874772", "abstract" : "BACKGROUND: Out-of-home mobility refers to the realization of trips outside the home, by foot or by other means of transportation. Although out-of-home mobility is important for the well-being of older people with cognitive impairment, its importance for their caregivers is not clear. This study aims to clarify the relationship between caregiving burden and out-of-home mobility of care-recipients using Global Positioning Systems (GPS) technology. METHODS: Seventy-six dyads (care-recipients and caregivers) were recruited from a psychogeriatric center, where they underwent cognitive assessment, followed by psychosocial interviews at home. Care-recipients received GPS tracking kits to carry for a period of four weeks, whenever they left home. Mobility data and diagnostic and psychosocial data were examined in relation to caregiver burden. RESULTS: The strongest predictors of burden were care-recipients' lower cognitive status and more time spent walking out-of-home. An interaction was found between cognitive status and time spent walking in relation to caregiver burden. The relationship between walking and burden was stronger among caregivers of care-recipients with dementia than caregivers of care-recipients with no cognitive impairment or mild cognitive impairment. Care-recipients' behavioral and emotional states were also positively related to caregiver burden. CONCLUSIONS: The findings stress the importance of maintaining older persons' out-of-home mobility during cognitive decline.", "author" : [ { "dropping-particle" : "", "family" : "Werner", "given" : "Shirli", "non-dropping-particle" : "", "parse-names" : false, "suffix" : "" }, { "dropping-particle" : "", "family" : "Auslander", "given" : "Gail K", "non-dropping-particle" : "", "parse-names" : false, "suffix" : "" }, { "dropping-particle" : "", "family" : "Shoval", "given" : "Noam", "non-dropping-particle" : "", "parse-names" : false, "suffix" : "" }, { "dropping-particle" : "", "family" : "Gitlitz", "given" : "Tamar", "non-dropping-particle" : "", "parse-names" : false, "suffix" : "" }, { "dropping-particle" : "", "family" : "Landau", "given" : "Ruth", "non-dropping-particle" : "", "parse-names" : false, "suffix" : "" }, { "dropping-particle" : "", "family" : "Heinik", "given" : "Jeremia", "non-dropping-particle" : "", "parse-names" : false, "suffix" : "" } ], "container-title" : "International psychogeriatrics / IPA", "id" : "ITEM-3", "issue" : "11", "issued" : { "date-parts" : [ [ "2012", "11" ] ] }, "language" : "eng", "note" : "From Duplicate 1 (Caregiving burden and out-of-home mobility of cognitively impaired care-recipients based on GPS tracking. - Werner, Shirli; Auslander, Gail K; Shoval, Noam; Gitlitz, Tamar; Landau, Ruth; Heinik, Jeremia)\n\nFrom Duplicate 1 (Caregiving burden and out-of-home mobility of cognitively impaired care-recipients based on GPS tracking. - Werner, Shirli; Auslander, Gail K; Shoval, Noam; Gitlitz, Tamar; Landau, Ruth; Heinik, Jeremia)\n\nNot really to do with rehabiliation or support, more about using the mobility measurements for other research - but included for now.", "page" : "1836-1845", "publisher-place" : "England", "title" : "Caregiving burden and out-of-home mobility of cognitively impaired care-recipients based on GPS tracking.", "type" : "article-journal", "volume" : "24" }, "uris" : [ "http://www.mendeley.com/documents/?uuid=05328d0c-3c1f-48cb-a6f7-3f3eb0592732" ] }, { "id" : "ITEM-4", "itemData" : { "DOI" : "10.1159/000355669", "ISSN" : "1423-0003 (Electronic)", "PMID" : "24356464", "abstract" : "BACKGROUND: As an indicator of physical and cognitive functioning in community-dwelling older adults, there is increasing interest in measuring life space, defined as the geographical area a person covers in daily life. Typically measured through questionnaires, life space can be challenging to assess in amnestic dementia associated with Alzheimer's disease (AD). While global positioning system (GPS) technology has been suggested as a potential solution, there remains a lack of data validating GPS-based methods to measure life space in cognitively impaired populations. OBJECTIVE: The purpose of the study was to evaluate the construct validity of a GPS system to provide quantitative measurements of global movement for individuals with mild-to-moderate AD. METHODS: Nineteen community-dwelling older adults with mild-to-moderate AD (Mini-Mental State Examination score 14-28, age 70.7 +/- 2.2 years) and 33 controls (CTL; age 74.0 +/- 1.2 years) wore a GPS-enabled mobile phone during the day for 3 days. Measures of geographical territory (area, perimeter, mean distance from home, and time away from home) were calculated from the GPS log. Following a log-transformation to produce symmetrical distributions, group differences were tested using two-sample t tests. Construct validity of the GPS measures was tested by examining the correlation between the GPS measures and indicators of physical function [steps/day, gait velocity, and Disability Assessment for Dementia (DAD)] and affective state (Apathy Evaluation Scale and Geriatric Depression Scale). Multivariate regression was performed to evaluate the relative strength of significantly correlated factors. RESULTS: GPS-derived area (p &lt; 0.01), perimeter (p &lt; 0.01), and mean distance from home (p &lt; 0.05) were smaller in the AD group compared to CTL. The correlation analysis found significant associations of the GPS measures area and perimeter with all measures of physical function (steps/day, DAD, and gait velocity; p &lt; 0.01), symptoms of apathy (p &lt; 0.01), and depression (p &lt; 0.05). Multivariate regression analysis indicated that gait velocity and dependence were the strongest variables associated with GPS measures. CONCLUSION: This study demonstrated that GPS-derived area and perimeter: (1) distinguished mild-to-moderate AD patients from CTL and (2) were strongly correlated with physical function and affective state. These findings confirm the ability of GPS technology to assess life space behaviour and may be p\u2026", "author" : [ { "dropping-particle" : "", "family" : "Tung", "given" : "James Yungjen", "non-dropping-particle" : "", "parse-names" : false, "suffix" : "" }, { "dropping-particle" : "", "family" : "Rose", "given" : "Rhiannon Victoria", "non-dropping-particle" : "", "parse-names" : false, "suffix" : "" }, { "dropping-particle" : "", "family" : "Gammada", "given" : "Emnet", "non-dropping-particle" : "", "parse-names" : false, "suffix" : "" }, { "dropping-particle" : "", "family" : "Lam", "given" : "Isabel", "non-dropping-particle" : "", "parse-names" : false, "suffix" : "" }, { "dropping-particle" : "", "family" : "Roy", "given" : "Eric Alexander", "non-dropping-particle" : "", "parse-names" : false, "suffix" : "" }, { "dropping-particle" : "", "family" : "Black", "given" : "Sandra E", "non-dropping-particle" : "", "parse-names" : false, "suffix" : "" }, { "dropping-particle" : "", "family" : "Poupart", "given" : "Pascal", "non-dropping-particle" : "", "parse-names" : false, "suffix" : "" } ], "container-title" : "Gerontology", "id" : "ITEM-4", "issue" : "2", "issued" : { "date-parts" : [ [ "2014" ] ] }, "language" : "eng", "page" : "154-162", "publisher-place" : "Switzerland", "title" : "Measuring life space in older adults with mild-to-moderate Alzheimer's disease using mobile phone GPS.", "type" : "article-journal", "volume" : "60" }, "uris" : [ "http://www.mendeley.com/documents/?uuid=21f19ab9-ac63-406d-9137-eece5b96dae7" ] } ], "mendeley" : { "formattedCitation" : "(Rosso et al., 2013; J. Y. Tung et al., 2014a; Webber, Porter, &amp; Menec, 2010; Werner et al., 2012)", "plainTextFormattedCitation" : "(Rosso et al., 2013; J. Y. Tung et al., 2014a; Webber, Porter, &amp; Menec, 2010; Werner et al., 2012)", "previouslyFormattedCitation" : "(Rosso, Taylor, Tabb, &amp; Michael, 2013; J. Y. Tung et al., 2014a; Webber, Porter, &amp; Menec, 2010; Werner et al., 2012)" }, "properties" : { "noteIndex" : 0 }, "schema" : "https://github.com/citation-style-language/schema/raw/master/csl-citation.json" }</w:instrText>
      </w:r>
      <w:r w:rsidR="008B0420">
        <w:fldChar w:fldCharType="separate"/>
      </w:r>
      <w:r w:rsidR="00F073E9" w:rsidRPr="00F073E9">
        <w:rPr>
          <w:noProof/>
        </w:rPr>
        <w:t>(Rosso et al., 2013; J. Y. Tung et al., 2014a; Webber, Porter, &amp; Menec, 2010; Werner et al., 2012)</w:t>
      </w:r>
      <w:r w:rsidR="008B0420">
        <w:fldChar w:fldCharType="end"/>
      </w:r>
      <w:r w:rsidR="008B0420">
        <w:t>.</w:t>
      </w:r>
      <w:r w:rsidR="00F073E9">
        <w:t xml:space="preserve"> </w:t>
      </w:r>
      <w:r w:rsidR="003830B2">
        <w:t xml:space="preserve">Several factors may be at play </w:t>
      </w:r>
      <w:r w:rsidR="00B654D6">
        <w:t>whe</w:t>
      </w:r>
      <w:r w:rsidR="009869C0">
        <w:t>n</w:t>
      </w:r>
      <w:r w:rsidR="003830B2">
        <w:t xml:space="preserve"> cognitive impairment</w:t>
      </w:r>
      <w:r w:rsidR="00B654D6">
        <w:t xml:space="preserve"> leads</w:t>
      </w:r>
      <w:r w:rsidR="003830B2">
        <w:t xml:space="preserve"> to reduce</w:t>
      </w:r>
      <w:r w:rsidR="00B654D6">
        <w:t>d mobility</w:t>
      </w:r>
      <w:r w:rsidR="00BC02F4">
        <w:t>, such as c</w:t>
      </w:r>
      <w:r w:rsidR="00B654D6">
        <w:t>oncerns about safety</w:t>
      </w:r>
      <w:r w:rsidR="00BC02F4">
        <w:t xml:space="preserve">, </w:t>
      </w:r>
      <w:r w:rsidR="001627DD">
        <w:t xml:space="preserve">usual </w:t>
      </w:r>
      <w:r w:rsidR="00B654D6">
        <w:t>activities becom</w:t>
      </w:r>
      <w:r w:rsidR="001627DD">
        <w:t>ing</w:t>
      </w:r>
      <w:r w:rsidR="00B654D6">
        <w:t xml:space="preserve"> to</w:t>
      </w:r>
      <w:r w:rsidR="00E72F90">
        <w:t>o</w:t>
      </w:r>
      <w:r w:rsidR="00B654D6">
        <w:t xml:space="preserve"> </w:t>
      </w:r>
      <w:r w:rsidR="009869C0">
        <w:t>cognitively demanding</w:t>
      </w:r>
      <w:r w:rsidR="00BC02F4">
        <w:t>, and d</w:t>
      </w:r>
      <w:r w:rsidR="00E72F90">
        <w:t xml:space="preserve">epressive symptoms </w:t>
      </w:r>
      <w:r w:rsidR="00BC02F4">
        <w:t xml:space="preserve">(e.g. </w:t>
      </w:r>
      <w:r w:rsidR="00E72F90">
        <w:t>reclusiveness and apathy</w:t>
      </w:r>
      <w:r w:rsidR="00BC02F4">
        <w:t>)</w:t>
      </w:r>
      <w:r w:rsidR="00570EED">
        <w:t>.</w:t>
      </w:r>
      <w:r w:rsidR="00641A2B">
        <w:t xml:space="preserve"> </w:t>
      </w:r>
      <w:r w:rsidR="00DE151F">
        <w:t>R</w:t>
      </w:r>
      <w:r w:rsidR="00570EED">
        <w:t xml:space="preserve">educed mobility can </w:t>
      </w:r>
      <w:r w:rsidR="00F073E9">
        <w:t>present</w:t>
      </w:r>
      <w:r w:rsidR="008B0420">
        <w:t xml:space="preserve"> a dangerous feedback loop by inhibiting social engagement and stimulation, thereby aggravating the cognitive decline and depressive symptoms</w:t>
      </w:r>
      <w:r w:rsidR="00F073E9">
        <w:t xml:space="preserve"> that contribut</w:t>
      </w:r>
      <w:r w:rsidR="001627DD">
        <w:t>e</w:t>
      </w:r>
      <w:r w:rsidR="00F073E9">
        <w:t xml:space="preserve"> to further</w:t>
      </w:r>
      <w:r w:rsidR="008B0420">
        <w:t xml:space="preserve"> </w:t>
      </w:r>
      <w:r w:rsidR="00F073E9">
        <w:t>mobility reduction</w:t>
      </w:r>
      <w:r w:rsidR="008B0420">
        <w:t>.</w:t>
      </w:r>
      <w:r w:rsidR="008500D8">
        <w:t xml:space="preserve"> This underscores the importance of maintaining mobility among the elderly and especially the cognitively impaired</w:t>
      </w:r>
      <w:r w:rsidR="00F073E9">
        <w:t>.</w:t>
      </w:r>
      <w:r w:rsidR="00696213">
        <w:t xml:space="preserve"> </w:t>
      </w:r>
    </w:p>
    <w:p w14:paraId="719F92D9" w14:textId="70288776" w:rsidR="00DC0C82" w:rsidRDefault="006A7368" w:rsidP="00E93BBB">
      <w:commentRangeStart w:id="4"/>
      <w:commentRangeStart w:id="5"/>
      <w:r w:rsidRPr="005234D3">
        <w:t xml:space="preserve">Traditionally, out-of-home mobility has been assessed using instruments such as </w:t>
      </w:r>
      <w:r w:rsidR="005234D3" w:rsidRPr="005234D3">
        <w:t xml:space="preserve">the Life Space Questionnaire </w:t>
      </w:r>
      <w:r w:rsidR="005234D3" w:rsidRPr="005234D3">
        <w:fldChar w:fldCharType="begin" w:fldLock="1"/>
      </w:r>
      <w:r w:rsidR="005234D3">
        <w:instrText>ADDIN CSL_CITATION { "citationItems" : [ { "id" : "ITEM-1", "itemData" : { "DOI" : "10.1177/073346489901800404", "ISSN" : "0733-4648", "abstract" : "Mobility in older adults is typically discussed in terms of component maneuvers including analy sis of gait and postural instability; activities that depend on mobility such as bathing, dressing, or shopping; or adverse events during mobility such as falls or motor vehicle crashes. None of these approaches reflects a key aspect of mobility-the extent of movement within a person's environment, or life space in the gerontological literature. Here we describe this concept as it applies to mobility and present a questionnaire instrument designed to measure life space in community-dwelling older adults. Results indicate that the Life Space Questionnaire (LSQ) is reliable and has construct and criterion validity in a sample of olderadults. The LSQ can be used to establish the spatial extent of an older person's mobility and may ultimately be useful as an outcome measure in studies evaluating interventions designed to enhance mobility and inde pendence in community-dwelling older populations.", "author" : [ { "dropping-particle" : "", "family" : "Stalvey", "given" : "Beth T.", "non-dropping-particle" : "", "parse-names" : false, "suffix" : "" }, { "dropping-particle" : "", "family" : "Owsley", "given" : "Cynthia", "non-dropping-particle" : "", "parse-names" : false, "suffix" : "" }, { "dropping-particle" : "", "family" : "Sloane", "given" : "Michael E.", "non-dropping-particle" : "", "parse-names" : false, "suffix" : "" }, { "dropping-particle" : "", "family" : "Ball", "given" : "Karlene", "non-dropping-particle" : "", "parse-names" : false, "suffix" : "" } ], "container-title" : "Journal of Applied Gerontology", "id" : "ITEM-1", "issue" : "4", "issued" : { "date-parts" : [ [ "1999", "12", "29" ] ] }, "page" : "460-478", "publisher" : "Sage PublicationsSage CA: Thousand Oaks, CA", "title" : "The Life Space Questionnaire: A Measure of the Extent of Mobility of Older Adults", "type" : "article-journal", "volume" : "18" }, "uris" : [ "http://www.mendeley.com/documents/?uuid=74392e86-209d-3b16-b083-faaa42eae2d7" ] } ], "mendeley" : { "formattedCitation" : "(Stalvey, Owsley, Sloane, &amp; Ball, 1999)", "plainTextFormattedCitation" : "(Stalvey, Owsley, Sloane, &amp; Ball, 1999)", "previouslyFormattedCitation" : "(Stalvey, Owsley, Sloane, &amp; Ball, 1999)" }, "properties" : { "noteIndex" : 0 }, "schema" : "https://github.com/citation-style-language/schema/raw/master/csl-citation.json" }</w:instrText>
      </w:r>
      <w:r w:rsidR="005234D3" w:rsidRPr="005234D3">
        <w:fldChar w:fldCharType="separate"/>
      </w:r>
      <w:r w:rsidR="005234D3" w:rsidRPr="005234D3">
        <w:rPr>
          <w:noProof/>
        </w:rPr>
        <w:t>(Stalvey, Owsley, Sloane, &amp; Ball, 1999)</w:t>
      </w:r>
      <w:r w:rsidR="005234D3" w:rsidRPr="005234D3">
        <w:fldChar w:fldCharType="end"/>
      </w:r>
      <w:r w:rsidR="005234D3">
        <w:t xml:space="preserve"> or similar </w:t>
      </w:r>
      <w:r w:rsidR="005234D3">
        <w:rPr>
          <w:rFonts w:cs="Arial"/>
          <w:color w:val="1C1D1E"/>
          <w:shd w:val="clear" w:color="auto" w:fill="FFFFFF"/>
        </w:rPr>
        <w:t>LSA (University of Alabama at Birmingham Study of Aging Life</w:t>
      </w:r>
      <w:r w:rsidR="005234D3">
        <w:rPr>
          <w:rFonts w:ascii="Cambria Math" w:hAnsi="Cambria Math" w:cs="Cambria Math"/>
          <w:color w:val="1C1D1E"/>
          <w:shd w:val="clear" w:color="auto" w:fill="FFFFFF"/>
        </w:rPr>
        <w:t>‐</w:t>
      </w:r>
      <w:r w:rsidR="005234D3">
        <w:rPr>
          <w:rFonts w:cs="Arial"/>
          <w:color w:val="1C1D1E"/>
          <w:shd w:val="clear" w:color="auto" w:fill="FFFFFF"/>
        </w:rPr>
        <w:t xml:space="preserve">Space Assessment) </w:t>
      </w:r>
      <w:r w:rsidR="005234D3">
        <w:rPr>
          <w:rFonts w:cs="Arial"/>
          <w:color w:val="1C1D1E"/>
          <w:shd w:val="clear" w:color="auto" w:fill="FFFFFF"/>
        </w:rPr>
        <w:fldChar w:fldCharType="begin" w:fldLock="1"/>
      </w:r>
      <w:r w:rsidR="000F7A93">
        <w:rPr>
          <w:rFonts w:cs="Arial"/>
          <w:color w:val="1C1D1E"/>
          <w:shd w:val="clear" w:color="auto" w:fill="FFFFFF"/>
        </w:rPr>
        <w:instrText>ADDIN CSL_CITATION { "citationItems" : [ { "id" : "ITEM-1", "itemData" : { "DOI" : "10.1046/j.1532-5415.2003.51512.x", "ISSN" : "00028614", "author" : [ { "dropping-particle" : "", "family" : "Baker", "given" : "Patricia S.", "non-dropping-particle" : "", "parse-names" : false, "suffix" : "" }, { "dropping-particle" : "V.", "family" : "Bodner", "given" : "Eric", "non-dropping-particle" : "", "parse-names" : false, "suffix" : "" }, { "dropping-particle" : "", "family" : "Allman", "given" : "Richard M.", "non-dropping-particle" : "", "parse-names" : false, "suffix" : "" } ], "container-title" : "Journal of the American Geriatrics Society", "id" : "ITEM-1", "issue" : "11", "issued" : { "date-parts" : [ [ "2003", "11" ] ] }, "page" : "1610-1614", "publisher" : "Wiley/Blackwell (10.1111)", "title" : "Measuring Life-Space Mobility in Community-Dwelling Older Adults", "type" : "article-journal", "volume" : "51" }, "uris" : [ "http://www.mendeley.com/documents/?uuid=5382f997-ac77-358e-a60c-810ed349be4e" ] } ], "mendeley" : { "formattedCitation" : "(Baker, Bodner, &amp; Allman, 2003)", "plainTextFormattedCitation" : "(Baker, Bodner, &amp; Allman, 2003)", "previouslyFormattedCitation" : "(Baker, Bodner, &amp; Allman, 2003)" }, "properties" : { "noteIndex" : 0 }, "schema" : "https://github.com/citation-style-language/schema/raw/master/csl-citation.json" }</w:instrText>
      </w:r>
      <w:r w:rsidR="005234D3">
        <w:rPr>
          <w:rFonts w:cs="Arial"/>
          <w:color w:val="1C1D1E"/>
          <w:shd w:val="clear" w:color="auto" w:fill="FFFFFF"/>
        </w:rPr>
        <w:fldChar w:fldCharType="separate"/>
      </w:r>
      <w:r w:rsidR="005234D3" w:rsidRPr="005234D3">
        <w:rPr>
          <w:rFonts w:cs="Arial"/>
          <w:noProof/>
          <w:color w:val="1C1D1E"/>
          <w:shd w:val="clear" w:color="auto" w:fill="FFFFFF"/>
        </w:rPr>
        <w:t>(Baker, Bodner, &amp; Allman, 2003)</w:t>
      </w:r>
      <w:r w:rsidR="005234D3">
        <w:rPr>
          <w:rFonts w:cs="Arial"/>
          <w:color w:val="1C1D1E"/>
          <w:shd w:val="clear" w:color="auto" w:fill="FFFFFF"/>
        </w:rPr>
        <w:fldChar w:fldCharType="end"/>
      </w:r>
      <w:r w:rsidR="005234D3">
        <w:rPr>
          <w:rFonts w:cs="Arial"/>
          <w:color w:val="1C1D1E"/>
          <w:shd w:val="clear" w:color="auto" w:fill="FFFFFF"/>
        </w:rPr>
        <w:t>.</w:t>
      </w:r>
      <w:r w:rsidR="00F10DD8">
        <w:rPr>
          <w:rFonts w:cs="Arial"/>
          <w:color w:val="1C1D1E"/>
          <w:shd w:val="clear" w:color="auto" w:fill="FFFFFF"/>
        </w:rPr>
        <w:t xml:space="preserve"> </w:t>
      </w:r>
      <w:commentRangeEnd w:id="4"/>
      <w:r w:rsidR="005F31CC">
        <w:rPr>
          <w:rStyle w:val="CommentReference"/>
        </w:rPr>
        <w:commentReference w:id="4"/>
      </w:r>
      <w:r w:rsidR="00F10DD8">
        <w:rPr>
          <w:rFonts w:cs="Arial"/>
          <w:color w:val="1C1D1E"/>
          <w:shd w:val="clear" w:color="auto" w:fill="FFFFFF"/>
        </w:rPr>
        <w:t xml:space="preserve">This </w:t>
      </w:r>
      <w:commentRangeEnd w:id="5"/>
      <w:r w:rsidR="00445B3C">
        <w:rPr>
          <w:rStyle w:val="CommentReference"/>
        </w:rPr>
        <w:commentReference w:id="5"/>
      </w:r>
      <w:r w:rsidR="00F10DD8">
        <w:rPr>
          <w:rFonts w:cs="Arial"/>
          <w:color w:val="1C1D1E"/>
          <w:shd w:val="clear" w:color="auto" w:fill="FFFFFF"/>
        </w:rPr>
        <w:t xml:space="preserve">approach is limited by its reliance on patients’ </w:t>
      </w:r>
      <w:r w:rsidR="00E93BBB">
        <w:rPr>
          <w:rFonts w:cs="Arial"/>
          <w:color w:val="1C1D1E"/>
          <w:shd w:val="clear" w:color="auto" w:fill="FFFFFF"/>
        </w:rPr>
        <w:t>memory</w:t>
      </w:r>
      <w:r w:rsidR="009E0251">
        <w:rPr>
          <w:rFonts w:cs="Arial"/>
          <w:color w:val="1C1D1E"/>
          <w:shd w:val="clear" w:color="auto" w:fill="FFFFFF"/>
        </w:rPr>
        <w:t xml:space="preserve"> </w:t>
      </w:r>
      <w:r w:rsidR="00E93BBB">
        <w:rPr>
          <w:rFonts w:cs="Arial"/>
          <w:color w:val="1C1D1E"/>
          <w:shd w:val="clear" w:color="auto" w:fill="FFFFFF"/>
        </w:rPr>
        <w:t>and s</w:t>
      </w:r>
      <w:r w:rsidR="00F10DD8">
        <w:rPr>
          <w:rFonts w:cs="Arial"/>
          <w:color w:val="1C1D1E"/>
          <w:shd w:val="clear" w:color="auto" w:fill="FFFFFF"/>
        </w:rPr>
        <w:t>ubjective perceptions</w:t>
      </w:r>
      <w:r w:rsidR="00E93BBB">
        <w:rPr>
          <w:rFonts w:cs="Arial"/>
          <w:color w:val="1C1D1E"/>
          <w:shd w:val="clear" w:color="auto" w:fill="FFFFFF"/>
        </w:rPr>
        <w:t xml:space="preserve"> of the distances they cover</w:t>
      </w:r>
      <w:r w:rsidR="00F10DD8">
        <w:rPr>
          <w:rFonts w:cs="Arial"/>
          <w:color w:val="1C1D1E"/>
          <w:shd w:val="clear" w:color="auto" w:fill="FFFFFF"/>
        </w:rPr>
        <w:t xml:space="preserve">, which is especially problematic </w:t>
      </w:r>
      <w:r w:rsidR="00E93BBB">
        <w:rPr>
          <w:rFonts w:cs="Arial"/>
          <w:color w:val="1C1D1E"/>
          <w:shd w:val="clear" w:color="auto" w:fill="FFFFFF"/>
        </w:rPr>
        <w:t>among people with cognitive impairment</w:t>
      </w:r>
      <w:r w:rsidR="00F10DD8">
        <w:rPr>
          <w:rFonts w:cs="Arial"/>
          <w:color w:val="1C1D1E"/>
          <w:shd w:val="clear" w:color="auto" w:fill="FFFFFF"/>
        </w:rPr>
        <w:t xml:space="preserve">. </w:t>
      </w:r>
      <w:r w:rsidR="00E93BBB">
        <w:rPr>
          <w:rFonts w:cs="Arial"/>
          <w:color w:val="1C1D1E"/>
          <w:shd w:val="clear" w:color="auto" w:fill="FFFFFF"/>
        </w:rPr>
        <w:t>Furthermore, questionnaires require input from both patients (interviewee) and healthcare professionals (interviewers).</w:t>
      </w:r>
      <w:r w:rsidR="00DC0C82">
        <w:t xml:space="preserve"> </w:t>
      </w:r>
      <w:commentRangeStart w:id="6"/>
      <w:r w:rsidR="00E41CC4">
        <w:t xml:space="preserve">Mobile </w:t>
      </w:r>
      <w:r w:rsidR="00E93BBB">
        <w:t>phones and wearable sensors</w:t>
      </w:r>
      <w:r w:rsidR="00E41CC4">
        <w:t xml:space="preserve"> </w:t>
      </w:r>
      <w:r w:rsidR="00E93BBB">
        <w:t>offer a promising alternative for</w:t>
      </w:r>
      <w:r w:rsidR="00E41CC4">
        <w:t xml:space="preserve"> out-of-home mobility measurement, since these are typically equipped with location sensors and carried with users as they move throughout their wider environment.</w:t>
      </w:r>
      <w:commentRangeEnd w:id="6"/>
      <w:r w:rsidR="005F31CC">
        <w:rPr>
          <w:rStyle w:val="CommentReference"/>
        </w:rPr>
        <w:commentReference w:id="6"/>
      </w:r>
    </w:p>
    <w:p w14:paraId="6B24F57A" w14:textId="1DA3E698" w:rsidR="009D02AB" w:rsidRDefault="00874F56" w:rsidP="009D02AB">
      <w:r>
        <w:t>The aim of this work is to develop a system for measuring mobility using sensor data generated by personal devices such as smartphones and wearables</w:t>
      </w:r>
      <w:r w:rsidR="00174563" w:rsidRPr="00174563">
        <w:t xml:space="preserve"> </w:t>
      </w:r>
      <w:r w:rsidR="00174563">
        <w:t>among people with mild-to-moderate dementia</w:t>
      </w:r>
      <w:r>
        <w:t>. Specifically, we focus on the analysis of location, activity and step count data</w:t>
      </w:r>
      <w:r w:rsidR="0016437C">
        <w:t xml:space="preserve"> commonly available from smart, mobile devices</w:t>
      </w:r>
      <w:r>
        <w:t xml:space="preserve"> to derive a set of measures describ</w:t>
      </w:r>
      <w:r w:rsidR="00A74C9A">
        <w:t>ing</w:t>
      </w:r>
      <w:r>
        <w:t xml:space="preserve"> an individual’s mobility in terms of both the extent to which they leave their home and t</w:t>
      </w:r>
      <w:r w:rsidR="00EB72DE">
        <w:t xml:space="preserve">heir general </w:t>
      </w:r>
      <w:r w:rsidR="00DE325A">
        <w:t xml:space="preserve">activity </w:t>
      </w:r>
      <w:r w:rsidR="00EB72DE">
        <w:t>level.</w:t>
      </w:r>
    </w:p>
    <w:p w14:paraId="03EA4628" w14:textId="77777777" w:rsidR="00DF164D" w:rsidRPr="004C48A6" w:rsidRDefault="00DF164D" w:rsidP="00DF164D">
      <w:pPr>
        <w:pStyle w:val="Heading2"/>
      </w:pPr>
      <w:commentRangeStart w:id="7"/>
      <w:r w:rsidRPr="004C48A6">
        <w:lastRenderedPageBreak/>
        <w:t>Related work</w:t>
      </w:r>
      <w:commentRangeEnd w:id="7"/>
      <w:r w:rsidR="00B24311">
        <w:rPr>
          <w:rStyle w:val="CommentReference"/>
          <w:rFonts w:ascii="Arial" w:hAnsi="Arial" w:cs="Times New Roman"/>
          <w:bCs w:val="0"/>
          <w:iCs w:val="0"/>
          <w:color w:val="auto"/>
        </w:rPr>
        <w:commentReference w:id="7"/>
      </w:r>
    </w:p>
    <w:p w14:paraId="68A4663F" w14:textId="025DECBF" w:rsidR="00902D26" w:rsidRDefault="008D2C19" w:rsidP="00633E5A">
      <w:commentRangeStart w:id="8"/>
      <w:r>
        <w:t>Within healthcare, sensor-based mobility m</w:t>
      </w:r>
      <w:r w:rsidR="00C93827">
        <w:t>onitoring</w:t>
      </w:r>
      <w:r>
        <w:t xml:space="preserve"> has been </w:t>
      </w:r>
      <w:r w:rsidR="00CF6E21">
        <w:t>investigated</w:t>
      </w:r>
      <w:r>
        <w:t xml:space="preserve"> </w:t>
      </w:r>
      <w:r w:rsidR="00CF6E21">
        <w:t>for</w:t>
      </w:r>
      <w:r w:rsidR="00C93827">
        <w:t xml:space="preserve"> chronic diseases, mental health, </w:t>
      </w:r>
      <w:r w:rsidR="00CF6E21">
        <w:t xml:space="preserve">and among the elderly, looking both at physical activity related mobility and </w:t>
      </w:r>
      <w:r w:rsidR="00E3320A">
        <w:t>o</w:t>
      </w:r>
      <w:r w:rsidR="00CF6E21">
        <w:t xml:space="preserve">ut-of-home mobility </w:t>
      </w:r>
      <w:r w:rsidR="00CF6E21">
        <w:fldChar w:fldCharType="begin" w:fldLock="1"/>
      </w:r>
      <w:r w:rsidR="00115E6B">
        <w:instrText>ADDIN CSL_CITATION { "citationItems" : [ { "id" : "ITEM-1", "itemData" : { "DOI" : "10.3390/s101009026", "ISSN" : "1424-8220 (Electronic)", "PMID" : "22163393", "abstract" : "The use of wearable motion sensing technology offers important advantages over conventional methods for obtaining measures of physical activity and/or physical functioning in individuals with chronic diseases. This review aims to identify the actual state of applying wearable systems for monitoring mobility-related activity in individuals with chronic disease conditions. In this review we focus on technologies and applications, feasibility and adherence aspects, and clinical relevance of wearable motion sensing technology. PubMed (Medline since 1990), PEdro, and reference lists of all relevant articles were searched. Two authors independently reviewed randomised trials systematically. The quality of selected articles was scored and study results were summarised and discussed. 163 abstracts were considered. After application of inclusion criteria and full text reading, 25 articles were taken into account in a full text review. Twelve of these papers evaluated walking with pedometers, seven used uniaxial accelerometers to assess physical activity, six used multiaxial accelerometers, and two papers used a combination approach of a pedometer and a multiaxial accelerometer for obtaining overall activity and energy expenditure measures. Seven studies mentioned feasibility and/or adherence aspects. The number of studies that use movement sensors for monitoring of activity patterns in chronic disease (postural transitions, time spent in certain positions or activities) is nonexistent on the RCT level of study design. Although feasible methods for monitoring human mobility are available, evidence-based clinical applications of these methods in individuals with chronic diseases are in need of further development.", "author" : [ { "dropping-particle" : "", "family" : "Allet", "given" : "Lara", "non-dropping-particle" : "", "parse-names" : false, "suffix" : "" }, { "dropping-particle" : "", "family" : "Knols", "given" : "Ruud H", "non-dropping-particle" : "", "parse-names" : false, "suffix" : "" }, { "dropping-particle" : "", "family" : "Shirato", "given" : "Kei", "non-dropping-particle" : "", "parse-names" : false, "suffix" : "" }, { "dropping-particle" : "", "family" : "Bruin", "given" : "Eling D", "non-dropping-particle" : "de", "parse-names" : false, "suffix" : "" } ], "container-title" : "Sensors (Basel, Switzerland)", "id" : "ITEM-1", "issue" : "10", "issued" : { "date-parts" : [ [ "2010" ] ] }, "language" : "eng", "page" : "9026-9052", "publisher-place" : "Switzerland", "title" : "Wearable systems for monitoring mobility-related activities in chronic disease: a systematic review.", "type" : "article-journal", "volume" : "10" }, "uris" : [ "http://www.mendeley.com/documents/?uuid=a1d8d9a0-9bb2-48b4-8668-49e106868889" ] }, { "id" : "ITEM-2", "itemData" : { "DOI" : "10.1145/2750858.2805845", "ISBN" : "9781450335744", "abstract" : "One of the most interesting applications of mobile sensing is monitoring of individual behavior, especially in the area of mental health care. Most existing systems require an interac-tion with the device, for example they may require the user to input his/her mood state at regular intervals. In this paper we seek to answer whether mobile phones can be used to un-obtrusively monitor individuals affected by depressive mood disorders by analyzing only their mobility patterns from GPS traces. In order to get ground-truth measurements, we have developed a smartphone application that periodically collects the locations of the users and the answers to daily question-naires that quantify their depressive mood. We demonstrate that there exists a significant correlation between mobility trace characteristics and the depressive moods. Finally, we present the design of models that are able to successfully pre-dict changes in the depressive mood of individuals by analyz-ing their movements.", "author" : [ { "dropping-particle" : "", "family" : "Canzian", "given" : "Luca", "non-dropping-particle" : "", "parse-names" : false, "suffix" : "" }, { "dropping-particle" : "", "family" : "Musolesi", "given" : "Mirco", "non-dropping-particle" : "", "parse-names" : false, "suffix" : "" } ], "container-title" : "Proceedings of the 2015 ACM International Joint Conference on Pervasive and Ubiquitous Computing - UbiComp '15", "id" : "ITEM-2", "issued" : { "date-parts" : [ [ "2015" ] ] }, "page" : "1293-1304", "publisher" : "ACM Press", "publisher-place" : "New York, New York, USA", "title" : "Trajectories of Depression: Unobtrusive Monitoring of Depressive States by means of Smartphone Mobility Traces Analysis", "type" : "bill" }, "uris" : [ "http://www.mendeley.com/documents/?uuid=dbb14ef1-7f9f-4f4e-85a6-9923e1a75567" ] }, { "id" : "ITEM-3", "itemData" : { "DOI" : "10.1109/HealthCom.2012.6379452", "ISBN" : "9781457720390", "author" : [ { "dropping-particle" : "", "family" : "Noury", "given" : "Norbert", "non-dropping-particle" : "", "parse-names" : false, "suffix" : "" }, { "dropping-particle" : "", "family" : "Quach", "given" : "Kim Anh", "non-dropping-particle" : "", "parse-names" : false, "suffix" : "" }, { "dropping-particle" : "", "family" : "Berenguer", "given" : "Marc", "non-dropping-particle" : "", "parse-names" : false, "suffix" : "" }, { "dropping-particle" : "", "family" : "Bouzi", "given" : "Marie Jeanne", "non-dropping-particle" : "", "parse-names" : false, "suffix" : "" }, { "dropping-particle" : "", "family" : "Teyssier", "given" : "Henri", "non-dropping-particle" : "", "parse-names" : false, "suffix" : "" } ], "container-title" : "2012 IEEE 14th International Conference on e-Health Networking, Applications and Services, Healthcom 2012", "id" : "ITEM-3", "issue" : "Figure 3", "issued" : { "date-parts" : [ [ "2012" ] ] }, "page" : "423-426", "title" : "A feasibility study of using a smartphone to monitor mobility in elderly", "type" : "article-journal" }, "uris" : [ "http://www.mendeley.com/documents/?uuid=2d7186b3-b64a-4054-a0f3-21742e9c7340" ] }, { "id" : "ITEM-4", "itemData" : { "ISBN" : "9781424441228", "abstract" : "This paper proposes an innovative ambulatory mobility and activity monitoring approach based on a wearable datalogging platform that combines inertial sensing with GPS tracking to assess the lifespace and mobility profile of individuals in their home and community environments. The components, I/O architecture, sensors and functions of the WIMU-GPS are presented. Outcome variables that can be measured with it are described and illustrated. Data on the power usage, operating autonomy of the WIMU-GPS and the GPS tracking performances and time to first fix of the unit are presented. The study of lifespace and mobility with the WIMUGPS can potentially provide unique insights into intrapersonal and environmental factors contributing to mobility restriction. On-going studies are underway to establish the validity and reliability of the WIMU-GPS in characterizing the lifespace and mobility profile of older adults.", "author" : [ { "dropping-particle" : "", "family" : "Boissy", "given" : "Patrick", "non-dropping-particle" : "", "parse-names" : false, "suffix" : "" }, { "dropping-particle" : "", "family" : "Bri\u00e8re", "given" : "Simon", "non-dropping-particle" : "", "parse-names" : false, "suffix" : "" }, { "dropping-particle" : "", "family" : "Hamel", "given" : "Mathieu", "non-dropping-particle" : "", "parse-names" : false, "suffix" : "" }, { "dropping-particle" : "", "family" : "Jog", "given" : "Mandar", "non-dropping-particle" : "", "parse-names" : false, "suffix" : "" }, { "dropping-particle" : "", "family" : "Speechley", "given" : "Mark", "non-dropping-particle" : "", "parse-names" : false, "suffix" : "" }, { "dropping-particle" : "", "family" : "Karelis", "given" : "Antony", "non-dropping-particle" : "", "parse-names" : false, "suffix" : "" }, { "dropping-particle" : "", "family" : "Frank", "given" : "James", "non-dropping-particle" : "", "parse-names" : false, "suffix" : "" }, { "dropping-particle" : "", "family" : "Vincent", "given" : "Claude", "non-dropping-particle" : "", "parse-names" : false, "suffix" : "" }, { "dropping-particle" : "", "family" : "Edwards", "given" : "Rodrick", "non-dropping-particle" : "", "parse-names" : false, "suffix" : "" }, { "dropping-particle" : "", "family" : "Duval", "given" : "Christian", "non-dropping-particle" : "", "parse-names" : false, "suffix" : "" } ], "container-title" : "IEEE Engineering in Medicine and Biology Magazine", "id" : "ITEM-4", "issued" : { "date-parts" : [ [ "2011" ] ] }, "note" : "See also their references for further details on the calculations! (Ref 11 and 12)", "page" : "5815-5819", "title" : "Wireless inertial measurement unit with GPS ( WIMU - GPS ) \u2013 Wearable monitoring platform for ecological assessment of lifespace and mobility in aging and disease", "type" : "paper-conference" }, "uris" : [ "http://www.mendeley.com/documents/?uuid=d6952094-4029-480f-ba4e-7a6c8ce18d33" ] }, { "id" : "ITEM-5", "itemData" : { "abstract" : "Background: Measuring mobility is critical for understanding neighborhood influences on older adults\u2019 health and functioning. Global Positioning Systems (GPS) may represent an important opportunity to measure, describe, and compare mobility patterns in older adults. Methods: We generated three types of activity spaces (Standard Deviation Ellipse, Minimum Convex Polygon, Daily Path Area) using GPS data from 95 older adults in Vancouver, Canada. Calculated activity space areas and compactness were compared across sociodemographic and resource characteristics. Results: Area measures derived from the three different approaches to developing activity spaces were highly correlated. Participants who were younger, lived in less walkable neighborhoods, had a valid driver\u2019s license, had access to a vehicle, or had physical support to go outside of their homes had larger activity spaces. Mobility space compactness measures also differed by sociodemographic and resource characteristics. Conclusions: This research extends the literature by demonstrating that GPS tracking can be used as a valuable tool to better understand the geographic mobility patterns of older adults. This study informs potential ways to maintain older adult independence by identifying factors that influence geographic mobility.", "author" : [ { "dropping-particle" : "", "family" : "Hirsch", "given" : "Jana A", "non-dropping-particle" : "", "parse-names" : false, "suffix" : "" }, { "dropping-particle" : "", "family" : "Winters", "given" : "Meghan", "non-dropping-particle" : "", "parse-names" : false, "suffix" : "" }, { "dropping-particle" : "", "family" : "Clarke", "given" : "Philippa", "non-dropping-particle" : "", "parse-names" : false, "suffix" : "" }, { "dropping-particle" : "", "family" : "Mckay", "given" : "Heather", "non-dropping-particle" : "", "parse-names" : false, "suffix" : "" } ], "container-title" : "INTERNATIONAL JOURNAL OF HEALTH GEOGRAPHICS", "id" : "ITEM-5", "issued" : { "date-parts" : [ [ "2014" ] ] }, "note" : "The &amp;quot;distance&amp;quot; tag used though they actually calculate &amp;quot;daily path area&amp;quot;, which is related and therefore relevant when implementing &amp;quot;distance&amp;quot; measure.", "page" : "1-14", "title" : "Generating GPS activity spaces that shed light upon the mobility habits of older adults : a descriptive analysis", "type" : "article-journal" }, "uris" : [ "http://www.mendeley.com/documents/?uuid=22fb09c1-e73d-4c6d-aade-e96c7e05c039" ] } ], "mendeley" : { "formattedCitation" : "(Allet, Knols, Shirato, &amp; de Bruin, 2010; Boissy et al., 2011; Canzian &amp; Musolesi, 2015; Hirsch, Winters, Clarke, &amp; Mckay, 2014; Noury, Quach, Berenguer, Bouzi, &amp; Teyssier, 2012)", "plainTextFormattedCitation" : "(Allet, Knols, Shirato, &amp; de Bruin, 2010; Boissy et al., 2011; Canzian &amp; Musolesi, 2015; Hirsch, Winters, Clarke, &amp; Mckay, 2014; Noury, Quach, Berenguer, Bouzi, &amp; Teyssier, 2012)", "previouslyFormattedCitation" : "(Allet, Knols, Shirato, &amp; de Bruin, 2010; Boissy et al., 2011; Canzian &amp; Musolesi, 2015; Hirsch, Winters, Clarke, &amp; Mckay, 2014; Noury, Quach, Berenguer, Bouzi, &amp; Teyssier, 2012)" }, "properties" : { "noteIndex" : 0 }, "schema" : "https://github.com/citation-style-language/schema/raw/master/csl-citation.json" }</w:instrText>
      </w:r>
      <w:r w:rsidR="00CF6E21">
        <w:fldChar w:fldCharType="separate"/>
      </w:r>
      <w:r w:rsidR="00902D26" w:rsidRPr="00902D26">
        <w:rPr>
          <w:noProof/>
        </w:rPr>
        <w:t>(Allet, Knols, Shirato, &amp; de Bruin, 2010; Boissy et al., 2011; Canzian &amp; Musolesi, 2015; Hirsch, Winters, Clarke, &amp; Mckay, 2014; Noury, Quach, Berenguer, Bouzi, &amp; Teyssier, 2012)</w:t>
      </w:r>
      <w:r w:rsidR="00CF6E21">
        <w:fldChar w:fldCharType="end"/>
      </w:r>
      <w:r w:rsidR="00CF6E21">
        <w:t>.</w:t>
      </w:r>
      <w:r w:rsidR="00E3320A">
        <w:t xml:space="preserve"> </w:t>
      </w:r>
      <w:r w:rsidR="00126571">
        <w:t>These works describe a</w:t>
      </w:r>
      <w:r w:rsidR="00902D26">
        <w:t xml:space="preserve"> variety of metrics for out-of-home mobility measurement</w:t>
      </w:r>
      <w:r w:rsidR="00115E6B">
        <w:t>, which</w:t>
      </w:r>
      <w:r w:rsidR="00902D26">
        <w:t xml:space="preserve"> can be categorised </w:t>
      </w:r>
      <w:r w:rsidR="00365137">
        <w:t>as</w:t>
      </w:r>
      <w:r w:rsidR="00902D26">
        <w:t xml:space="preserve"> spatial, temporal </w:t>
      </w:r>
      <w:r w:rsidR="009E4BE6">
        <w:t>or</w:t>
      </w:r>
      <w:r w:rsidR="00902D26">
        <w:t xml:space="preserve"> frequency-based.</w:t>
      </w:r>
      <w:r w:rsidR="00365137">
        <w:t xml:space="preserve"> Spatial measurements, often termed </w:t>
      </w:r>
      <w:r w:rsidR="00365137" w:rsidRPr="00365137">
        <w:rPr>
          <w:i/>
        </w:rPr>
        <w:t>life</w:t>
      </w:r>
      <w:r w:rsidR="00A404A4">
        <w:rPr>
          <w:i/>
        </w:rPr>
        <w:t xml:space="preserve"> </w:t>
      </w:r>
      <w:r w:rsidR="00365137" w:rsidRPr="00365137">
        <w:rPr>
          <w:i/>
        </w:rPr>
        <w:t>space</w:t>
      </w:r>
      <w:r w:rsidR="00365137">
        <w:rPr>
          <w:i/>
        </w:rPr>
        <w:t>,</w:t>
      </w:r>
      <w:r w:rsidR="00365137">
        <w:t xml:space="preserve"> include geographical areas or distances covered, such as the area of the minimum convex polygon</w:t>
      </w:r>
      <w:r w:rsidR="009E4BE6">
        <w:t xml:space="preserve"> (MCP)</w:t>
      </w:r>
      <w:r w:rsidR="00365137">
        <w:t xml:space="preserve"> enveloping a specified quantile of GPS coordinates, distances from home (action range), or total distance covered. Temporal measurements include time spent at or out of home</w:t>
      </w:r>
      <w:r w:rsidR="00115E6B">
        <w:t>,</w:t>
      </w:r>
      <w:r w:rsidR="00126571">
        <w:t xml:space="preserve"> or</w:t>
      </w:r>
      <w:r w:rsidR="00365137">
        <w:t xml:space="preserve"> visiting places of interest. Frequency-based measure include counts within a given period, such as the number of trips</w:t>
      </w:r>
      <w:r w:rsidR="009E4BE6">
        <w:t xml:space="preserve"> out of home or</w:t>
      </w:r>
      <w:r w:rsidR="00365137">
        <w:t xml:space="preserve"> places visited per day or week.</w:t>
      </w:r>
      <w:r w:rsidR="009E4BE6">
        <w:t xml:space="preserve"> Certain </w:t>
      </w:r>
      <w:proofErr w:type="spellStart"/>
      <w:r w:rsidR="009E4BE6" w:rsidRPr="00126571">
        <w:rPr>
          <w:i/>
        </w:rPr>
        <w:t>lifespace</w:t>
      </w:r>
      <w:proofErr w:type="spellEnd"/>
      <w:r w:rsidR="009E4BE6">
        <w:t xml:space="preserve"> measures can be calculated from raw GPS data, whereas other</w:t>
      </w:r>
      <w:r w:rsidR="00115E6B">
        <w:t xml:space="preserve"> metrics</w:t>
      </w:r>
      <w:r w:rsidR="009E4BE6">
        <w:t xml:space="preserve"> require knowledge of a home location, and </w:t>
      </w:r>
      <w:r w:rsidR="00115E6B">
        <w:t>some</w:t>
      </w:r>
      <w:r w:rsidR="00126571">
        <w:t xml:space="preserve"> require knowledge of GPS trajectories, that is, the series of stays (</w:t>
      </w:r>
      <w:proofErr w:type="gramStart"/>
      <w:r w:rsidR="00126571">
        <w:t>also stops</w:t>
      </w:r>
      <w:proofErr w:type="gramEnd"/>
      <w:r w:rsidR="00126571">
        <w:t xml:space="preserve"> or visits) and moves within the location data.</w:t>
      </w:r>
      <w:r w:rsidR="0070617F">
        <w:t xml:space="preserve"> </w:t>
      </w:r>
      <w:r w:rsidR="0070617F" w:rsidRPr="0070617F">
        <w:rPr>
          <w:color w:val="3366CC" w:themeColor="accent4"/>
        </w:rPr>
        <w:t>[Physical activity data…]</w:t>
      </w:r>
      <w:commentRangeEnd w:id="8"/>
      <w:r w:rsidR="00B24311">
        <w:rPr>
          <w:rStyle w:val="CommentReference"/>
        </w:rPr>
        <w:commentReference w:id="8"/>
      </w:r>
    </w:p>
    <w:p w14:paraId="0E7EF26B" w14:textId="526A3034" w:rsidR="00115E6B" w:rsidRDefault="00115E6B" w:rsidP="00633E5A">
      <w:r>
        <w:t>Several</w:t>
      </w:r>
      <w:r w:rsidR="00201E52">
        <w:t xml:space="preserve"> studies </w:t>
      </w:r>
      <w:r w:rsidR="002E55D5">
        <w:t xml:space="preserve">have </w:t>
      </w:r>
      <w:r w:rsidR="0008244B">
        <w:t>started to examine</w:t>
      </w:r>
      <w:r w:rsidR="002E55D5">
        <w:t xml:space="preserve"> </w:t>
      </w:r>
      <w:r w:rsidR="0008244B">
        <w:t xml:space="preserve">sensor-based </w:t>
      </w:r>
      <w:r w:rsidR="002E55D5">
        <w:t xml:space="preserve">mobility </w:t>
      </w:r>
      <w:r w:rsidR="0008244B">
        <w:t xml:space="preserve">measurement </w:t>
      </w:r>
      <w:r w:rsidR="002E55D5">
        <w:t>among people with cognitive impairment and dementia</w:t>
      </w:r>
      <w:r w:rsidR="00201E52">
        <w:t xml:space="preserve"> </w:t>
      </w:r>
      <w:r w:rsidR="00906112">
        <w:t>over the last decade</w:t>
      </w:r>
      <w:r w:rsidR="002E55D5">
        <w:t xml:space="preserve">. </w:t>
      </w:r>
      <w:r>
        <w:t>A number of these works employ specialised GPS kits to monitor mobility among participants with mild cognitively impaired and Alzheimer’s dementia</w:t>
      </w:r>
      <w:r w:rsidR="0041498A">
        <w:t>.</w:t>
      </w:r>
      <w:r>
        <w:t xml:space="preserve"> </w:t>
      </w:r>
      <w:r w:rsidR="0041498A">
        <w:t>This is the case in t</w:t>
      </w:r>
      <w:r>
        <w:t xml:space="preserve">he </w:t>
      </w:r>
      <w:proofErr w:type="spellStart"/>
      <w:r w:rsidRPr="00A404A4">
        <w:rPr>
          <w:i/>
        </w:rPr>
        <w:t>SenTra</w:t>
      </w:r>
      <w:proofErr w:type="spellEnd"/>
      <w:r>
        <w:t xml:space="preserve"> project</w:t>
      </w:r>
      <w:r w:rsidR="0041498A">
        <w:t>, which</w:t>
      </w:r>
      <w:r>
        <w:t xml:space="preserve"> examines mainly temporal and frequency-based metrics</w:t>
      </w:r>
      <w:r w:rsidR="00A404A4">
        <w:t xml:space="preserve"> </w:t>
      </w:r>
      <w:r w:rsidR="00A404A4">
        <w:fldChar w:fldCharType="begin" w:fldLock="1"/>
      </w:r>
      <w:r w:rsidR="00EB26CF">
        <w:instrText>ADDIN CSL_CITATION { "citationItems" : [ { "id" : "ITEM-1", "itemData" : { "DOI" : "10.1177/0733464812459373", "ISSN" : "1552-4523", "PMID" : "25548086", "abstract" : "This study explores differences in the out-of-home behavior of community-dwelling older adults with different cognitive impairment. Three levels of complexity of out-of-home behavior were distinguished: (a) mostly automatized walking behavior (low complexity), (b) global out-of-home mobility (medium complexity), and (c) defined units of concrete out-of-home activities, particularly cognitively demanding activities (high complexity). A sample of 257 older adults aged 59 to 91 years (M = 72.9 years, SD = 6.4 years) included 35 persons with early-stage Alzheimer's disease (AD), 76 persons with mild cognitive impairment (MCI), and 146 cognitively healthy persons (CH). Mobility data were gathered by using a GPS tracking device as well as by questionnaire. Predicting cognitive impairment status by out-of-home behavior and a range of confounders by means of multinomial logistic regression revealed that only cognitively demanding activities showed at least a marginally significant difference between MCI and CH and were highly significant between AD and CH.", "author" : [ { "dropping-particle" : "", "family" : "Wettstein", "given" : "Markus", "non-dropping-particle" : "", "parse-names" : false, "suffix" : "" }, { "dropping-particle" : "", "family" : "Wahl", "given" : "Hans-Werner", "non-dropping-particle" : "", "parse-names" : false, "suffix" : "" }, { "dropping-particle" : "", "family" : "Shoval", "given" : "Noam", "non-dropping-particle" : "", "parse-names" : false, "suffix" : "" }, { "dropping-particle" : "", "family" : "Oswald", "given" : "Frank", "non-dropping-particle" : "", "parse-names" : false, "suffix" : "" }, { "dropping-particle" : "", "family" : "Voss", "given" : "Elke", "non-dropping-particle" : "", "parse-names" : false, "suffix" : "" }, { "dropping-particle" : "", "family" : "Seidl", "given" : "Ulrich", "non-dropping-particle" : "", "parse-names" : false, "suffix" : "" }, { "dropping-particle" : "", "family" : "Fr\u00f6lich", "given" : "Lutz", "non-dropping-particle" : "", "parse-names" : false, "suffix" : "" }, { "dropping-particle" : "", "family" : "Auslander", "given" : "Gail", "non-dropping-particle" : "", "parse-names" : false, "suffix" : "" }, { "dropping-particle" : "", "family" : "Heinik", "given" : "Jeremia", "non-dropping-particle" : "", "parse-names" : false, "suffix" : "" }, { "dropping-particle" : "", "family" : "Landau", "given" : "Ruth", "non-dropping-particle" : "", "parse-names" : false, "suffix" : "" } ], "container-title" : "Journal of applied gerontology : the official journal of the Southern Gerontological Society", "id" : "ITEM-1", "issue" : "1", "issued" : { "date-parts" : [ [ "2015", "2" ] ] }, "page" : "3-25", "publisher" : "SAGE Publications Inc.", "title" : "Out-of-home behavior and cognitive impairment in older adults: findings of the SenTra Project.", "type" : "article-journal", "volume" : "34" }, "uris" : [ "http://www.mendeley.com/documents/?uuid=d8224c80-c9a5-4ee9-a491-b9ccd920b32d" ] }, { "id" : "ITEM-2", "itemData" : { "DOI" : "10.1017/S0144686X10001455", "ISSN" : "0144-686X", "abstract" : "&lt;p&gt;Cognitive impairment manifests in changed out-of-home mobility. Until recently, the assessment of outdoor mobility relied on the reports of family care-givers and institutional staff and used observational approaches, activity monitoring or behavioural checklists. This article presents data for 41 mildly demented, mildly cognitively impaired and healthy men and women aged 64\u201390 years in Tel-Aviv (Israel) who took part in an interdisciplinary project, SenTra, that is studying the outdoor activities of elderly people using advanced tracking technologies and that involves researchers from geography, social work, gerontology, psychology and medicine. The participants were tracked for 28 consecutive days using a location kit that combined a global positioning system (GPS) with radio frequency identification. The high-resolution spatial and temporal data enabled detailed analysis of the differences in the timing and distance of the participants' daily outdoor mobility patterns. It was found that the spatial range of the mobility of elderly people with cognitive impairment is severely restricted, with most out-of-home time spent in close proximity to their residences. We conclude that GPS is an advanced research tool able to understand out-of-home behaviour better than was possible with previous methods.&lt;/p&gt;", "author" : [ { "dropping-particle" : "", "family" : "SHOVAL", "given" : "NOAM", "non-dropping-particle" : "", "parse-names" : false, "suffix" : "" }, { "dropping-particle" : "", "family" : "WAHL", "given" : "HANS-WERNER", "non-dropping-particle" : "", "parse-names" : false, "suffix" : "" }, { "dropping-particle" : "", "family" : "AUSLANDER", "given" : "GAIL", "non-dropping-particle" : "", "parse-names" : false, "suffix" : "" }, { "dropping-particle" : "", "family" : "ISAACSON", "given" : "MICHAL", "non-dropping-particle" : "", "parse-names" : false, "suffix" : "" }, { "dropping-particle" : "", "family" : "OSWALD", "given" : "FRANK", "non-dropping-particle" : "", "parse-names" : false, "suffix" : "" }, { "dropping-particle" : "", "family" : "EDRY", "given" : "TAMAR", "non-dropping-particle" : "", "parse-names" : false, "suffix" : "" }, { "dropping-particle" : "", "family" : "LANDAU", "given" : "RUTH", "non-dropping-particle" : "", "parse-names" : false, "suffix" : "" }, { "dropping-particle" : "", "family" : "HEINIK", "given" : "JEREMIA", "non-dropping-particle" : "", "parse-names" : false, "suffix" : "" } ], "container-title" : "Ageing and Society", "id" : "ITEM-2", "issue" : "05", "issued" : { "date-parts" : [ [ "2011", "7", "16" ] ] }, "page" : "849-869", "publisher" : "Cambridge University Press", "title" : "Use of the global positioning system to measure the out-of-home mobility of older adults with differing cognitive functioning", "type" : "article-journal", "volume" : "31" }, "uris" : [ "http://www.mendeley.com/documents/?uuid=c9c67132-8e31-33ba-b8ad-95fa627ae87a" ] } ], "mendeley" : { "formattedCitation" : "(SHOVAL et al., 2011; Wettstein et al., 2015)", "plainTextFormattedCitation" : "(SHOVAL et al., 2011; Wettstein et al., 2015)", "previouslyFormattedCitation" : "(SHOVAL et al., 2011; Wettstein et al., 2015)" }, "properties" : { "noteIndex" : 0 }, "schema" : "https://github.com/citation-style-language/schema/raw/master/csl-citation.json" }</w:instrText>
      </w:r>
      <w:r w:rsidR="00A404A4">
        <w:fldChar w:fldCharType="separate"/>
      </w:r>
      <w:r w:rsidR="00EB26CF" w:rsidRPr="00EB26CF">
        <w:rPr>
          <w:noProof/>
        </w:rPr>
        <w:t>(SHOVAL et al., 2011; Wettstein et al., 2015)</w:t>
      </w:r>
      <w:r w:rsidR="00A404A4">
        <w:fldChar w:fldCharType="end"/>
      </w:r>
      <w:r>
        <w:t xml:space="preserve">, </w:t>
      </w:r>
      <w:r w:rsidR="0041498A">
        <w:t>and alternatively in work by</w:t>
      </w:r>
      <w:r>
        <w:t xml:space="preserve"> </w:t>
      </w:r>
      <w:r>
        <w:fldChar w:fldCharType="begin" w:fldLock="1"/>
      </w:r>
      <w:r w:rsidR="00F073E9">
        <w:instrText>ADDIN CSL_CITATION { "citationItems" : [ { "id" : "ITEM-1", "itemData" : { "DOI" : "10.1159/000355669", "ISSN" : "1423-0003 (Electronic)", "PMID" : "24356464", "abstract" : "BACKGROUND: As an indicator of physical and cognitive functioning in community-dwelling older adults, there is increasing interest in measuring life space, defined as the geographical area a person covers in daily life. Typically measured through questionnaires, life space can be challenging to assess in amnestic dementia associated with Alzheimer's disease (AD). While global positioning system (GPS) technology has been suggested as a potential solution, there remains a lack of data validating GPS-based methods to measure life space in cognitively impaired populations. OBJECTIVE: The purpose of the study was to evaluate the construct validity of a GPS system to provide quantitative measurements of global movement for individuals with mild-to-moderate AD. METHODS: Nineteen community-dwelling older adults with mild-to-moderate AD (Mini-Mental State Examination score 14-28, age 70.7 +/- 2.2 years) and 33 controls (CTL; age 74.0 +/- 1.2 years) wore a GPS-enabled mobile phone during the day for 3 days. Measures of geographical territory (area, perimeter, mean distance from home, and time away from home) were calculated from the GPS log. Following a log-transformation to produce symmetrical distributions, group differences were tested using two-sample t tests. Construct validity of the GPS measures was tested by examining the correlation between the GPS measures and indicators of physical function [steps/day, gait velocity, and Disability Assessment for Dementia (DAD)] and affective state (Apathy Evaluation Scale and Geriatric Depression Scale). Multivariate regression was performed to evaluate the relative strength of significantly correlated factors. RESULTS: GPS-derived area (p &lt; 0.01), perimeter (p &lt; 0.01), and mean distance from home (p &lt; 0.05) were smaller in the AD group compared to CTL. The correlation analysis found significant associations of the GPS measures area and perimeter with all measures of physical function (steps/day, DAD, and gait velocity; p &lt; 0.01), symptoms of apathy (p &lt; 0.01), and depression (p &lt; 0.05). Multivariate regression analysis indicated that gait velocity and dependence were the strongest variables associated with GPS measures. CONCLUSION: This study demonstrated that GPS-derived area and perimeter: (1) distinguished mild-to-moderate AD patients from CTL and (2) were strongly correlated with physical function and affective state. These findings confirm the ability of GPS technology to assess life space behaviour and may be p\u2026", "author" : [ { "dropping-particle" : "", "family" : "Tung", "given" : "James Yungjen", "non-dropping-particle" : "", "parse-names" : false, "suffix" : "" }, { "dropping-particle" : "", "family" : "Rose", "given" : "Rhiannon Victoria", "non-dropping-particle" : "", "parse-names" : false, "suffix" : "" }, { "dropping-particle" : "", "family" : "Gammada", "given" : "Emnet", "non-dropping-particle" : "", "parse-names" : false, "suffix" : "" }, { "dropping-particle" : "", "family" : "Lam", "given" : "Isabel", "non-dropping-particle" : "", "parse-names" : false, "suffix" : "" }, { "dropping-particle" : "", "family" : "Roy", "given" : "Eric Alexander", "non-dropping-particle" : "", "parse-names" : false, "suffix" : "" }, { "dropping-particle" : "", "family" : "Black", "given" : "Sandra E", "non-dropping-particle" : "", "parse-names" : false, "suffix" : "" }, { "dropping-particle" : "", "family" : "Poupart", "given" : "Pascal", "non-dropping-particle" : "", "parse-names" : false, "suffix" : "" } ], "container-title" : "Gerontology", "id" : "ITEM-1", "issue" : "2", "issued" : { "date-parts" : [ [ "2014", "1" ] ] }, "language" : "eng", "page" : "154-162", "publisher" : "S. Karger AG", "publisher-place" : "Switzerland", "title" : "Measuring life space in older adults with mild-to-moderate Alzheimer's disease using mobile phone GPS.", "type" : "article-journal", "volume" : "60" }, "uris" : [ "http://www.mendeley.com/documents/?uuid=98c6ae71-e9c3-4a5d-9ae1-d02d1e6de585" ] } ], "mendeley" : { "formattedCitation" : "(J. Y. Tung et al., 2014b)", "manualFormatting" : "Tung et al.", "plainTextFormattedCitation" : "(J. Y. Tung et al., 2014b)", "previouslyFormattedCitation" : "(J. Y. Tung et al., 2014b)" }, "properties" : { "noteIndex" : 0 }, "schema" : "https://github.com/citation-style-language/schema/raw/master/csl-citation.json" }</w:instrText>
      </w:r>
      <w:r>
        <w:fldChar w:fldCharType="separate"/>
      </w:r>
      <w:r w:rsidRPr="00115E6B">
        <w:rPr>
          <w:noProof/>
        </w:rPr>
        <w:t>Tung et al.</w:t>
      </w:r>
      <w:r>
        <w:fldChar w:fldCharType="end"/>
      </w:r>
      <w:r w:rsidR="00A404A4">
        <w:t xml:space="preserve"> focus</w:t>
      </w:r>
      <w:r w:rsidR="0041498A">
        <w:t>ing</w:t>
      </w:r>
      <w:r w:rsidR="00A404A4">
        <w:t xml:space="preserve"> primarily on </w:t>
      </w:r>
      <w:r w:rsidR="00A404A4" w:rsidRPr="00A404A4">
        <w:t>life</w:t>
      </w:r>
      <w:r w:rsidR="00A404A4">
        <w:t xml:space="preserve"> </w:t>
      </w:r>
      <w:r w:rsidR="00A404A4" w:rsidRPr="00A404A4">
        <w:t>space</w:t>
      </w:r>
      <w:r w:rsidR="00A404A4">
        <w:t xml:space="preserve"> </w:t>
      </w:r>
      <w:r w:rsidR="00A404A4">
        <w:fldChar w:fldCharType="begin" w:fldLock="1"/>
      </w:r>
      <w:r w:rsidR="00F073E9">
        <w:instrText>ADDIN CSL_CITATION { "citationItems" : [ { "id" : "ITEM-1", "itemData" : { "DOI" : "10.1159/000355669", "ISSN" : "1423-0003 (Electronic)", "PMID" : "24356464", "abstract" : "BACKGROUND: As an indicator of physical and cognitive functioning in community-dwelling older adults, there is increasing interest in measuring life space, defined as the geographical area a person covers in daily life. Typically measured through questionnaires, life space can be challenging to assess in amnestic dementia associated with Alzheimer's disease (AD). While global positioning system (GPS) technology has been suggested as a potential solution, there remains a lack of data validating GPS-based methods to measure life space in cognitively impaired populations. OBJECTIVE: The purpose of the study was to evaluate the construct validity of a GPS system to provide quantitative measurements of global movement for individuals with mild-to-moderate AD. METHODS: Nineteen community-dwelling older adults with mild-to-moderate AD (Mini-Mental State Examination score 14-28, age 70.7 +/- 2.2 years) and 33 controls (CTL; age 74.0 +/- 1.2 years) wore a GPS-enabled mobile phone during the day for 3 days. Measures of geographical territory (area, perimeter, mean distance from home, and time away from home) were calculated from the GPS log. Following a log-transformation to produce symmetrical distributions, group differences were tested using two-sample t tests. Construct validity of the GPS measures was tested by examining the correlation between the GPS measures and indicators of physical function [steps/day, gait velocity, and Disability Assessment for Dementia (DAD)] and affective state (Apathy Evaluation Scale and Geriatric Depression Scale). Multivariate regression was performed to evaluate the relative strength of significantly correlated factors. RESULTS: GPS-derived area (p &lt; 0.01), perimeter (p &lt; 0.01), and mean distance from home (p &lt; 0.05) were smaller in the AD group compared to CTL. The correlation analysis found significant associations of the GPS measures area and perimeter with all measures of physical function (steps/day, DAD, and gait velocity; p &lt; 0.01), symptoms of apathy (p &lt; 0.01), and depression (p &lt; 0.05). Multivariate regression analysis indicated that gait velocity and dependence were the strongest variables associated with GPS measures. CONCLUSION: This study demonstrated that GPS-derived area and perimeter: (1) distinguished mild-to-moderate AD patients from CTL and (2) were strongly correlated with physical function and affective state. These findings confirm the ability of GPS technology to assess life space behaviour and may be p\u2026", "author" : [ { "dropping-particle" : "", "family" : "Tung", "given" : "James Yungjen", "non-dropping-particle" : "", "parse-names" : false, "suffix" : "" }, { "dropping-particle" : "", "family" : "Rose", "given" : "Rhiannon Victoria", "non-dropping-particle" : "", "parse-names" : false, "suffix" : "" }, { "dropping-particle" : "", "family" : "Gammada", "given" : "Emnet", "non-dropping-particle" : "", "parse-names" : false, "suffix" : "" }, { "dropping-particle" : "", "family" : "Lam", "given" : "Isabel", "non-dropping-particle" : "", "parse-names" : false, "suffix" : "" }, { "dropping-particle" : "", "family" : "Roy", "given" : "Eric Alexander", "non-dropping-particle" : "", "parse-names" : false, "suffix" : "" }, { "dropping-particle" : "", "family" : "Black", "given" : "Sandra E", "non-dropping-particle" : "", "parse-names" : false, "suffix" : "" }, { "dropping-particle" : "", "family" : "Poupart", "given" : "Pascal", "non-dropping-particle" : "", "parse-names" : false, "suffix" : "" } ], "container-title" : "Gerontology", "id" : "ITEM-1", "issue" : "2", "issued" : { "date-parts" : [ [ "2014", "1" ] ] }, "language" : "eng", "page" : "154-162", "publisher" : "S. Karger AG", "publisher-place" : "Switzerland", "title" : "Measuring life space in older adults with mild-to-moderate Alzheimer's disease using mobile phone GPS.", "type" : "article-journal", "volume" : "60" }, "uris" : [ "http://www.mendeley.com/documents/?uuid=98c6ae71-e9c3-4a5d-9ae1-d02d1e6de585" ] }, { "id" : "ITEM-2", "itemData" : { "ISBN" : "9781577354963", "author" : [ { "dropping-particle" : "", "family" : "Tung", "given" : "JY", "non-dropping-particle" : "", "parse-names" : false, "suffix" : "" }, { "dropping-particle" : "", "family" : "Semple", "given" : "JFL", "non-dropping-particle" : "", "parse-names" : false, "suffix" : "" }, { "dropping-particle" : "", "family" : "Woo", "given" : "WX", "non-dropping-particle" : "", "parse-names" : false, "suffix" : "" }, { "dropping-particle" : "", "family" : "Hsu", "given" : "WS", "non-dropping-particle" : "", "parse-names" : false, "suffix" : "" } ], "container-title" : "AAAI Spring Symposium \u2026", "id" : "ITEM-2", "issued" : { "date-parts" : [ [ "2011" ] ] }, "note" : "total walking duration\n# of walking bouts", "page" : "50-54", "title" : "Ambulatory Assessment of Lifestyle Factors for Alzheimer's Disease and Related Dementias", "type" : "article-journal" }, "uris" : [ "http://www.mendeley.com/documents/?uuid=bbbf4190-473d-4bdb-8d89-e4f09102ece7" ] } ], "mendeley" : { "formattedCitation" : "(J. Tung, Semple, Woo, &amp; Hsu, 2011; J. Y. Tung et al., 2014b)", "plainTextFormattedCitation" : "(J. Tung, Semple, Woo, &amp; Hsu, 2011; J. Y. Tung et al., 2014b)", "previouslyFormattedCitation" : "(J. Tung, Semple, Woo, &amp; Hsu, 2011; J. Y. Tung et al., 2014b)" }, "properties" : { "noteIndex" : 0 }, "schema" : "https://github.com/citation-style-language/schema/raw/master/csl-citation.json" }</w:instrText>
      </w:r>
      <w:r w:rsidR="00A404A4">
        <w:fldChar w:fldCharType="separate"/>
      </w:r>
      <w:r w:rsidR="00F073E9" w:rsidRPr="00F073E9">
        <w:rPr>
          <w:noProof/>
        </w:rPr>
        <w:t>(J. Tung, Semple, Woo, &amp; Hsu, 2011; J. Y. Tung et al., 2014b)</w:t>
      </w:r>
      <w:r w:rsidR="00A404A4">
        <w:fldChar w:fldCharType="end"/>
      </w:r>
      <w:r w:rsidR="00A404A4">
        <w:t>.</w:t>
      </w:r>
      <w:r w:rsidR="00A404A4" w:rsidRPr="00A404A4">
        <w:t xml:space="preserve"> </w:t>
      </w:r>
      <w:r w:rsidR="00A404A4">
        <w:t>Th</w:t>
      </w:r>
      <w:r w:rsidR="0041498A">
        <w:t>ese</w:t>
      </w:r>
      <w:r w:rsidR="00A404A4">
        <w:t xml:space="preserve"> work</w:t>
      </w:r>
      <w:r w:rsidR="0041498A">
        <w:t>s</w:t>
      </w:r>
      <w:r w:rsidR="00A404A4">
        <w:t xml:space="preserve"> ha</w:t>
      </w:r>
      <w:r w:rsidR="0041498A">
        <w:t>ve</w:t>
      </w:r>
      <w:r w:rsidR="00A404A4">
        <w:t xml:space="preserve"> provided important evidence on associations between mobility and cognitive impairment and demonstrated the potential for automatic </w:t>
      </w:r>
      <w:proofErr w:type="gramStart"/>
      <w:r w:rsidR="00A404A4">
        <w:t>monitoring,</w:t>
      </w:r>
      <w:proofErr w:type="gramEnd"/>
      <w:r w:rsidR="00A404A4">
        <w:t xml:space="preserve"> however </w:t>
      </w:r>
      <w:r w:rsidR="00F47D82">
        <w:t>all use</w:t>
      </w:r>
      <w:r w:rsidR="00A404A4">
        <w:t xml:space="preserve"> specialised GPS kits rather than everyday devices</w:t>
      </w:r>
      <w:r w:rsidR="0041498A">
        <w:t xml:space="preserve"> such as smartphones</w:t>
      </w:r>
      <w:r w:rsidR="00A404A4">
        <w:t>.</w:t>
      </w:r>
      <w:r w:rsidR="00F47D82">
        <w:t xml:space="preserve"> </w:t>
      </w:r>
      <w:r w:rsidR="00AA6361">
        <w:t xml:space="preserve">In a more recent study (from 2018), smartphones and smartwatches are employed to collect data for mobility measurement among people with dementia </w:t>
      </w:r>
      <w:r w:rsidR="00AA6361">
        <w:fldChar w:fldCharType="begin" w:fldLock="1"/>
      </w:r>
      <w:r w:rsidR="00261ED7">
        <w:instrText>ADDIN CSL_CITATION { "citationItems" : [ { "id" : "ITEM-1", "itemData" : { "DOI" : "10.1016/J.JNEUMETH.2017.08.034", "ISSN" : "0165-0270", "abstract" : "BACKGROUND\nThe past decades have seen phenomenal growth in the availability of inexpensive and powerful personal computing devices. Efforts to leverage these devices to improve health care outcomes promise to remake many aspects of healthcare delivery, but remain in their infancy. \n\nNEW METHOD\nWe describe the development of a mobile health platform designed for daily measures of functional status in ambulatory, community dwelling subjects, including those who have Alzheimer\u2019s disease or related neurodegenerative disorders. Using Smartwatches and Smartphones we measure subject overall activity and outdoor location (to derive their lifespace). These clinically-relevant measures allow us to track a subject\u2019s functional status in their natural environment over prolonged periods of time without repeated visits to healthcare providers. Functional status metrics are integrated with medical information and caregiver reports, which are used by a caregiving team to guide referrals for physician/APRN/NP care. \n\nCOMPARISON\nwith Existing Methods We describe the design tradeoffs involved in all aspects of our current system architecture, focusing on decisions with significant impact on system cost, performance, scalability, and user-adherence. \n\nRESULTS\nWe provide real-world data from current subject enrollees demonstrating system accuracy and reliability. \n\nCONCLUSIONS\nWe document real-world feasibility in a group of men and women with dementia that Smartwatches/Smartphones can provide long-term, relevant clinical data regarding individual functional status. We describe the underlying considerations of this system so that interested organizations can adapt and scale our approach to their needs. Finally, we provide a potential agenda to guide development of future systems.", "author" : [ { "dropping-particle" : "", "family" : "Zylstra", "given" : "Bradley", "non-dropping-particle" : "", "parse-names" : false, "suffix" : "" }, { "dropping-particle" : "", "family" : "Netscher", "given" : "George", "non-dropping-particle" : "", "parse-names" : false, "suffix" : "" }, { "dropping-particle" : "", "family" : "Jacquemot", "given" : "Julien", "non-dropping-particle" : "", "parse-names" : false, "suffix" : "" }, { "dropping-particle" : "", "family" : "Schaffer", "given" : "Michael", "non-dropping-particle" : "", "parse-names" : false, "suffix" : "" }, { "dropping-particle" : "", "family" : "Shen", "given" : "Galen", "non-dropping-particle" : "", "parse-names" : false, "suffix" : "" }, { "dropping-particle" : "", "family" : "Bowhay", "given" : "Angela D.", "non-dropping-particle" : "", "parse-names" : false, "suffix" : "" }, { "dropping-particle" : "", "family" : "Braley", "given" : "Tamara L.", "non-dropping-particle" : "", "parse-names" : false, "suffix" : "" }, { "dropping-particle" : "", "family" : "Possin", "given" : "Katherine L.", "non-dropping-particle" : "", "parse-names" : false, "suffix" : "" }, { "dropping-particle" : "", "family" : "Miller", "given" : "Bruce L.", "non-dropping-particle" : "", "parse-names" : false, "suffix" : "" }, { "dropping-particle" : "", "family" : "Bayen", "given" : "Alexandre M.", "non-dropping-particle" : "", "parse-names" : false, "suffix" : "" }, { "dropping-particle" : "", "family" : "Bonasera", "given" : "Stephen J.", "non-dropping-particle" : "", "parse-names" : false, "suffix" : "" }, { "dropping-particle" : "", "family" : "Schenk", "given" : "A. Katrin", "non-dropping-particle" : "", "parse-names" : false, "suffix" : "" } ], "container-title" : "Journal of Neuroscience Methods", "id" : "ITEM-1", "issued" : { "date-parts" : [ [ "2018", "4", "15" ] ] }, "page" : "59-67", "publisher" : "Elsevier", "title" : "Extended, continuous measures of functional status in community dwelling persons with Alzheimer\u2019s and related dementia: Infrastructure, performance, tradeoffs, preliminary data, and promise", "type" : "article-journal", "volume" : "300" }, "uris" : [ "http://www.mendeley.com/documents/?uuid=d7226955-2bb7-3458-ae17-df58e162e0e8" ] } ], "mendeley" : { "formattedCitation" : "(Zylstra et al., 2018)", "plainTextFormattedCitation" : "(Zylstra et al., 2018)", "previouslyFormattedCitation" : "(Zylstra et al., 2018)" }, "properties" : { "noteIndex" : 0 }, "schema" : "https://github.com/citation-style-language/schema/raw/master/csl-citation.json" }</w:instrText>
      </w:r>
      <w:r w:rsidR="00AA6361">
        <w:fldChar w:fldCharType="separate"/>
      </w:r>
      <w:r w:rsidR="00AA6361" w:rsidRPr="00AA6361">
        <w:rPr>
          <w:noProof/>
        </w:rPr>
        <w:t>(Zylstra et al., 2018)</w:t>
      </w:r>
      <w:r w:rsidR="00AA6361">
        <w:fldChar w:fldCharType="end"/>
      </w:r>
      <w:r w:rsidR="00A00EE4">
        <w:t>. The authors</w:t>
      </w:r>
      <w:r w:rsidR="00AA6361">
        <w:t xml:space="preserve"> </w:t>
      </w:r>
      <w:r w:rsidR="00A00EE4">
        <w:t>describe</w:t>
      </w:r>
      <w:r w:rsidR="00AA6361">
        <w:t xml:space="preserve"> the system architecture</w:t>
      </w:r>
      <w:r w:rsidR="00A00EE4">
        <w:t xml:space="preserve"> in detail, with less focus on data analysis, including only two metrics: step count and distance from home. It is therefore of interest to build upon this work </w:t>
      </w:r>
      <w:r w:rsidR="002171D0">
        <w:t xml:space="preserve">with a focus on data analysis </w:t>
      </w:r>
      <w:r w:rsidR="00A00EE4">
        <w:t>by using a similar technical setup</w:t>
      </w:r>
      <w:r w:rsidR="0041498A">
        <w:t xml:space="preserve"> </w:t>
      </w:r>
      <w:r w:rsidR="00A00EE4">
        <w:t xml:space="preserve">to investigate a broad collection of </w:t>
      </w:r>
      <w:r w:rsidR="0041498A">
        <w:t xml:space="preserve">the </w:t>
      </w:r>
      <w:r w:rsidR="00A00EE4">
        <w:t>mobility metrics</w:t>
      </w:r>
      <w:r w:rsidR="0041498A">
        <w:t xml:space="preserve"> presented in this section</w:t>
      </w:r>
      <w:r w:rsidR="00A00EE4">
        <w:t>.</w:t>
      </w:r>
      <w:r w:rsidR="0041498A">
        <w:t xml:space="preserve"> Furthermore, the many mobility metrics calculated in the works discussed here, while highly relevant, are not directly comparable to related paper-based clinical assessments for out-of-home mobility.</w:t>
      </w:r>
      <w:r w:rsidR="002171D0">
        <w:t xml:space="preserve"> Based on the current progress, we therefore summarise two important goals for further development to be addressed in this work:</w:t>
      </w:r>
    </w:p>
    <w:p w14:paraId="3D7D7C02" w14:textId="79B7B22E" w:rsidR="002171D0" w:rsidRDefault="002171D0" w:rsidP="00633E5A">
      <w:pPr>
        <w:pStyle w:val="ListBullet"/>
      </w:pPr>
      <w:commentRangeStart w:id="9"/>
      <w:r>
        <w:t xml:space="preserve">Describe a set of </w:t>
      </w:r>
      <w:r w:rsidR="005425D2">
        <w:t>tools/</w:t>
      </w:r>
      <w:r>
        <w:t xml:space="preserve">algorithms for calculating a broad range of mobility metrics including spatial, temporal and frequency-based, </w:t>
      </w:r>
      <w:r w:rsidR="005425D2">
        <w:t>to</w:t>
      </w:r>
      <w:r>
        <w:t xml:space="preserve"> be applied to sensor-data collected from generic smart devices </w:t>
      </w:r>
      <w:r w:rsidR="005425D2">
        <w:t>(</w:t>
      </w:r>
      <w:r w:rsidR="001627DD">
        <w:t>rather than a specialised</w:t>
      </w:r>
      <w:r>
        <w:t xml:space="preserve"> system</w:t>
      </w:r>
      <w:r w:rsidR="005425D2">
        <w:t>)</w:t>
      </w:r>
    </w:p>
    <w:p w14:paraId="56F44FDE" w14:textId="555EFE52" w:rsidR="005425D2" w:rsidRDefault="005425D2" w:rsidP="00633E5A">
      <w:pPr>
        <w:pStyle w:val="ListBullet"/>
      </w:pPr>
      <w:r>
        <w:t xml:space="preserve">Present an approach for automatic, remote monitoring of out-of-home mobility that relates directly to current </w:t>
      </w:r>
      <w:r w:rsidR="001627DD">
        <w:t>questionnaire</w:t>
      </w:r>
      <w:r>
        <w:t>-based alternatives</w:t>
      </w:r>
      <w:commentRangeEnd w:id="9"/>
      <w:r w:rsidR="00445B3C">
        <w:rPr>
          <w:rStyle w:val="CommentReference"/>
        </w:rPr>
        <w:commentReference w:id="9"/>
      </w:r>
    </w:p>
    <w:p w14:paraId="4016C48D" w14:textId="690FD115" w:rsidR="00E74E16" w:rsidRDefault="00E74E16" w:rsidP="00E74E16">
      <w:pPr>
        <w:pStyle w:val="ListBullet"/>
        <w:numPr>
          <w:ilvl w:val="0"/>
          <w:numId w:val="0"/>
        </w:numPr>
      </w:pPr>
    </w:p>
    <w:p w14:paraId="1ED4FBC1" w14:textId="0DC401B7" w:rsidR="00E74E16" w:rsidRPr="00E74E16" w:rsidRDefault="00E74E16" w:rsidP="00E74E16">
      <w:pPr>
        <w:pStyle w:val="ListBullet"/>
        <w:numPr>
          <w:ilvl w:val="0"/>
          <w:numId w:val="0"/>
        </w:numPr>
        <w:rPr>
          <w:i/>
          <w:color w:val="3366CC" w:themeColor="accent4"/>
        </w:rPr>
      </w:pPr>
      <w:r w:rsidRPr="00E74E16">
        <w:rPr>
          <w:i/>
          <w:color w:val="3366CC" w:themeColor="accent4"/>
        </w:rPr>
        <w:t>[scope of paper]</w:t>
      </w:r>
    </w:p>
    <w:p w14:paraId="7D33B43E" w14:textId="5A937BD9" w:rsidR="00471D9F" w:rsidRDefault="009D02AB" w:rsidP="001542F3">
      <w:pPr>
        <w:pStyle w:val="Heading1"/>
      </w:pPr>
      <w:r>
        <w:lastRenderedPageBreak/>
        <w:t xml:space="preserve">Methods: </w:t>
      </w:r>
      <w:r w:rsidR="00634349">
        <w:t>Technical Setup (</w:t>
      </w:r>
      <w:r w:rsidR="00EA4AD1">
        <w:t>System Overview</w:t>
      </w:r>
      <w:r w:rsidR="001542F3">
        <w:t>)</w:t>
      </w:r>
    </w:p>
    <w:p w14:paraId="1E086FE2" w14:textId="2BFD81C2" w:rsidR="00BE21F8" w:rsidRDefault="00BE21F8" w:rsidP="0028347A">
      <w:commentRangeStart w:id="10"/>
      <w:r>
        <w:t xml:space="preserve">Location data is required for measuring out-of-home mobility </w:t>
      </w:r>
      <w:r w:rsidR="00822521">
        <w:t>and can be recorded using smartphones’ on-board GPS sensors. Step-count and activity data were</w:t>
      </w:r>
      <w:r w:rsidR="0028347A">
        <w:t xml:space="preserve"> also</w:t>
      </w:r>
      <w:r w:rsidR="00822521">
        <w:t xml:space="preserve"> included to support the goal of creating a generic and versatile set of tools for mobility measurement in a wide range of potential applications, since th</w:t>
      </w:r>
      <w:r w:rsidR="00827C56">
        <w:t>ese are both ubiquitous</w:t>
      </w:r>
      <w:r w:rsidR="00822521">
        <w:t xml:space="preserve"> </w:t>
      </w:r>
      <w:r w:rsidR="00827C56">
        <w:t xml:space="preserve">and relevant </w:t>
      </w:r>
      <w:r w:rsidR="00822521">
        <w:t>data</w:t>
      </w:r>
      <w:r w:rsidR="00827C56">
        <w:t xml:space="preserve"> streams</w:t>
      </w:r>
      <w:r w:rsidR="00822521">
        <w:t>.</w:t>
      </w:r>
      <w:commentRangeEnd w:id="10"/>
      <w:r w:rsidR="00B24311">
        <w:rPr>
          <w:rStyle w:val="CommentReference"/>
        </w:rPr>
        <w:commentReference w:id="10"/>
      </w:r>
      <w:r w:rsidR="00822521">
        <w:t xml:space="preserve"> The devices used in this study are Google Nexus 5 smartphones </w:t>
      </w:r>
      <w:r w:rsidR="00471D9F">
        <w:t xml:space="preserve">and Sony </w:t>
      </w:r>
      <w:proofErr w:type="spellStart"/>
      <w:r w:rsidR="00471D9F">
        <w:t>SmartWatch</w:t>
      </w:r>
      <w:proofErr w:type="spellEnd"/>
      <w:r w:rsidR="00471D9F">
        <w:t xml:space="preserve"> 3 smartwatches, running</w:t>
      </w:r>
      <w:r w:rsidR="00822521">
        <w:t xml:space="preserve"> Android</w:t>
      </w:r>
      <w:r w:rsidR="00471D9F">
        <w:t xml:space="preserve"> </w:t>
      </w:r>
      <w:r w:rsidR="00471D9F" w:rsidRPr="00471D9F">
        <w:t>OS v</w:t>
      </w:r>
      <w:r w:rsidR="00471D9F">
        <w:t>6</w:t>
      </w:r>
      <w:r w:rsidR="00471D9F" w:rsidRPr="00471D9F">
        <w:t>.</w:t>
      </w:r>
      <w:r w:rsidR="00471D9F">
        <w:t>0</w:t>
      </w:r>
      <w:r w:rsidR="00471D9F" w:rsidRPr="00471D9F">
        <w:t>.</w:t>
      </w:r>
      <w:r w:rsidR="00471D9F">
        <w:t>1</w:t>
      </w:r>
      <w:r w:rsidR="00471D9F" w:rsidRPr="00471D9F">
        <w:t>.</w:t>
      </w:r>
      <w:r w:rsidR="00471D9F">
        <w:t xml:space="preserve"> </w:t>
      </w:r>
      <w:proofErr w:type="gramStart"/>
      <w:r w:rsidR="00471D9F">
        <w:t>and</w:t>
      </w:r>
      <w:proofErr w:type="gramEnd"/>
      <w:r w:rsidR="00471D9F">
        <w:t xml:space="preserve"> Android Wear operating systems respectively. </w:t>
      </w:r>
      <w:r w:rsidR="0028347A">
        <w:t>Both devices record location and step count, whereas activity types are recorded on the phone only.</w:t>
      </w:r>
    </w:p>
    <w:p w14:paraId="3F2BA838" w14:textId="53F5C204" w:rsidR="00DB799A" w:rsidRDefault="0028347A" w:rsidP="00DB799A">
      <w:commentRangeStart w:id="11"/>
      <w:r>
        <w:t>A custom-built application (app)</w:t>
      </w:r>
      <w:r w:rsidR="001627DD">
        <w:t xml:space="preserve"> was used to securely collect</w:t>
      </w:r>
      <w:r>
        <w:t xml:space="preserve">, store and transfer data. </w:t>
      </w:r>
      <w:commentRangeEnd w:id="11"/>
      <w:r w:rsidR="00B24311">
        <w:rPr>
          <w:rStyle w:val="CommentReference"/>
        </w:rPr>
        <w:commentReference w:id="11"/>
      </w:r>
      <w:r>
        <w:t>The app</w:t>
      </w:r>
      <w:r w:rsidR="009A6B43">
        <w:t xml:space="preserve"> is an adapted version of that described in </w:t>
      </w:r>
      <w:r w:rsidR="009A6B43">
        <w:fldChar w:fldCharType="begin" w:fldLock="1"/>
      </w:r>
      <w:r w:rsidR="00EB26CF">
        <w:instrText>ADDIN CSL_CITATION { "citationItems" : [ { "id" : "ITEM-1", "itemData" : { "DOI" : "10.1371/journal.pone.0095978", "ISSN" : "1932-6203", "abstract" : "This paper describes the deployment of a large-scale study designed to measure human interactions across a variety of communication channels, with high temporal resolution and spanning multiple years\u2014the Copenhagen Networks Study. Specifically, we collect data on face-to-face interactions, telecommunication, social networks, location, and background information (personality, demographics, health, politics) for a densely connected population of 1 000 individuals, using state-of-the-art smartphones as social sensors. Here we provide an overview of the related work and describe the motivation and research agenda driving the study. Additionally, the paper details the data-types measured, and the technical infrastructure in terms of both backend and phone software, as well as an outline of the deployment procedures. We document the participant privacy procedures and their underlying principles. The paper is concluded with early results from data analysis, illustrating the importance of multi-channel high-resolution approach to data collection.", "author" : [ { "dropping-particle" : "", "family" : "Stopczynski", "given" : "Arkadiusz", "non-dropping-particle" : "", "parse-names" : false, "suffix" : "" }, { "dropping-particle" : "", "family" : "Sekara", "given" : "Vedran", "non-dropping-particle" : "", "parse-names" : false, "suffix" : "" }, { "dropping-particle" : "", "family" : "Sapiezynski", "given" : "Piotr", "non-dropping-particle" : "", "parse-names" : false, "suffix" : "" }, { "dropping-particle" : "", "family" : "Cuttone", "given" : "Andrea", "non-dropping-particle" : "", "parse-names" : false, "suffix" : "" }, { "dropping-particle" : "", "family" : "Madsen", "given" : "Mette My", "non-dropping-particle" : "", "parse-names" : false, "suffix" : "" }, { "dropping-particle" : "", "family" : "Larsen", "given" : "Jakob Eg", "non-dropping-particle" : "", "parse-names" : false, "suffix" : "" }, { "dropping-particle" : "", "family" : "Lehmann", "given" : "Sune", "non-dropping-particle" : "", "parse-names" : false, "suffix" : "" } ], "container-title" : "PLoS ONE", "editor" : [ { "dropping-particle" : "", "family" : "Moreno", "given" : "Yamir", "non-dropping-particle" : "", "parse-names" : false, "suffix" : "" } ], "id" : "ITEM-1", "issue" : "4", "issued" : { "date-parts" : [ [ "2014", "4", "25" ] ] }, "page" : "e95978", "publisher" : "Public Library of Science", "title" : "Measuring Large-Scale Social Networks with High Resolution", "type" : "article-journal", "volume" : "9" }, "uris" : [ "http://www.mendeley.com/documents/?uuid=2387612b-50a2-3104-a1f0-00df81726c65" ] } ], "mendeley" : { "formattedCitation" : "(Stopczynski et al., 2014)", "plainTextFormattedCitation" : "(Stopczynski et al., 2014)", "previouslyFormattedCitation" : "(Stopczynski et al., 2014)" }, "properties" : { "noteIndex" : 0 }, "schema" : "https://github.com/citation-style-language/schema/raw/master/csl-citation.json" }</w:instrText>
      </w:r>
      <w:r w:rsidR="009A6B43">
        <w:fldChar w:fldCharType="separate"/>
      </w:r>
      <w:r w:rsidR="00EB26CF" w:rsidRPr="00EB26CF">
        <w:rPr>
          <w:noProof/>
        </w:rPr>
        <w:t>(Stopczynski et al., 2014)</w:t>
      </w:r>
      <w:r w:rsidR="009A6B43">
        <w:fldChar w:fldCharType="end"/>
      </w:r>
      <w:r w:rsidR="009A6B43">
        <w:t xml:space="preserve">, which is </w:t>
      </w:r>
      <w:r w:rsidR="009A6B43" w:rsidRPr="009A6B43">
        <w:t>public</w:t>
      </w:r>
      <w:r w:rsidR="009A6B43">
        <w:t>ly</w:t>
      </w:r>
      <w:r w:rsidR="009A6B43" w:rsidRPr="009A6B43">
        <w:t xml:space="preserve"> available under the </w:t>
      </w:r>
      <w:proofErr w:type="spellStart"/>
      <w:r w:rsidR="009A6B43" w:rsidRPr="009A6B43">
        <w:t>OpenSensing</w:t>
      </w:r>
      <w:proofErr w:type="spellEnd"/>
      <w:r w:rsidR="009A6B43" w:rsidRPr="009A6B43">
        <w:t xml:space="preserve"> </w:t>
      </w:r>
      <w:proofErr w:type="spellStart"/>
      <w:r w:rsidR="009A6B43" w:rsidRPr="009A6B43">
        <w:t>github</w:t>
      </w:r>
      <w:proofErr w:type="spellEnd"/>
      <w:r w:rsidR="009A6B43" w:rsidRPr="009A6B43">
        <w:t xml:space="preserve"> organization at github.com/organizations/</w:t>
      </w:r>
      <w:proofErr w:type="spellStart"/>
      <w:r w:rsidR="009A6B43" w:rsidRPr="009A6B43">
        <w:t>OpenSensing</w:t>
      </w:r>
      <w:proofErr w:type="spellEnd"/>
      <w:r w:rsidR="009A6B43" w:rsidRPr="009A6B43">
        <w:t>.</w:t>
      </w:r>
      <w:r w:rsidR="009A6B43">
        <w:t xml:space="preserve"> The app uses Google </w:t>
      </w:r>
      <w:proofErr w:type="gramStart"/>
      <w:r w:rsidR="009A6B43">
        <w:t>API’s</w:t>
      </w:r>
      <w:proofErr w:type="gramEnd"/>
      <w:r w:rsidR="009A6B43">
        <w:t xml:space="preserve"> to access sensor data (</w:t>
      </w:r>
      <w:proofErr w:type="spellStart"/>
      <w:r w:rsidR="009A6B43" w:rsidRPr="00DB799A">
        <w:rPr>
          <w:i/>
        </w:rPr>
        <w:t>LocationListener</w:t>
      </w:r>
      <w:proofErr w:type="spellEnd"/>
      <w:r w:rsidR="009A6B43">
        <w:t xml:space="preserve">, </w:t>
      </w:r>
      <w:proofErr w:type="spellStart"/>
      <w:r w:rsidR="009A6B43" w:rsidRPr="00DB799A">
        <w:rPr>
          <w:i/>
        </w:rPr>
        <w:t>ActivityRecognitionApi</w:t>
      </w:r>
      <w:proofErr w:type="spellEnd"/>
      <w:r w:rsidR="009A6B43">
        <w:t xml:space="preserve"> and </w:t>
      </w:r>
      <w:proofErr w:type="spellStart"/>
      <w:r w:rsidR="009A6B43" w:rsidRPr="00DB799A">
        <w:rPr>
          <w:i/>
        </w:rPr>
        <w:t>SensorManager</w:t>
      </w:r>
      <w:proofErr w:type="spellEnd"/>
      <w:r w:rsidR="009A6B43">
        <w:t>).</w:t>
      </w:r>
      <w:r w:rsidR="00C94DD4">
        <w:t xml:space="preserve"> New users are registered through a web-portal where they create a front-end username and password, and are assigned a back-end pseudonym. The custom app is then accessed from Google Play and installed on both paired devices. Watch data is uploaded to the phone, where all data is continuously collected, encrypted and stored locally on the phone. </w:t>
      </w:r>
      <w:r w:rsidR="00FD09CC">
        <w:t>Only w</w:t>
      </w:r>
      <w:r w:rsidR="00C94DD4">
        <w:t xml:space="preserve">hen </w:t>
      </w:r>
      <w:r w:rsidR="00FD09CC">
        <w:t xml:space="preserve">a </w:t>
      </w:r>
      <w:r w:rsidR="009629D4">
        <w:t>Wi-Fi</w:t>
      </w:r>
      <w:r w:rsidR="00FD09CC">
        <w:t xml:space="preserve"> connection is available are encrypted data files uploaded to a server over HTTPS. To ensure security, two virtually separate servers are employed: a</w:t>
      </w:r>
      <w:r w:rsidR="009629D4">
        <w:t>n anonymous</w:t>
      </w:r>
      <w:r w:rsidR="00FD09CC">
        <w:t xml:space="preserve"> raw data server and an identity server </w:t>
      </w:r>
      <w:r w:rsidR="009629D4">
        <w:t>with user pseudonyms</w:t>
      </w:r>
      <w:r w:rsidR="00FD09CC">
        <w:t xml:space="preserve">. Data is then decrypted and transferred to a database for analysis as required by an authorised user (researcher with administrator rights). </w:t>
      </w:r>
      <w:r w:rsidR="00E9659A">
        <w:t xml:space="preserve">An overview of the technical setup and data flow is provided in </w:t>
      </w:r>
      <w:r w:rsidR="00E9659A">
        <w:fldChar w:fldCharType="begin"/>
      </w:r>
      <w:r w:rsidR="00E9659A">
        <w:instrText xml:space="preserve"> REF _Ref518901181 \h </w:instrText>
      </w:r>
      <w:r w:rsidR="00E9659A">
        <w:fldChar w:fldCharType="separate"/>
      </w:r>
      <w:r w:rsidR="009B1CEF" w:rsidRPr="00E9659A">
        <w:t xml:space="preserve">Figure </w:t>
      </w:r>
      <w:r w:rsidR="009B1CEF">
        <w:rPr>
          <w:noProof/>
        </w:rPr>
        <w:t>1</w:t>
      </w:r>
      <w:r w:rsidR="00E9659A">
        <w:fldChar w:fldCharType="end"/>
      </w:r>
      <w:r w:rsidR="00E9659A">
        <w:t>.</w:t>
      </w:r>
    </w:p>
    <w:p w14:paraId="306DDE03" w14:textId="2FD9FE7F" w:rsidR="00CE67DC" w:rsidRDefault="00CE67DC" w:rsidP="00CE67DC"/>
    <w:p w14:paraId="53041785" w14:textId="77777777" w:rsidR="00E9659A" w:rsidRPr="00E9659A" w:rsidRDefault="00C94DD4" w:rsidP="00E9659A">
      <w:pPr>
        <w:keepNext/>
        <w:jc w:val="center"/>
      </w:pPr>
      <w:commentRangeStart w:id="12"/>
      <w:r w:rsidRPr="00E9659A">
        <w:rPr>
          <w:noProof/>
          <w:lang w:eastAsia="en-GB"/>
        </w:rPr>
        <w:drawing>
          <wp:inline distT="0" distB="0" distL="0" distR="0" wp14:anchorId="62AB1D6E" wp14:editId="6AF22666">
            <wp:extent cx="4265253" cy="23450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5537" cy="2350746"/>
                    </a:xfrm>
                    <a:prstGeom prst="rect">
                      <a:avLst/>
                    </a:prstGeom>
                    <a:noFill/>
                  </pic:spPr>
                </pic:pic>
              </a:graphicData>
            </a:graphic>
          </wp:inline>
        </w:drawing>
      </w:r>
      <w:commentRangeEnd w:id="12"/>
      <w:r w:rsidR="00B65FF5">
        <w:rPr>
          <w:rStyle w:val="CommentReference"/>
        </w:rPr>
        <w:commentReference w:id="12"/>
      </w:r>
    </w:p>
    <w:p w14:paraId="7B638475" w14:textId="2EC20CA7" w:rsidR="009E3600" w:rsidRPr="00E9659A" w:rsidRDefault="00E9659A" w:rsidP="00E9659A">
      <w:pPr>
        <w:pStyle w:val="Caption"/>
        <w:jc w:val="center"/>
        <w:rPr>
          <w:color w:val="auto"/>
        </w:rPr>
      </w:pPr>
      <w:bookmarkStart w:id="13" w:name="_Ref518901181"/>
      <w:r w:rsidRPr="00E9659A">
        <w:rPr>
          <w:color w:val="auto"/>
        </w:rPr>
        <w:t xml:space="preserve">Figure </w:t>
      </w:r>
      <w:r w:rsidRPr="00E9659A">
        <w:rPr>
          <w:color w:val="auto"/>
        </w:rPr>
        <w:fldChar w:fldCharType="begin"/>
      </w:r>
      <w:r w:rsidRPr="00E9659A">
        <w:rPr>
          <w:color w:val="auto"/>
        </w:rPr>
        <w:instrText xml:space="preserve"> SEQ Figure \* ARABIC </w:instrText>
      </w:r>
      <w:r w:rsidRPr="00E9659A">
        <w:rPr>
          <w:color w:val="auto"/>
        </w:rPr>
        <w:fldChar w:fldCharType="separate"/>
      </w:r>
      <w:r w:rsidR="009B1CEF">
        <w:rPr>
          <w:noProof/>
          <w:color w:val="auto"/>
        </w:rPr>
        <w:t>1</w:t>
      </w:r>
      <w:r w:rsidRPr="00E9659A">
        <w:rPr>
          <w:color w:val="auto"/>
        </w:rPr>
        <w:fldChar w:fldCharType="end"/>
      </w:r>
      <w:bookmarkEnd w:id="13"/>
      <w:r>
        <w:rPr>
          <w:color w:val="auto"/>
        </w:rPr>
        <w:t xml:space="preserve">. </w:t>
      </w:r>
      <w:r w:rsidRPr="00E9659A">
        <w:rPr>
          <w:color w:val="auto"/>
        </w:rPr>
        <w:t>System Overview</w:t>
      </w:r>
    </w:p>
    <w:p w14:paraId="33DD66E7" w14:textId="3304910A" w:rsidR="00EA4AD1" w:rsidRDefault="009D02AB" w:rsidP="00EA4AD1">
      <w:pPr>
        <w:pStyle w:val="Heading1"/>
      </w:pPr>
      <w:r>
        <w:t xml:space="preserve">Methods: </w:t>
      </w:r>
      <w:r w:rsidR="00EA4AD1">
        <w:t xml:space="preserve">Mobility </w:t>
      </w:r>
      <w:r w:rsidR="00106762">
        <w:t>Feature Extraction</w:t>
      </w:r>
    </w:p>
    <w:p w14:paraId="53EFEBCC" w14:textId="019DEB00" w:rsidR="00770AD7" w:rsidRDefault="002340B9" w:rsidP="00BB5C83">
      <w:r>
        <w:t xml:space="preserve">The raw location data </w:t>
      </w:r>
      <w:r w:rsidR="00972CCE">
        <w:t xml:space="preserve">for each user </w:t>
      </w:r>
      <w:r>
        <w:t>comprise</w:t>
      </w:r>
      <w:r w:rsidR="003A6488">
        <w:t>s</w:t>
      </w:r>
      <w:r>
        <w:t xml:space="preserve"> merged watch and phone data </w:t>
      </w:r>
      <w:r w:rsidR="008D6BD5">
        <w:t>including</w:t>
      </w:r>
      <w:r>
        <w:t xml:space="preserve"> timestamp, latitude, longitude,</w:t>
      </w:r>
      <w:r w:rsidR="00972CCE">
        <w:t xml:space="preserve"> and</w:t>
      </w:r>
      <w:r>
        <w:t xml:space="preserve"> accuracy</w:t>
      </w:r>
      <w:r w:rsidR="00972CCE">
        <w:t xml:space="preserve"> in meters</w:t>
      </w:r>
      <w:r w:rsidRPr="002340B9">
        <w:t>.</w:t>
      </w:r>
      <w:r>
        <w:t xml:space="preserve"> The sampling frequency </w:t>
      </w:r>
      <w:r w:rsidR="00972CCE">
        <w:t>is</w:t>
      </w:r>
      <w:r>
        <w:t xml:space="preserve"> irregular and, besides periods of missing data e.g. due to signal loss, readings </w:t>
      </w:r>
      <w:r w:rsidR="00B42509">
        <w:t>are spaced</w:t>
      </w:r>
      <w:r>
        <w:t xml:space="preserve"> between a few milliseconds and </w:t>
      </w:r>
      <w:r w:rsidR="008F0309">
        <w:t>~</w:t>
      </w:r>
      <w:r>
        <w:t>5 minutes</w:t>
      </w:r>
      <w:r w:rsidR="00B42509">
        <w:t xml:space="preserve"> </w:t>
      </w:r>
      <w:r w:rsidR="00B42509">
        <w:lastRenderedPageBreak/>
        <w:t>apart</w:t>
      </w:r>
      <w:r>
        <w:t>.</w:t>
      </w:r>
      <w:r w:rsidR="00B42509">
        <w:t xml:space="preserve"> </w:t>
      </w:r>
      <w:r w:rsidR="008D3BED">
        <w:t xml:space="preserve">The only pre-processing applied was to filter the data according to accuracy, with an upper limit of 25 meters. </w:t>
      </w:r>
      <w:r w:rsidR="00B0785B">
        <w:t>The inputs required to calculate the mobility metrics include the set of coordinate</w:t>
      </w:r>
      <w:r w:rsidR="00B85624">
        <w:t xml:space="preserve"> pair</w:t>
      </w:r>
      <w:r w:rsidR="00B0785B">
        <w:t xml:space="preserve">s, GPS trajectories (a series of stays and moves), and a known home location. The following sections describe how these inputs are obtained, followed by </w:t>
      </w:r>
      <w:r w:rsidR="00794973">
        <w:t xml:space="preserve">a description of </w:t>
      </w:r>
      <w:r w:rsidR="00B0785B">
        <w:t>the metrics calculations.</w:t>
      </w:r>
    </w:p>
    <w:p w14:paraId="4DCDB9CE" w14:textId="4A126B24" w:rsidR="001136EF" w:rsidRPr="003A618D" w:rsidRDefault="00BB5C83" w:rsidP="00BB5C83">
      <w:pPr>
        <w:pStyle w:val="Heading2"/>
      </w:pPr>
      <w:bookmarkStart w:id="14" w:name="_Ref518933830"/>
      <w:r>
        <w:t>Extracting</w:t>
      </w:r>
      <w:r w:rsidR="008D3BED">
        <w:t xml:space="preserve"> inputs: calculating GPS</w:t>
      </w:r>
      <w:r>
        <w:t xml:space="preserve"> trajectories</w:t>
      </w:r>
      <w:r w:rsidR="00546229">
        <w:t xml:space="preserve"> and home centroid</w:t>
      </w:r>
      <w:r>
        <w:t xml:space="preserve"> from location data</w:t>
      </w:r>
      <w:bookmarkEnd w:id="14"/>
    </w:p>
    <w:p w14:paraId="5439D947" w14:textId="69C08CC3" w:rsidR="00BB5C83" w:rsidRDefault="00972CCE" w:rsidP="00BB5C83">
      <w:r>
        <w:t>M</w:t>
      </w:r>
      <w:r w:rsidR="00EF3586">
        <w:t>any</w:t>
      </w:r>
      <w:r w:rsidR="00BB5C83">
        <w:t xml:space="preserve"> temporal and frequency-based measures require GPS trajectories describing how the person stays at or moves between locations. This requires analysis of the raw location data to extract “stay” and “</w:t>
      </w:r>
      <w:r w:rsidR="00B2690A">
        <w:t>move</w:t>
      </w:r>
      <w:r w:rsidR="00BB5C83">
        <w:t xml:space="preserve">” events, and </w:t>
      </w:r>
      <w:r w:rsidR="00F118E3">
        <w:t>identification of</w:t>
      </w:r>
      <w:r w:rsidR="001627DD">
        <w:t xml:space="preserve"> locations (</w:t>
      </w:r>
      <w:r w:rsidR="00BB5C83">
        <w:t>“po</w:t>
      </w:r>
      <w:r w:rsidR="00F118E3">
        <w:t>ints of interest” or “hotspots”</w:t>
      </w:r>
      <w:r w:rsidR="001627DD">
        <w:t>)</w:t>
      </w:r>
      <w:r w:rsidR="00F118E3">
        <w:t xml:space="preserve"> in the dataset</w:t>
      </w:r>
      <w:r w:rsidR="00BB5C83">
        <w:t xml:space="preserve">. </w:t>
      </w:r>
    </w:p>
    <w:p w14:paraId="5A053253" w14:textId="75499614" w:rsidR="00D75893" w:rsidRPr="00FE6AE6" w:rsidRDefault="002D5307" w:rsidP="00BB5C83">
      <w:pPr>
        <w:rPr>
          <w:i/>
          <w:color w:val="3366CC" w:themeColor="accent4"/>
        </w:rPr>
      </w:pPr>
      <w:r w:rsidRPr="002D5307">
        <w:rPr>
          <w:i/>
          <w:color w:val="3366CC" w:themeColor="accent4"/>
        </w:rPr>
        <w:t xml:space="preserve">Refer to the methods used elsewhere e.g. </w:t>
      </w:r>
      <w:proofErr w:type="spellStart"/>
      <w:r w:rsidRPr="002D5307">
        <w:rPr>
          <w:i/>
          <w:color w:val="3366CC" w:themeColor="accent4"/>
        </w:rPr>
        <w:t>Cuttone</w:t>
      </w:r>
      <w:proofErr w:type="spellEnd"/>
      <w:r w:rsidRPr="002D5307">
        <w:rPr>
          <w:i/>
          <w:color w:val="3366CC" w:themeColor="accent4"/>
        </w:rPr>
        <w:t>, Zheng,</w:t>
      </w:r>
      <w:r w:rsidR="00FE6AE6">
        <w:rPr>
          <w:i/>
          <w:color w:val="3366CC" w:themeColor="accent4"/>
        </w:rPr>
        <w:t xml:space="preserve"> etc. and justify our approach.</w:t>
      </w:r>
    </w:p>
    <w:p w14:paraId="4A514B37" w14:textId="786F4A48" w:rsidR="00BB5C83" w:rsidRDefault="00BB5C83" w:rsidP="00BB5C83">
      <w:r>
        <w:rPr>
          <w:noProof/>
          <w:lang w:eastAsia="en-GB"/>
        </w:rPr>
        <w:drawing>
          <wp:inline distT="0" distB="0" distL="0" distR="0" wp14:anchorId="2BBF4F54" wp14:editId="655314E4">
            <wp:extent cx="5760000" cy="21724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2172464"/>
                    </a:xfrm>
                    <a:prstGeom prst="rect">
                      <a:avLst/>
                    </a:prstGeom>
                    <a:noFill/>
                  </pic:spPr>
                </pic:pic>
              </a:graphicData>
            </a:graphic>
          </wp:inline>
        </w:drawing>
      </w:r>
    </w:p>
    <w:p w14:paraId="6081AC0F" w14:textId="1BA1EE1A" w:rsidR="00D75893" w:rsidRDefault="00D75893" w:rsidP="00D75893">
      <w:pPr>
        <w:pStyle w:val="Heading4"/>
      </w:pPr>
      <w:r>
        <w:t>Initial stay detection</w:t>
      </w:r>
    </w:p>
    <w:p w14:paraId="2E381FC8" w14:textId="0A04DB1E" w:rsidR="00972CCE" w:rsidRPr="00972CCE" w:rsidRDefault="00972CCE" w:rsidP="00972CCE">
      <w:r>
        <w:t xml:space="preserve">Adapted from </w:t>
      </w:r>
      <w:r>
        <w:fldChar w:fldCharType="begin" w:fldLock="1"/>
      </w:r>
      <w:r>
        <w:instrText>ADDIN CSL_CITATION { "citationItems" : [ { "id" : "ITEM-1", "itemData" : { "ISBN" : "9781450325356", "author" : [ { "dropping-particle" : "", "family" : "Andrienko", "given" : "Gennady", "non-dropping-particle" : "", "parse-names" : false, "suffix" : "" }, { "dropping-particle" : "", "family" : "Andrienko", "given" : "Natalia", "non-dropping-particle" : "", "parse-names" : false, "suffix" : "" }, { "dropping-particle" : "", "family" : "Raimond", "given" : "Olteanu", "non-dropping-particle" : "", "parse-names" : false, "suffix" : "" }, { "dropping-particle" : "", "family" : "Symanzik", "given" : "Juergen", "non-dropping-particle" : "", "parse-names" : false, "suffix" : "" }, { "dropping-particle" : "", "family" : "Ziemlicki", "given" : "Cezary", "non-dropping-particle" : "", "parse-names" : false, "suffix" : "" } ], "id" : "ITEM-1", "issue" : "c", "issued" : { "date-parts" : [ [ "2013" ] ] }, "title" : "E XTRACTING S EMANTICS OF Individual P LACES FROM", "type" : "article-journal" }, "uris" : [ "http://www.mendeley.com/documents/?uuid=43250e3f-5606-4f99-a468-33e26d3135ad" ] } ], "mendeley" : { "formattedCitation" : "(Andrienko, Andrienko, Raimond, Symanzik, &amp; Ziemlicki, 2013)", "plainTextFormattedCitation" : "(Andrienko, Andrienko, Raimond, Symanzik, &amp; Ziemlicki, 2013)", "previouslyFormattedCitation" : "(Andrienko, Andrienko, Raimond, Symanzik, &amp; Ziemlicki, 2013)" }, "properties" : { "noteIndex" : 0 }, "schema" : "https://github.com/citation-style-language/schema/raw/master/csl-citation.json" }</w:instrText>
      </w:r>
      <w:r>
        <w:fldChar w:fldCharType="separate"/>
      </w:r>
      <w:r w:rsidRPr="00EF56A8">
        <w:rPr>
          <w:noProof/>
        </w:rPr>
        <w:t>(Andrienko, Andrienko, Raimond, Symanzik, &amp; Ziemlicki, 2013)</w:t>
      </w:r>
      <w:r>
        <w:fldChar w:fldCharType="end"/>
      </w:r>
      <w:r>
        <w:t>. Not dependent on evenly spaced readings</w:t>
      </w:r>
      <w:r w:rsidR="002019FD">
        <w:t>.</w:t>
      </w:r>
    </w:p>
    <w:p w14:paraId="28464913" w14:textId="69015F07" w:rsidR="00D75893" w:rsidRDefault="00D75893" w:rsidP="00D75893">
      <w:pPr>
        <w:pStyle w:val="Heading4"/>
      </w:pPr>
      <w:r>
        <w:t>Spatial clustering</w:t>
      </w:r>
      <w:r w:rsidR="002D5307">
        <w:t xml:space="preserve"> (DBSCAN)</w:t>
      </w:r>
    </w:p>
    <w:p w14:paraId="74A7785D" w14:textId="2D351AAE" w:rsidR="002D5307" w:rsidRPr="002D5307" w:rsidRDefault="002D5307" w:rsidP="002D5307">
      <w:proofErr w:type="gramStart"/>
      <w:r>
        <w:t>good</w:t>
      </w:r>
      <w:proofErr w:type="gramEnd"/>
      <w:r>
        <w:t xml:space="preserve"> fit: unsupervised, any shape, can handle outliers.</w:t>
      </w:r>
    </w:p>
    <w:p w14:paraId="7A3D9E02" w14:textId="3CC91572" w:rsidR="00D75893" w:rsidRDefault="00D75893" w:rsidP="00D75893">
      <w:pPr>
        <w:pStyle w:val="Heading4"/>
      </w:pPr>
      <w:r>
        <w:t>Temporal clustering (filtering)</w:t>
      </w:r>
    </w:p>
    <w:p w14:paraId="73B0D15A" w14:textId="05CD32E6" w:rsidR="00CF4417" w:rsidRDefault="00CF4417" w:rsidP="00CF4417">
      <w:r>
        <w:t>Can be user-specified to fit the application (as with first step)</w:t>
      </w:r>
    </w:p>
    <w:p w14:paraId="2424F455" w14:textId="77777777" w:rsidR="00546229" w:rsidRDefault="00546229" w:rsidP="00546229">
      <w:pPr>
        <w:pStyle w:val="Heading4"/>
      </w:pPr>
      <w:r>
        <w:t>Home detection</w:t>
      </w:r>
    </w:p>
    <w:p w14:paraId="2C26484B" w14:textId="7D9ACB06" w:rsidR="00CF4417" w:rsidRDefault="00546229" w:rsidP="00546229">
      <w:r>
        <w:t xml:space="preserve">Detect “home” position (mode, update) &gt; </w:t>
      </w:r>
      <w:proofErr w:type="spellStart"/>
      <w:r>
        <w:t>is.home</w:t>
      </w:r>
      <w:proofErr w:type="spellEnd"/>
      <w:r>
        <w:t xml:space="preserve"> &gt; distance to home</w:t>
      </w:r>
    </w:p>
    <w:p w14:paraId="366BACF3" w14:textId="551A7F5F" w:rsidR="00B85624" w:rsidRDefault="00B85624" w:rsidP="00B85624">
      <w:pPr>
        <w:pStyle w:val="Heading4"/>
      </w:pPr>
      <w:r>
        <w:t>Output…</w:t>
      </w:r>
    </w:p>
    <w:p w14:paraId="685DE821" w14:textId="4A8F41C8" w:rsidR="00EA4AD1" w:rsidRDefault="00BB5C83" w:rsidP="003A618D">
      <w:pPr>
        <w:pStyle w:val="Heading2"/>
      </w:pPr>
      <w:r>
        <w:t>Calculating mobility metrics</w:t>
      </w:r>
      <w:r w:rsidR="003A6488">
        <w:t xml:space="preserve"> (</w:t>
      </w:r>
      <w:r w:rsidR="00A02006">
        <w:t xml:space="preserve">or </w:t>
      </w:r>
      <w:r w:rsidR="003A6488">
        <w:t>features)</w:t>
      </w:r>
    </w:p>
    <w:p w14:paraId="49F4E2D2" w14:textId="507D7DD9" w:rsidR="00053AB4" w:rsidRDefault="00794973" w:rsidP="009644F0">
      <w:r>
        <w:t xml:space="preserve">The set of mobility metrics was selected by combining various other selections used in literature for similar purposes </w:t>
      </w:r>
      <w:r w:rsidR="0066594B">
        <w:fldChar w:fldCharType="begin" w:fldLock="1"/>
      </w:r>
      <w:r w:rsidR="00F073E9">
        <w:instrText>ADDIN CSL_CITATION { "citationItems" : [ { "id" : "ITEM-1", "itemData" : { "DOI" : "10.1145/2750858.2805845", "ISBN" : "9781450335744", "abstract" : "One of the most interesting applications of mobile sensing is monitoring of individual behavior, especially in the area of mental health care. Most existing systems require an interac-tion with the device, for example they may require the user to input his/her mood state at regular intervals. In this paper we seek to answer whether mobile phones can be used to un-obtrusively monitor individuals affected by depressive mood disorders by analyzing only their mobility patterns from GPS traces. In order to get ground-truth measurements, we have developed a smartphone application that periodically collects the locations of the users and the answers to daily question-naires that quantify their depressive mood. We demonstrate that there exists a significant correlation between mobility trace characteristics and the depressive moods. Finally, we present the design of models that are able to successfully pre-dict changes in the depressive mood of individuals by analyz-ing their movements.", "author" : [ { "dropping-particle" : "", "family" : "Canzian", "given" : "Luca", "non-dropping-particle" : "", "parse-names" : false, "suffix" : "" }, { "dropping-particle" : "", "family" : "Musolesi", "given" : "Mirco", "non-dropping-particle" : "", "parse-names" : false, "suffix" : "" } ], "container-title" : "Proceedings of the 2015 ACM International Joint Conference on Pervasive and Ubiquitous Computing - UbiComp '15", "id" : "ITEM-1", "issued" : { "date-parts" : [ [ "2015" ] ] }, "page" : "1293-1304", "publisher" : "ACM Press", "publisher-place" : "New York, New York, USA", "title" : "Trajectories of Depression: Unobtrusive Monitoring of Depressive States by means of Smartphone Mobility Traces Analysis", "type" : "bill" }, "uris" : [ "http://www.mendeley.com/documents/?uuid=dbb14ef1-7f9f-4f4e-85a6-9923e1a75567" ] }, { "id" : "ITEM-2", "itemData" : { "DOI" : "10.1159/000355669", "ISSN" : "1423-0003 (Electronic)", "PMID" : "24356464", "abstract" : "BACKGROUND: As an indicator of physical and cognitive functioning in community-dwelling older adults, there is increasing interest in measuring life space, defined as the geographical area a person covers in daily life. Typically measured through questionnaires, life space can be challenging to assess in amnestic dementia associated with Alzheimer's disease (AD). While global positioning system (GPS) technology has been suggested as a potential solution, there remains a lack of data validating GPS-based methods to measure life space in cognitively impaired populations. OBJECTIVE: The purpose of the study was to evaluate the construct validity of a GPS system to provide quantitative measurements of global movement for individuals with mild-to-moderate AD. METHODS: Nineteen community-dwelling older adults with mild-to-moderate AD (Mini-Mental State Examination score 14-28, age 70.7 +/- 2.2 years) and 33 controls (CTL; age 74.0 +/- 1.2 years) wore a GPS-enabled mobile phone during the day for 3 days. Measures of geographical territory (area, perimeter, mean distance from home, and time away from home) were calculated from the GPS log. Following a log-transformation to produce symmetrical distributions, group differences were tested using two-sample t tests. Construct validity of the GPS measures was tested by examining the correlation between the GPS measures and indicators of physical function [steps/day, gait velocity, and Disability Assessment for Dementia (DAD)] and affective state (Apathy Evaluation Scale and Geriatric Depression Scale). Multivariate regression was performed to evaluate the relative strength of significantly correlated factors. RESULTS: GPS-derived area (p &lt; 0.01), perimeter (p &lt; 0.01), and mean distance from home (p &lt; 0.05) were smaller in the AD group compared to CTL. The correlation analysis found significant associations of the GPS measures area and perimeter with all measures of physical function (steps/day, DAD, and gait velocity; p &lt; 0.01), symptoms of apathy (p &lt; 0.01), and depression (p &lt; 0.05). Multivariate regression analysis indicated that gait velocity and dependence were the strongest variables associated with GPS measures. CONCLUSION: This study demonstrated that GPS-derived area and perimeter: (1) distinguished mild-to-moderate AD patients from CTL and (2) were strongly correlated with physical function and affective state. These findings confirm the ability of GPS technology to assess life space behaviour and may be p\u2026", "author" : [ { "dropping-particle" : "", "family" : "Tung", "given" : "James Yungjen", "non-dropping-particle" : "", "parse-names" : false, "suffix" : "" }, { "dropping-particle" : "", "family" : "Rose", "given" : "Rhiannon Victoria", "non-dropping-particle" : "", "parse-names" : false, "suffix" : "" }, { "dropping-particle" : "", "family" : "Gammada", "given" : "Emnet", "non-dropping-particle" : "", "parse-names" : false, "suffix" : "" }, { "dropping-particle" : "", "family" : "Lam", "given" : "Isabel", "non-dropping-particle" : "", "parse-names" : false, "suffix" : "" }, { "dropping-particle" : "", "family" : "Roy", "given" : "Eric Alexander", "non-dropping-particle" : "", "parse-names" : false, "suffix" : "" }, { "dropping-particle" : "", "family" : "Black", "given" : "Sandra E", "non-dropping-particle" : "", "parse-names" : false, "suffix" : "" }, { "dropping-particle" : "", "family" : "Poupart", "given" : "Pascal", "non-dropping-particle" : "", "parse-names" : false, "suffix" : "" } ], "container-title" : "Gerontology", "id" : "ITEM-2", "issue" : "2", "issued" : { "date-parts" : [ [ "2014", "1" ] ] }, "language" : "eng", "page" : "154-162", "publisher" : "S. Karger AG", "publisher-place" : "Switzerland", "title" : "Measuring life space in older adults with mild-to-moderate Alzheimer's disease using mobile phone GPS.", "type" : "article-journal", "volume" : "60" }, "uris" : [ "http://www.mendeley.com/documents/?uuid=98c6ae71-e9c3-4a5d-9ae1-d02d1e6de585" ] }, { "id" : "ITEM-3", "itemData" : { "ISBN" : "9781479927616", "abstract" : "A lifespace assessment comprising of metrics and clustering algorithms is applied to a GPS data-set released by the Michael J. Fox Foundation. Seven participants of the study who had been diagnosed with Parkinson\u2019s disease of various levels carried a smart-phone which recorded GPS data every second. Metrics indicated a relationship between lifespace measured using GPS and the severity of symptoms due to Parkinson\u2019s disease. This assessment has potential future application in clinical monitoring of symptom severity and treatment efficacy, and in broadly monitoring population time use and community mobility/transportation.", "author" : [ { "dropping-particle" : "", "family" : "Ireland", "given" : "David", "non-dropping-particle" : "", "parse-names" : false, "suffix" : "" }, { "dropping-particle" : "", "family" : "Mcbride", "given" : "Simon", "non-dropping-particle" : "", "parse-names" : false, "suffix" : "" }, { "dropping-particle" : "", "family" : "Liddle", "given" : "Jacki", "non-dropping-particle" : "", "parse-names" : false, "suffix" : "" }, { "dropping-particle" : "", "family" : "Chenery", "given" : "Helen", "non-dropping-particle" : "", "parse-names" : false, "suffix" : "" } ], "id" : "ITEM-3", "issue" : "Bmei", "issued" : { "date-parts" : [ [ "2013" ] ] }, "page" : "564-569", "title" : "Towards Quantifying the Impact of Parkinson \u2019 s Disease Using GPS and Lifespace Assessment", "type" : "paper-conference" }, "uris" : [ "http://www.mendeley.com/documents/?uuid=c398a5e2-70a3-4f05-b7b8-534106f19543" ] }, { "id" : "ITEM-4", "itemData" : { "DOI" : "10.1016/j.archger.2014.03.015", "ISSN" : "1872-6976 (Electronic)", "PMID" : "24768430", "abstract" : "Studies on the relationship between behavioral competence, such as the competence of exerting out-of-home behavior (OOHB), and well-being in older adults have rarely addressed cognitive status as a potentially moderating factor. We included 35 persons with early-stage dementia of the Alzheimer's type (DAT), 76 individuals with mild cognitive impairment (MCI) and 146 cognitively healthy (CH) study participants (grand mean age: M=72.9 years; SD=6.4 years). OOHB indicators were assessed based on a multi-method assessment strategy, using both GPS (global positioning system) tracking technology and structured self-reports. Environmental mastery and positive as well as negative affect served as well-being indicators and were assessed by established questionnaires. Three theoretically postulated OOHB dimensions of different complexity (out-of-home walking behavior, global out-of-home mobility, and out-of-home activities) were supported by confirmatory factor analysis (CFA). We also found in the DAT group that environmental mastery was substantially and positively related to less complex out-of-home walking behavior, which was not the case in MCI and CH individuals. In contrast, more complex out-of-home activities were associated with higher negative affect in the DAT as well as the MCI group, but not in CH persons. These findings point to the possibility that relationships between OOHB and well-being depend on the congruence between available cognitive resources and the complexity of the OOHB dimension considered.", "author" : [ { "dropping-particle" : "", "family" : "Wettstein", "given" : "Markus", "non-dropping-particle" : "", "parse-names" : false, "suffix" : "" }, { "dropping-particle" : "", "family" : "Wahl", "given" : "Hans-Werner", "non-dropping-particle" : "", "parse-names" : false, "suffix" : "" }, { "dropping-particle" : "", "family" : "Shoval", "given" : "Noam", "non-dropping-particle" : "", "parse-names" : false, "suffix" : "" }, { "dropping-particle" : "", "family" : "Auslander", "given" : "Gail", "non-dropping-particle" : "", "parse-names" : false, "suffix" : "" }, { "dropping-particle" : "", "family" : "Oswald", "given" : "Frank", "non-dropping-particle" : "", "parse-names" : false, "suffix" : "" }, { "dropping-particle" : "", "family" : "Heinik", "given" : "Jeremia", "non-dropping-particle" : "", "parse-names" : false, "suffix" : "" } ], "container-title" : "Archives of gerontology and geriatrics", "id" : "ITEM-4", "issue" : "1", "issued" : { "date-parts" : [ [ "2014" ] ] }, "language" : "eng", "note" : "Notes for Review paper (very outdated): Perhaps need a kind of exclusion category for when technology is not used as support but to investigate some other factor.", "page" : "113-121", "publisher-place" : "Netherlands", "title" : "Cognitive status moderates the relationship between out-of-home behavior (OOHB), environmental mastery and affect.", "type" : "article-journal", "volume" : "59" }, "uris" : [ "http://www.mendeley.com/documents/?uuid=fef0e16a-239a-48b2-9b28-6ebf1fc46fe9" ] } ], "mendeley" : { "formattedCitation" : "(Canzian &amp; Musolesi, 2015; Ireland, Mcbride, Liddle, &amp; Chenery, 2013; J. Y. Tung et al., 2014b; Wettstein et al., 2014)", "plainTextFormattedCitation" : "(Canzian &amp; Musolesi, 2015; Ireland, Mcbride, Liddle, &amp; Chenery, 2013; J. Y. Tung et al., 2014b; Wettstein et al., 2014)", "previouslyFormattedCitation" : "(Canzian &amp; Musolesi, 2015; Ireland, Mcbride, Liddle, &amp; Chenery, 2013; J. Y. Tung et al., 2014b; Wettstein et al., 2014)" }, "properties" : { "noteIndex" : 0 }, "schema" : "https://github.com/citation-style-language/schema/raw/master/csl-citation.json" }</w:instrText>
      </w:r>
      <w:r w:rsidR="0066594B">
        <w:fldChar w:fldCharType="separate"/>
      </w:r>
      <w:r w:rsidR="00F073E9" w:rsidRPr="00F073E9">
        <w:rPr>
          <w:noProof/>
        </w:rPr>
        <w:t>(Canzian &amp; Musolesi, 2015; Ireland, Mcbride, Liddle, &amp; Chenery, 2013; J. Y. Tung et al., 2014b; Wettstein et al., 2014)</w:t>
      </w:r>
      <w:r w:rsidR="0066594B">
        <w:fldChar w:fldCharType="end"/>
      </w:r>
      <w:r>
        <w:t xml:space="preserve">, ensuring that different types of measures are included (i.e. spatial, temporal and frequency or count based). </w:t>
      </w:r>
      <w:r w:rsidR="00E9148D">
        <w:t xml:space="preserve">An overview of </w:t>
      </w:r>
      <w:r w:rsidR="00BC34DB">
        <w:t>the included</w:t>
      </w:r>
      <w:r w:rsidR="00E9148D">
        <w:t xml:space="preserve"> </w:t>
      </w:r>
      <w:r w:rsidR="00BC34DB">
        <w:t>mobility metrics</w:t>
      </w:r>
      <w:r w:rsidR="00E9148D">
        <w:t xml:space="preserve"> is provided below.</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6757"/>
      </w:tblGrid>
      <w:tr w:rsidR="00A07067" w14:paraId="05DBEDA0" w14:textId="72E40AAA" w:rsidTr="00A07067">
        <w:tc>
          <w:tcPr>
            <w:tcW w:w="1027" w:type="pct"/>
          </w:tcPr>
          <w:p w14:paraId="4A03722B" w14:textId="77777777" w:rsidR="00A07067" w:rsidRPr="00053AB4" w:rsidRDefault="00A07067" w:rsidP="00794973">
            <w:pPr>
              <w:rPr>
                <w:i/>
              </w:rPr>
            </w:pPr>
            <w:r w:rsidRPr="00053AB4">
              <w:rPr>
                <w:i/>
              </w:rPr>
              <w:lastRenderedPageBreak/>
              <w:t>Minimum convex polygon</w:t>
            </w:r>
          </w:p>
        </w:tc>
        <w:tc>
          <w:tcPr>
            <w:tcW w:w="3973" w:type="pct"/>
          </w:tcPr>
          <w:p w14:paraId="013FC101" w14:textId="108CD67C" w:rsidR="00A07067" w:rsidRDefault="00A07067" w:rsidP="00053AB4">
            <w:r>
              <w:t xml:space="preserve">Area of the </w:t>
            </w:r>
            <w:r w:rsidRPr="0069570C">
              <w:t>smallest possible convex polygon construct</w:t>
            </w:r>
            <w:r>
              <w:t>ed</w:t>
            </w:r>
            <w:r w:rsidRPr="0069570C">
              <w:t xml:space="preserve"> </w:t>
            </w:r>
            <w:r>
              <w:t xml:space="preserve">around the data, also referred to as the “mobility envelope”. This is calculated by applying the R function </w:t>
            </w:r>
            <w:proofErr w:type="spellStart"/>
            <w:r w:rsidRPr="002D2C11">
              <w:rPr>
                <w:rFonts w:ascii="Courier New" w:hAnsi="Courier New" w:cs="Courier New"/>
              </w:rPr>
              <w:t>chull</w:t>
            </w:r>
            <w:proofErr w:type="spellEnd"/>
            <w:r>
              <w:t xml:space="preserve"> to a subset of points for which the distance to the centroid falls within a 99% quantile.</w:t>
            </w:r>
          </w:p>
        </w:tc>
      </w:tr>
      <w:tr w:rsidR="00A07067" w14:paraId="40A6D866" w14:textId="336D2B40" w:rsidTr="00A07067">
        <w:tc>
          <w:tcPr>
            <w:tcW w:w="1027" w:type="pct"/>
          </w:tcPr>
          <w:p w14:paraId="365A41A1" w14:textId="77777777" w:rsidR="00A07067" w:rsidRPr="00053AB4" w:rsidRDefault="00A07067" w:rsidP="00794973">
            <w:pPr>
              <w:rPr>
                <w:i/>
              </w:rPr>
            </w:pPr>
            <w:r w:rsidRPr="00053AB4">
              <w:rPr>
                <w:i/>
              </w:rPr>
              <w:t xml:space="preserve">Action range </w:t>
            </w:r>
          </w:p>
        </w:tc>
        <w:tc>
          <w:tcPr>
            <w:tcW w:w="3973" w:type="pct"/>
          </w:tcPr>
          <w:p w14:paraId="3F948B0A" w14:textId="26CE4CF7" w:rsidR="00A07067" w:rsidRDefault="00A07067" w:rsidP="001627DD">
            <w:r>
              <w:t>S</w:t>
            </w:r>
            <w:r w:rsidRPr="007232AB">
              <w:t>traight</w:t>
            </w:r>
            <w:r>
              <w:t>-</w:t>
            </w:r>
            <w:r w:rsidRPr="007232AB">
              <w:t xml:space="preserve">line distance between home and </w:t>
            </w:r>
            <w:r>
              <w:t xml:space="preserve">the </w:t>
            </w:r>
            <w:r w:rsidRPr="007232AB">
              <w:t xml:space="preserve">most distal point of a </w:t>
            </w:r>
            <w:proofErr w:type="gramStart"/>
            <w:r w:rsidR="001627DD" w:rsidRPr="007232AB">
              <w:t>journey</w:t>
            </w:r>
            <w:r w:rsidR="001627DD">
              <w:t>,</w:t>
            </w:r>
            <w:proofErr w:type="gramEnd"/>
            <w:r>
              <w:t xml:space="preserve"> sometimes referred to as </w:t>
            </w:r>
            <w:r w:rsidRPr="00851BA2">
              <w:rPr>
                <w:i/>
              </w:rPr>
              <w:t>home range</w:t>
            </w:r>
            <w:r>
              <w:t xml:space="preserve">. The R function </w:t>
            </w:r>
            <w:proofErr w:type="spellStart"/>
            <w:r w:rsidRPr="00851BA2">
              <w:rPr>
                <w:rFonts w:ascii="Courier New" w:hAnsi="Courier New" w:cs="Courier New"/>
              </w:rPr>
              <w:t>distGeo</w:t>
            </w:r>
            <w:proofErr w:type="spellEnd"/>
            <w:r>
              <w:t xml:space="preserve"> </w:t>
            </w:r>
            <w:r>
              <w:fldChar w:fldCharType="begin" w:fldLock="1"/>
            </w:r>
            <w:r w:rsidR="00794973">
              <w:instrText>ADDIN CSL_CITATION { "citationItems" : [ { "id" : "ITEM-1", "itemData" : { "DOI" : "10.1007/s00190-012-0578-z", "ISSN" : "0949-7714", "abstract" : "Algorithms for the computation of geodesics on an ellipsoid of revolution are given. These provide accurate, robust, and fast solutions to the direct and inverse geodesic problems and they allow differential and integral properties of geodesics to be computed.", "author" : [ { "dropping-particle" : "", "family" : "Karney", "given" : "Charles F. F.", "non-dropping-particle" : "", "parse-names" : false, "suffix" : "" } ], "container-title" : "Journal of Geodesy", "id" : "ITEM-1", "issue" : "1", "issued" : { "date-parts" : [ [ "2013", "1", "26" ] ] }, "page" : "43-55", "title" : "Algorithms for geodesics", "type" : "article-journal", "volume" : "87" }, "uris" : [ "http://www.mendeley.com/documents/?uuid=96cb9530-3b42-38c5-9ede-0fcb7c5377e5" ] } ], "mendeley" : { "formattedCitation" : "(Karney, 2013)", "plainTextFormattedCitation" : "(Karney, 2013)", "previouslyFormattedCitation" : "(Karney, 2013)" }, "properties" : { "noteIndex" : 0 }, "schema" : "https://github.com/citation-style-language/schema/raw/master/csl-citation.json" }</w:instrText>
            </w:r>
            <w:r>
              <w:fldChar w:fldCharType="separate"/>
            </w:r>
            <w:r w:rsidRPr="000327B2">
              <w:rPr>
                <w:noProof/>
              </w:rPr>
              <w:t>(Karney, 2013)</w:t>
            </w:r>
            <w:r>
              <w:fldChar w:fldCharType="end"/>
            </w:r>
            <w:r>
              <w:t xml:space="preserve"> is used to calculate the geodesic distance between the home centroid and all other points in the dataset. For each stay and move event in the GPS trajectory, the action range variable is then calculated as the maximum of these distances. Both the maximum and mean per day are included.</w:t>
            </w:r>
          </w:p>
        </w:tc>
      </w:tr>
      <w:tr w:rsidR="00A07067" w14:paraId="26A2E11E" w14:textId="569B26B5" w:rsidTr="00A07067">
        <w:tc>
          <w:tcPr>
            <w:tcW w:w="1027" w:type="pct"/>
          </w:tcPr>
          <w:p w14:paraId="37A66EFD" w14:textId="1418FA77" w:rsidR="00A07067" w:rsidRPr="00053AB4" w:rsidRDefault="00E9148D" w:rsidP="00E9148D">
            <w:pPr>
              <w:rPr>
                <w:i/>
              </w:rPr>
            </w:pPr>
            <w:r>
              <w:rPr>
                <w:i/>
              </w:rPr>
              <w:t>Distance covered</w:t>
            </w:r>
          </w:p>
        </w:tc>
        <w:tc>
          <w:tcPr>
            <w:tcW w:w="3973" w:type="pct"/>
          </w:tcPr>
          <w:p w14:paraId="06FCADC4" w14:textId="3DFDC707" w:rsidR="00A07067" w:rsidRDefault="00A07067" w:rsidP="00794973">
            <w:r>
              <w:t>The geodesic distance between consecutive stays centroids. Both the maximum and total per day are included.</w:t>
            </w:r>
          </w:p>
        </w:tc>
      </w:tr>
      <w:tr w:rsidR="00A07067" w14:paraId="2E531ACD" w14:textId="54DBF9DD" w:rsidTr="00A07067">
        <w:tc>
          <w:tcPr>
            <w:tcW w:w="1027" w:type="pct"/>
          </w:tcPr>
          <w:p w14:paraId="73C8BBE8" w14:textId="2ED958AB" w:rsidR="00A07067" w:rsidRPr="00053AB4" w:rsidRDefault="00A07067" w:rsidP="00A07067">
            <w:pPr>
              <w:rPr>
                <w:i/>
              </w:rPr>
            </w:pPr>
            <w:r w:rsidRPr="00053AB4">
              <w:rPr>
                <w:i/>
              </w:rPr>
              <w:t xml:space="preserve">Time spent </w:t>
            </w:r>
            <w:r>
              <w:rPr>
                <w:i/>
              </w:rPr>
              <w:t>out</w:t>
            </w:r>
          </w:p>
        </w:tc>
        <w:tc>
          <w:tcPr>
            <w:tcW w:w="3973" w:type="pct"/>
          </w:tcPr>
          <w:p w14:paraId="76DD9968" w14:textId="1722B365" w:rsidR="00A07067" w:rsidRDefault="00A07067" w:rsidP="00794973">
            <w:r>
              <w:t>Sum of durations for all events excluding stays at home</w:t>
            </w:r>
          </w:p>
        </w:tc>
      </w:tr>
      <w:tr w:rsidR="00A07067" w14:paraId="519C62EE" w14:textId="1CD26E48" w:rsidTr="00A07067">
        <w:tc>
          <w:tcPr>
            <w:tcW w:w="1027" w:type="pct"/>
          </w:tcPr>
          <w:p w14:paraId="0E7AE039" w14:textId="52888A68" w:rsidR="00A07067" w:rsidRPr="00053AB4" w:rsidRDefault="00A07067" w:rsidP="00A07067">
            <w:pPr>
              <w:rPr>
                <w:i/>
              </w:rPr>
            </w:pPr>
            <w:r w:rsidRPr="00053AB4">
              <w:rPr>
                <w:i/>
              </w:rPr>
              <w:t xml:space="preserve">Time spent </w:t>
            </w:r>
            <w:r>
              <w:rPr>
                <w:i/>
              </w:rPr>
              <w:t>moving</w:t>
            </w:r>
            <w:r w:rsidRPr="00053AB4">
              <w:rPr>
                <w:i/>
              </w:rPr>
              <w:t xml:space="preserve"> between locations</w:t>
            </w:r>
          </w:p>
        </w:tc>
        <w:tc>
          <w:tcPr>
            <w:tcW w:w="3973" w:type="pct"/>
          </w:tcPr>
          <w:p w14:paraId="1AF8B09E" w14:textId="3143F7A5" w:rsidR="00A07067" w:rsidRDefault="00A07067" w:rsidP="00794973">
            <w:r>
              <w:t>Sum of durations for all move events</w:t>
            </w:r>
          </w:p>
        </w:tc>
      </w:tr>
      <w:tr w:rsidR="00A07067" w14:paraId="6EECF53D" w14:textId="7871AFE7" w:rsidTr="00A07067">
        <w:tc>
          <w:tcPr>
            <w:tcW w:w="1027" w:type="pct"/>
          </w:tcPr>
          <w:p w14:paraId="58AF1C66" w14:textId="77777777" w:rsidR="00A07067" w:rsidRPr="00053AB4" w:rsidRDefault="00A07067" w:rsidP="00794973">
            <w:pPr>
              <w:rPr>
                <w:i/>
              </w:rPr>
            </w:pPr>
            <w:r w:rsidRPr="00053AB4">
              <w:rPr>
                <w:i/>
              </w:rPr>
              <w:t>Number of places visited</w:t>
            </w:r>
          </w:p>
        </w:tc>
        <w:tc>
          <w:tcPr>
            <w:tcW w:w="3973" w:type="pct"/>
          </w:tcPr>
          <w:p w14:paraId="50E150FE" w14:textId="1EB6D4E0" w:rsidR="00A07067" w:rsidRDefault="00A07067" w:rsidP="00A07067">
            <w:r>
              <w:t>Count of unique places visited (including home). This requires location ID’s, so that a single place is only counted once even when visited multiple times per day.</w:t>
            </w:r>
          </w:p>
        </w:tc>
      </w:tr>
      <w:tr w:rsidR="00A07067" w14:paraId="51FDE647" w14:textId="19C94C28" w:rsidTr="00A07067">
        <w:tc>
          <w:tcPr>
            <w:tcW w:w="1027" w:type="pct"/>
          </w:tcPr>
          <w:p w14:paraId="0F4E73D4" w14:textId="77777777" w:rsidR="00A07067" w:rsidRPr="00053AB4" w:rsidRDefault="00A07067" w:rsidP="00794973">
            <w:pPr>
              <w:rPr>
                <w:i/>
              </w:rPr>
            </w:pPr>
            <w:r w:rsidRPr="00053AB4">
              <w:rPr>
                <w:i/>
              </w:rPr>
              <w:t>Number of trips</w:t>
            </w:r>
          </w:p>
        </w:tc>
        <w:tc>
          <w:tcPr>
            <w:tcW w:w="3973" w:type="pct"/>
          </w:tcPr>
          <w:p w14:paraId="4FBE48DB" w14:textId="77777777" w:rsidR="00A07067" w:rsidRDefault="00A07067" w:rsidP="00794973">
            <w:r>
              <w:t>Count of all moves in the GPS trajectories</w:t>
            </w:r>
          </w:p>
        </w:tc>
      </w:tr>
    </w:tbl>
    <w:p w14:paraId="7C6FC919" w14:textId="77777777" w:rsidR="009713C1" w:rsidRDefault="009713C1" w:rsidP="009713C1">
      <w:pPr>
        <w:rPr>
          <w:i/>
          <w:color w:val="3366CC" w:themeColor="accent4"/>
        </w:rPr>
      </w:pPr>
    </w:p>
    <w:p w14:paraId="1EB7AE2D" w14:textId="56457581" w:rsidR="009713C1" w:rsidRPr="009713C1" w:rsidRDefault="009713C1" w:rsidP="00AC2D89">
      <w:pPr>
        <w:rPr>
          <w:i/>
          <w:color w:val="3366CC" w:themeColor="accent4"/>
        </w:rPr>
      </w:pPr>
      <w:r>
        <w:rPr>
          <w:i/>
          <w:color w:val="3366CC" w:themeColor="accent4"/>
        </w:rPr>
        <w:t xml:space="preserve">To add: </w:t>
      </w:r>
      <w:r w:rsidRPr="001A65E9">
        <w:rPr>
          <w:i/>
          <w:color w:val="3366CC" w:themeColor="accent4"/>
        </w:rPr>
        <w:t>Demonstrati</w:t>
      </w:r>
      <w:r>
        <w:rPr>
          <w:i/>
          <w:color w:val="3366CC" w:themeColor="accent4"/>
        </w:rPr>
        <w:t xml:space="preserve">ve result of all stays on a map along with various </w:t>
      </w:r>
      <w:r w:rsidR="00AC2D89">
        <w:rPr>
          <w:i/>
          <w:color w:val="3366CC" w:themeColor="accent4"/>
        </w:rPr>
        <w:t>metrics</w:t>
      </w:r>
      <w:r w:rsidR="00AC2D89" w:rsidRPr="00AC2D89">
        <w:rPr>
          <w:i/>
          <w:color w:val="3366CC" w:themeColor="accent4"/>
        </w:rPr>
        <w:t xml:space="preserve"> (one for each of: spatial mobility, temporal mobility, frequency mobility, activity, steps)</w:t>
      </w:r>
    </w:p>
    <w:p w14:paraId="0D548BA2" w14:textId="491C1EC8" w:rsidR="003A618D" w:rsidRPr="00026379" w:rsidRDefault="003A618D" w:rsidP="003A618D">
      <w:pPr>
        <w:pStyle w:val="Heading2"/>
        <w:rPr>
          <w:color w:val="3366CC" w:themeColor="accent4"/>
        </w:rPr>
      </w:pPr>
      <w:r w:rsidRPr="00026379">
        <w:rPr>
          <w:color w:val="3366CC" w:themeColor="accent4"/>
        </w:rPr>
        <w:t xml:space="preserve">Activity </w:t>
      </w:r>
      <w:r w:rsidR="00FE6AE6" w:rsidRPr="00026379">
        <w:rPr>
          <w:color w:val="3366CC" w:themeColor="accent4"/>
        </w:rPr>
        <w:t>(TBC)</w:t>
      </w:r>
    </w:p>
    <w:p w14:paraId="3F142392" w14:textId="6E91D583" w:rsidR="00050001" w:rsidRDefault="003A618D" w:rsidP="003A618D">
      <w:pPr>
        <w:rPr>
          <w:color w:val="3366CC" w:themeColor="accent4"/>
        </w:rPr>
      </w:pPr>
      <w:r w:rsidRPr="00026379">
        <w:rPr>
          <w:color w:val="3366CC" w:themeColor="accent4"/>
        </w:rPr>
        <w:t>Step-count</w:t>
      </w:r>
      <w:r w:rsidR="004D3D2B" w:rsidRPr="00026379">
        <w:rPr>
          <w:color w:val="3366CC" w:themeColor="accent4"/>
        </w:rPr>
        <w:t xml:space="preserve">: </w:t>
      </w:r>
      <w:r w:rsidR="00B65FF5">
        <w:rPr>
          <w:color w:val="3366CC" w:themeColor="accent4"/>
        </w:rPr>
        <w:t xml:space="preserve"> (step count totals are better from watch, but the data is too erratic to see patterns. Phone offers better “real time” </w:t>
      </w:r>
      <w:r w:rsidR="004F3DC5">
        <w:rPr>
          <w:color w:val="3366CC" w:themeColor="accent4"/>
        </w:rPr>
        <w:t>patterns, but is less reliable in terms of how it is used to pick up step counts on a micro level.)</w:t>
      </w:r>
    </w:p>
    <w:p w14:paraId="7F7D8C6F" w14:textId="3B8FC266" w:rsidR="003A618D" w:rsidRDefault="00A406EC" w:rsidP="00050001">
      <w:pPr>
        <w:pStyle w:val="ListParagraph"/>
        <w:numPr>
          <w:ilvl w:val="0"/>
          <w:numId w:val="25"/>
        </w:numPr>
        <w:rPr>
          <w:color w:val="3366CC" w:themeColor="accent4"/>
        </w:rPr>
      </w:pPr>
      <w:r w:rsidRPr="00050001">
        <w:rPr>
          <w:color w:val="3366CC" w:themeColor="accent4"/>
        </w:rPr>
        <w:t>total per day</w:t>
      </w:r>
      <w:r w:rsidR="00050001">
        <w:rPr>
          <w:color w:val="3366CC" w:themeColor="accent4"/>
        </w:rPr>
        <w:t xml:space="preserve"> from more reliable device (watch where possible)</w:t>
      </w:r>
    </w:p>
    <w:p w14:paraId="32C2DF4B" w14:textId="1B10B96A" w:rsidR="00050001" w:rsidRPr="00050001" w:rsidRDefault="00050001" w:rsidP="00050001">
      <w:pPr>
        <w:pStyle w:val="ListParagraph"/>
        <w:numPr>
          <w:ilvl w:val="0"/>
          <w:numId w:val="25"/>
        </w:numPr>
        <w:rPr>
          <w:color w:val="3366CC" w:themeColor="accent4"/>
        </w:rPr>
      </w:pPr>
      <w:proofErr w:type="gramStart"/>
      <w:r>
        <w:rPr>
          <w:color w:val="3366CC" w:themeColor="accent4"/>
        </w:rPr>
        <w:t>patterns</w:t>
      </w:r>
      <w:proofErr w:type="gramEnd"/>
      <w:r>
        <w:rPr>
          <w:color w:val="3366CC" w:themeColor="accent4"/>
        </w:rPr>
        <w:t xml:space="preserve"> based on windows (NOTE: For most participants this is not an effective method, since the data is too erratic. There are exceptions like P10. This also shows something about the validity of the approach, since it shows the spread of data across the day.)</w:t>
      </w:r>
    </w:p>
    <w:p w14:paraId="56822804" w14:textId="0BFF6AE6" w:rsidR="00050001" w:rsidRDefault="003A618D" w:rsidP="003A618D">
      <w:pPr>
        <w:rPr>
          <w:color w:val="3366CC" w:themeColor="accent4"/>
        </w:rPr>
      </w:pPr>
      <w:r w:rsidRPr="00026379">
        <w:rPr>
          <w:color w:val="3366CC" w:themeColor="accent4"/>
        </w:rPr>
        <w:t>A</w:t>
      </w:r>
      <w:r w:rsidR="00050001">
        <w:rPr>
          <w:color w:val="3366CC" w:themeColor="accent4"/>
        </w:rPr>
        <w:t>ctivity patterns</w:t>
      </w:r>
      <w:r w:rsidR="004D3D2B" w:rsidRPr="00026379">
        <w:rPr>
          <w:color w:val="3366CC" w:themeColor="accent4"/>
        </w:rPr>
        <w:t xml:space="preserve">: </w:t>
      </w:r>
    </w:p>
    <w:p w14:paraId="713B4BD5" w14:textId="77777777" w:rsidR="00050001" w:rsidRDefault="00050001" w:rsidP="00050001">
      <w:pPr>
        <w:pStyle w:val="ListParagraph"/>
        <w:numPr>
          <w:ilvl w:val="0"/>
          <w:numId w:val="25"/>
        </w:numPr>
        <w:rPr>
          <w:color w:val="3366CC" w:themeColor="accent4"/>
        </w:rPr>
      </w:pPr>
      <w:r>
        <w:rPr>
          <w:color w:val="3366CC" w:themeColor="accent4"/>
        </w:rPr>
        <w:t>look at foot, bike, vehicle, still</w:t>
      </w:r>
    </w:p>
    <w:p w14:paraId="4CA6768C" w14:textId="77777777" w:rsidR="00050001" w:rsidRDefault="00050001" w:rsidP="00050001">
      <w:pPr>
        <w:pStyle w:val="ListParagraph"/>
        <w:numPr>
          <w:ilvl w:val="0"/>
          <w:numId w:val="25"/>
        </w:numPr>
        <w:rPr>
          <w:color w:val="3366CC" w:themeColor="accent4"/>
        </w:rPr>
      </w:pPr>
      <w:r>
        <w:rPr>
          <w:color w:val="3366CC" w:themeColor="accent4"/>
        </w:rPr>
        <w:t xml:space="preserve">approach options: </w:t>
      </w:r>
    </w:p>
    <w:p w14:paraId="5BF46038" w14:textId="77777777" w:rsidR="00050001" w:rsidRDefault="004D3D2B" w:rsidP="00050001">
      <w:pPr>
        <w:pStyle w:val="ListParagraph"/>
        <w:numPr>
          <w:ilvl w:val="1"/>
          <w:numId w:val="25"/>
        </w:numPr>
        <w:rPr>
          <w:color w:val="3366CC" w:themeColor="accent4"/>
        </w:rPr>
      </w:pPr>
      <w:r w:rsidRPr="00050001">
        <w:rPr>
          <w:color w:val="3366CC" w:themeColor="accent4"/>
        </w:rPr>
        <w:t>threshold applied to interval between readings</w:t>
      </w:r>
    </w:p>
    <w:p w14:paraId="0E817335" w14:textId="79D7841E" w:rsidR="003A618D" w:rsidRPr="00050001" w:rsidRDefault="00050001" w:rsidP="00050001">
      <w:pPr>
        <w:pStyle w:val="ListParagraph"/>
        <w:numPr>
          <w:ilvl w:val="1"/>
          <w:numId w:val="25"/>
        </w:numPr>
        <w:rPr>
          <w:color w:val="3366CC" w:themeColor="accent4"/>
        </w:rPr>
      </w:pPr>
      <w:r>
        <w:rPr>
          <w:color w:val="3366CC" w:themeColor="accent4"/>
        </w:rPr>
        <w:t>look at most frequent in bins</w:t>
      </w:r>
    </w:p>
    <w:p w14:paraId="3FA88042" w14:textId="7C2BEFD4" w:rsidR="00245532" w:rsidRPr="008A380A" w:rsidRDefault="003A618D" w:rsidP="003A618D">
      <w:pPr>
        <w:pStyle w:val="Heading1"/>
      </w:pPr>
      <w:r w:rsidRPr="008A380A">
        <w:lastRenderedPageBreak/>
        <w:t>Evaluation</w:t>
      </w:r>
    </w:p>
    <w:p w14:paraId="768A7112" w14:textId="558D3AC3" w:rsidR="005D69D9" w:rsidRDefault="005D69D9" w:rsidP="009644F0">
      <w:r>
        <w:t>The mobility monitoring solution was evaluated using data from two experiments</w:t>
      </w:r>
      <w:r w:rsidR="00A84E42">
        <w:t>. The first experiment served as a</w:t>
      </w:r>
      <w:r w:rsidR="00D72EBD">
        <w:t xml:space="preserve"> small</w:t>
      </w:r>
      <w:r w:rsidR="00A84E42">
        <w:t xml:space="preserve"> pilot study</w:t>
      </w:r>
      <w:r w:rsidR="00D72EBD">
        <w:t xml:space="preserve"> (N = 5)</w:t>
      </w:r>
      <w:r w:rsidR="00A84E42">
        <w:t xml:space="preserve"> to test the stay detection module </w:t>
      </w:r>
      <w:r w:rsidR="00D72EBD">
        <w:t>and</w:t>
      </w:r>
      <w:r w:rsidR="00A84E42">
        <w:t xml:space="preserve"> selected metrics. The second experiment compared results from life</w:t>
      </w:r>
      <w:r w:rsidR="008A380A">
        <w:t>-</w:t>
      </w:r>
      <w:r w:rsidR="00A84E42">
        <w:t>space mobility assessments with corresponding</w:t>
      </w:r>
      <w:r>
        <w:t xml:space="preserve"> </w:t>
      </w:r>
      <w:r w:rsidR="00A84E42">
        <w:t xml:space="preserve">sensor-based measurement for a group of </w:t>
      </w:r>
      <w:r w:rsidR="008A380A">
        <w:t>six</w:t>
      </w:r>
      <w:r w:rsidR="00A84E42">
        <w:t xml:space="preserve"> participants </w:t>
      </w:r>
      <w:r w:rsidR="008A380A">
        <w:t>within the target group of people with</w:t>
      </w:r>
      <w:r w:rsidR="00A84E42">
        <w:t xml:space="preserve"> dementia.</w:t>
      </w:r>
    </w:p>
    <w:p w14:paraId="2FFF20D8" w14:textId="1441068E" w:rsidR="008A380A" w:rsidRDefault="00444B92" w:rsidP="008A380A">
      <w:pPr>
        <w:pStyle w:val="Heading2"/>
      </w:pPr>
      <w:r>
        <w:t>P</w:t>
      </w:r>
      <w:r w:rsidR="008A380A">
        <w:t xml:space="preserve">ilot </w:t>
      </w:r>
      <w:r w:rsidR="0057425A">
        <w:t>test</w:t>
      </w:r>
    </w:p>
    <w:p w14:paraId="14DE3BA7" w14:textId="588EED70" w:rsidR="00EE3F0E" w:rsidRDefault="00D72EBD" w:rsidP="00D72EBD">
      <w:r>
        <w:t>The pilot study included five healthy participants recruited from the research institution where this work has been carried out</w:t>
      </w:r>
      <w:r w:rsidRPr="00D72EBD">
        <w:rPr>
          <w:color w:val="3366CC" w:themeColor="accent4"/>
        </w:rPr>
        <w:t xml:space="preserve"> […not sure what details are necessary]</w:t>
      </w:r>
      <w:r>
        <w:rPr>
          <w:color w:val="3366CC" w:themeColor="accent4"/>
        </w:rPr>
        <w:t>.</w:t>
      </w:r>
      <w:r w:rsidRPr="00D72EBD">
        <w:t xml:space="preserve"> </w:t>
      </w:r>
      <w:r w:rsidR="006C572F" w:rsidRPr="00D72EBD">
        <w:t>Participants used the mobility monitoring system while simultaneously log</w:t>
      </w:r>
      <w:r w:rsidR="001C1D58">
        <w:t>ging</w:t>
      </w:r>
      <w:r w:rsidR="006C572F" w:rsidRPr="00D72EBD">
        <w:t xml:space="preserve"> their</w:t>
      </w:r>
      <w:r>
        <w:t xml:space="preserve"> movements</w:t>
      </w:r>
      <w:r w:rsidR="006C572F">
        <w:t xml:space="preserve"> for a period of one week</w:t>
      </w:r>
      <w:r>
        <w:t>.</w:t>
      </w:r>
      <w:r w:rsidR="006C572F">
        <w:t xml:space="preserve"> A log sheet was provided with 15-minutes </w:t>
      </w:r>
      <w:r w:rsidR="004C3AB8">
        <w:t xml:space="preserve">intervals </w:t>
      </w:r>
      <w:r w:rsidR="006C572F">
        <w:t>and columns for “stay”</w:t>
      </w:r>
      <w:r w:rsidR="004C3AB8">
        <w:t>,</w:t>
      </w:r>
      <w:r w:rsidR="006C572F">
        <w:t xml:space="preserve"> “</w:t>
      </w:r>
      <w:r w:rsidR="004C3AB8">
        <w:t>move</w:t>
      </w:r>
      <w:r w:rsidR="006C572F">
        <w:t>”</w:t>
      </w:r>
      <w:r w:rsidR="00F050F5">
        <w:t xml:space="preserve"> and</w:t>
      </w:r>
      <w:r w:rsidR="006C572F">
        <w:t xml:space="preserve"> the stay location or mode of travel respectively.</w:t>
      </w:r>
    </w:p>
    <w:p w14:paraId="181F82D2" w14:textId="7B93C4B0" w:rsidR="00EE3F0E" w:rsidRDefault="00F050F5" w:rsidP="00EE3F0E">
      <w:r>
        <w:t>The data was used to visually inspect</w:t>
      </w:r>
      <w:r w:rsidR="00EE3F0E">
        <w:t xml:space="preserve"> </w:t>
      </w:r>
      <w:r w:rsidR="001C1D58">
        <w:t xml:space="preserve">the </w:t>
      </w:r>
      <w:r w:rsidR="00EE3F0E">
        <w:t>results</w:t>
      </w:r>
      <w:r w:rsidR="001C1D58">
        <w:t xml:space="preserve"> of the trajectory extraction algorithm</w:t>
      </w:r>
      <w:r w:rsidR="00EE3F0E">
        <w:t xml:space="preserve"> </w:t>
      </w:r>
      <w:r w:rsidR="001C1D58">
        <w:t>to</w:t>
      </w:r>
      <w:r>
        <w:t xml:space="preserve"> confirm whether these appeared feasible</w:t>
      </w:r>
      <w:r w:rsidR="00EE3F0E">
        <w:t xml:space="preserve">, e.g. if </w:t>
      </w:r>
      <w:r>
        <w:t xml:space="preserve">stay events </w:t>
      </w:r>
      <w:r w:rsidR="00EE3F0E">
        <w:t xml:space="preserve">are </w:t>
      </w:r>
      <w:r>
        <w:t>confined to a small area</w:t>
      </w:r>
      <w:r w:rsidR="00EE3F0E">
        <w:t xml:space="preserve"> and</w:t>
      </w:r>
      <w:r>
        <w:t xml:space="preserve"> moves</w:t>
      </w:r>
      <w:r w:rsidR="00EE3F0E">
        <w:t xml:space="preserve"> correspond to sequences of points out of these areas. Timelines of stay</w:t>
      </w:r>
      <w:r w:rsidR="001C1D58">
        <w:t>s</w:t>
      </w:r>
      <w:r w:rsidR="00EE3F0E">
        <w:t xml:space="preserve"> and move</w:t>
      </w:r>
      <w:r w:rsidR="001C1D58">
        <w:t>s</w:t>
      </w:r>
      <w:r w:rsidR="00EE3F0E">
        <w:t xml:space="preserve"> were then compared for log sheets and algorithm results to </w:t>
      </w:r>
      <w:r w:rsidR="001C1D58">
        <w:t>gauge</w:t>
      </w:r>
      <w:r w:rsidR="00EE3F0E">
        <w:t xml:space="preserve"> the level of agreement</w:t>
      </w:r>
      <w:r w:rsidR="004C3AB8">
        <w:t xml:space="preserve"> between the two signals</w:t>
      </w:r>
      <w:r w:rsidR="00EE3F0E">
        <w:t xml:space="preserve">. </w:t>
      </w:r>
    </w:p>
    <w:p w14:paraId="7006FA2F" w14:textId="1863199D" w:rsidR="001C1D58" w:rsidRDefault="001C1D58" w:rsidP="001C1D58">
      <w:r>
        <w:t xml:space="preserve">The metrics </w:t>
      </w:r>
      <w:r w:rsidRPr="001C1D58">
        <w:rPr>
          <w:i/>
        </w:rPr>
        <w:t>time outside of home</w:t>
      </w:r>
      <w:r>
        <w:t xml:space="preserve"> and </w:t>
      </w:r>
      <w:r w:rsidRPr="001C1D58">
        <w:rPr>
          <w:i/>
        </w:rPr>
        <w:t>number of places visited</w:t>
      </w:r>
      <w:r>
        <w:t xml:space="preserve"> were both compared betwe</w:t>
      </w:r>
      <w:r w:rsidR="00496948">
        <w:t>en logged and algorithm results. These were selected because they cover different types of information (time and count) and thus require information about both durations and location identification, and because these could be easily obtained using the log sheets.</w:t>
      </w:r>
    </w:p>
    <w:p w14:paraId="4D34D141" w14:textId="72228A58" w:rsidR="00A808AF" w:rsidRDefault="00A808AF" w:rsidP="00A808AF">
      <w:pPr>
        <w:pStyle w:val="Heading2"/>
      </w:pPr>
      <w:r>
        <w:t>Relating sensor-based monitoring to standard clinical assessments</w:t>
      </w:r>
    </w:p>
    <w:p w14:paraId="6A668BC4" w14:textId="77777777" w:rsidR="00A808AF" w:rsidRDefault="00A808AF" w:rsidP="00A808AF">
      <w:r>
        <w:t>This part of the evaluation used a subset of data from a series of case studies involving people with early-stage dementia. In the case studies, participants used the mobility monitoring setup for a period of 8 weeks and completed a batch of assessments prior to and post their participation period,</w:t>
      </w:r>
      <w:r w:rsidRPr="00954594">
        <w:t xml:space="preserve"> </w:t>
      </w:r>
      <w:r>
        <w:t>including for life-space mobility based on the LSA format. The subset of data used for this evaluation included the last four weeks of location data and the post-study LSA</w:t>
      </w:r>
      <w:r w:rsidRPr="00954594">
        <w:t xml:space="preserve"> </w:t>
      </w:r>
      <w:r>
        <w:t>results. This matched the LSA approach of asking subjects to answer mobility questions for a typical week based on the previous four weeks. Location data was used to calculate mobility zone entries in the same format as the LSA results, and the two sets of results were compared for each participant.</w:t>
      </w:r>
    </w:p>
    <w:p w14:paraId="322256BE" w14:textId="40D1C5F6" w:rsidR="00A808AF" w:rsidRPr="00E1507D" w:rsidRDefault="00E1507D" w:rsidP="00A808AF">
      <w:pPr>
        <w:rPr>
          <w:i/>
          <w:color w:val="3366CC" w:themeColor="accent4"/>
        </w:rPr>
      </w:pPr>
      <w:r w:rsidRPr="00E1507D">
        <w:rPr>
          <w:i/>
          <w:color w:val="3366CC" w:themeColor="accent4"/>
        </w:rPr>
        <w:t>Incorporate</w:t>
      </w:r>
      <w:r w:rsidR="00A808AF" w:rsidRPr="00E1507D">
        <w:rPr>
          <w:i/>
          <w:color w:val="3366CC" w:themeColor="accent4"/>
        </w:rPr>
        <w:t xml:space="preserve"> the section below from “method” section of previous version where it was part of the metrics calculation.</w:t>
      </w:r>
    </w:p>
    <w:p w14:paraId="7E4C8905" w14:textId="77777777" w:rsidR="00A808AF" w:rsidRDefault="00A808AF" w:rsidP="00A808AF">
      <w:r>
        <w:t xml:space="preserve">A sensor-based implementation of standard life-space mobility assessments was developed as an extension to the metrics commonly calculated from location data. This offers an objective, automatic and remote alternative to existing mobility monitoring practices that are well accepted but less efficient. Life-space mobility assessments typically ask subjects whether they have moved from their home outward along a series of mobility levels (concentric areas of increasing radii). The Life Space Questionnaire </w:t>
      </w:r>
      <w:r>
        <w:fldChar w:fldCharType="begin" w:fldLock="1"/>
      </w:r>
      <w:r>
        <w:instrText>ADDIN CSL_CITATION { "citationItems" : [ { "id" : "ITEM-1", "itemData" : { "DOI" : "10.1177/073346489901800404", "ISSN" : "0733-4648", "abstract" : "Mobility in older adults is typically discussed in terms of component maneuvers including analy sis of gait and postural instability; activities that depend on mobility such as bathing, dressing, or shopping; or adverse events during mobility such as falls or motor vehicle crashes. None of these approaches reflects a key aspect of mobility-the extent of movement within a person's environment, or life space in the gerontological literature. Here we describe this concept as it applies to mobility and present a questionnaire instrument designed to measure life space in community-dwelling older adults. Results indicate that the Life Space Questionnaire (LSQ) is reliable and has construct and criterion validity in a sample of olderadults. The LSQ can be used to establish the spatial extent of an older person's mobility and may ultimately be useful as an outcome measure in studies evaluating interventions designed to enhance mobility and inde pendence in community-dwelling older populations.", "author" : [ { "dropping-particle" : "", "family" : "Stalvey", "given" : "Beth T.", "non-dropping-particle" : "", "parse-names" : false, "suffix" : "" }, { "dropping-particle" : "", "family" : "Owsley", "given" : "Cynthia", "non-dropping-particle" : "", "parse-names" : false, "suffix" : "" }, { "dropping-particle" : "", "family" : "Sloane", "given" : "Michael E.", "non-dropping-particle" : "", "parse-names" : false, "suffix" : "" }, { "dropping-particle" : "", "family" : "Ball", "given" : "Karlene", "non-dropping-particle" : "", "parse-names" : false, "suffix" : "" } ], "container-title" : "Journal of Applied Gerontology", "id" : "ITEM-1", "issue" : "4", "issued" : { "date-parts" : [ [ "1999", "12", "29" ] ] }, "page" : "460-478", "publisher" : "Sage PublicationsSage CA: Thousand Oaks, CA", "title" : "The Life Space Questionnaire: A Measure of the Extent of Mobility of Older Adults", "type" : "article-journal", "volume" : "18" }, "uris" : [ "http://www.mendeley.com/documents/?uuid=74392e86-209d-3b16-b083-faaa42eae2d7" ] } ], "mendeley" : { "formattedCitation" : "(Stalvey et al., 1999)", "plainTextFormattedCitation" : "(Stalvey et al., 1999)", "previouslyFormattedCitation" : "(Stalvey et al., 1999)" }, "properties" : { "noteIndex" : 0 }, "schema" : "https://github.com/citation-style-language/schema/raw/master/csl-citation.json" }</w:instrText>
      </w:r>
      <w:r>
        <w:fldChar w:fldCharType="separate"/>
      </w:r>
      <w:r w:rsidRPr="000F7A93">
        <w:rPr>
          <w:noProof/>
        </w:rPr>
        <w:t>(Stalvey et al., 1999)</w:t>
      </w:r>
      <w:r>
        <w:fldChar w:fldCharType="end"/>
      </w:r>
      <w:r>
        <w:t xml:space="preserve"> includes 9 levels ranging from moving from the bedroom to other rooms in their home up to travel out of their home state, with the first 3 levels being within their property or building (e.g. courtyard, parking space). The more recent LSA instrument </w:t>
      </w:r>
      <w:r>
        <w:fldChar w:fldCharType="begin" w:fldLock="1"/>
      </w:r>
      <w:r>
        <w:instrText>ADDIN CSL_CITATION { "citationItems" : [ { "id" : "ITEM-1", "itemData" : { "DOI" : "10.1046/j.1532-5415.2003.51512.x", "ISSN" : "00028614", "author" : [ { "dropping-particle" : "", "family" : "Baker", "given" : "Patricia S.", "non-dropping-particle" : "", "parse-names" : false, "suffix" : "" }, { "dropping-particle" : "V.", "family" : "Bodner", "given" : "Eric", "non-dropping-particle" : "", "parse-names" : false, "suffix" : "" }, { "dropping-particle" : "", "family" : "Allman", "given" : "Richard M.", "non-dropping-particle" : "", "parse-names" : false, "suffix" : "" } ], "container-title" : "Journal of the American Geriatrics Society", "id" : "ITEM-1", "issue" : "11", "issued" : { "date-parts" : [ [ "2003", "11" ] ] }, "page" : "1610-1614", "publisher" : "Wiley/Blackwell (10.1111)", "title" : "Measuring Life-Space Mobility in Community-Dwelling Older Adults", "type" : "article-journal", "volume" : "51" }, "uris" : [ "http://www.mendeley.com/documents/?uuid=5382f997-ac77-358e-a60c-810ed349be4e" ] } ], "mendeley" : { "formattedCitation" : "(Baker et al., 2003)", "plainTextFormattedCitation" : "(Baker et al., 2003)", "previouslyFormattedCitation" : "(Baker et al., 2003)" }, "properties" : { "noteIndex" : 0 }, "schema" : "https://github.com/citation-style-language/schema/raw/master/csl-citation.json" }</w:instrText>
      </w:r>
      <w:r>
        <w:fldChar w:fldCharType="separate"/>
      </w:r>
      <w:r w:rsidRPr="00D64D78">
        <w:rPr>
          <w:noProof/>
        </w:rPr>
        <w:t>(Baker et al., 2003)</w:t>
      </w:r>
      <w:r>
        <w:fldChar w:fldCharType="end"/>
      </w:r>
      <w:r>
        <w:t xml:space="preserve"> includes 5 levels ending with travel out of town, and with only the first two being within their property. This also includes questions </w:t>
      </w:r>
      <w:r>
        <w:lastRenderedPageBreak/>
        <w:t>regarding how often per week (four levels) a life space range is entered, generating a frequency-distance matrix.</w:t>
      </w:r>
    </w:p>
    <w:p w14:paraId="59317FEC" w14:textId="77777777" w:rsidR="00A808AF" w:rsidRDefault="00A808AF" w:rsidP="00A808AF">
      <w:r>
        <w:t xml:space="preserve">Based on target group and purpose, it was not considered relevant to monitor levels greater than “out of town”. The information available from GPS trajectories calculated in section </w:t>
      </w:r>
      <w:r>
        <w:fldChar w:fldCharType="begin"/>
      </w:r>
      <w:r>
        <w:instrText xml:space="preserve"> REF _Ref518933830 \r \h </w:instrText>
      </w:r>
      <w:r>
        <w:fldChar w:fldCharType="separate"/>
      </w:r>
      <w:r>
        <w:t>3.1</w:t>
      </w:r>
      <w:r>
        <w:fldChar w:fldCharType="end"/>
      </w:r>
      <w:r>
        <w:t xml:space="preserve"> does not offer a spatial resolution high enough to detect indoor movement or to distinguish between a front porch and a driveway (which will differ substantially from home to home). We therefore include four levels, here termed </w:t>
      </w:r>
      <w:r w:rsidRPr="0086407F">
        <w:rPr>
          <w:i/>
        </w:rPr>
        <w:t xml:space="preserve">mobility </w:t>
      </w:r>
      <w:r>
        <w:rPr>
          <w:i/>
        </w:rPr>
        <w:t>zones</w:t>
      </w:r>
      <w:r w:rsidRPr="002B3B9D">
        <w:t xml:space="preserve"> (</w:t>
      </w:r>
      <w:r>
        <w:t>MZ</w:t>
      </w:r>
      <w:r w:rsidRPr="002B3B9D">
        <w:t>)</w:t>
      </w:r>
      <w:r>
        <w:t>, which are outlined in Table [REF]. The four frequency levels from the LSA are used: daily, 4-6, 1-3 or &lt;1 times per week.</w:t>
      </w:r>
    </w:p>
    <w:tbl>
      <w:tblPr>
        <w:tblStyle w:val="TableGrid"/>
        <w:tblW w:w="0" w:type="auto"/>
        <w:tblLook w:val="04A0" w:firstRow="1" w:lastRow="0" w:firstColumn="1" w:lastColumn="0" w:noHBand="0" w:noVBand="1"/>
      </w:tblPr>
      <w:tblGrid>
        <w:gridCol w:w="704"/>
        <w:gridCol w:w="1134"/>
        <w:gridCol w:w="6656"/>
      </w:tblGrid>
      <w:tr w:rsidR="00A808AF" w14:paraId="39FA05F7" w14:textId="77777777" w:rsidTr="00165F64">
        <w:trPr>
          <w:trHeight w:val="60"/>
        </w:trPr>
        <w:tc>
          <w:tcPr>
            <w:tcW w:w="704" w:type="dxa"/>
          </w:tcPr>
          <w:p w14:paraId="5B056B5B" w14:textId="77777777" w:rsidR="00A808AF" w:rsidRDefault="00A808AF" w:rsidP="00165F64">
            <w:pPr>
              <w:pStyle w:val="Heading4"/>
              <w:spacing w:before="0" w:after="0"/>
              <w:outlineLvl w:val="3"/>
            </w:pPr>
            <w:r>
              <w:t>MZ</w:t>
            </w:r>
          </w:p>
        </w:tc>
        <w:tc>
          <w:tcPr>
            <w:tcW w:w="1134" w:type="dxa"/>
          </w:tcPr>
          <w:p w14:paraId="79F46E1A" w14:textId="77777777" w:rsidR="00A808AF" w:rsidRDefault="00A808AF" w:rsidP="00165F64">
            <w:pPr>
              <w:pStyle w:val="Heading4"/>
              <w:spacing w:before="0" w:after="0"/>
              <w:outlineLvl w:val="3"/>
            </w:pPr>
            <w:r>
              <w:t>D</w:t>
            </w:r>
            <w:r w:rsidRPr="002B3B9D">
              <w:rPr>
                <w:vertAlign w:val="subscript"/>
              </w:rPr>
              <w:t>H</w:t>
            </w:r>
          </w:p>
        </w:tc>
        <w:tc>
          <w:tcPr>
            <w:tcW w:w="6656" w:type="dxa"/>
          </w:tcPr>
          <w:p w14:paraId="3130D8CD" w14:textId="77777777" w:rsidR="00A808AF" w:rsidRDefault="00A808AF" w:rsidP="00165F64">
            <w:pPr>
              <w:pStyle w:val="Heading4"/>
              <w:spacing w:before="0" w:after="0"/>
              <w:outlineLvl w:val="3"/>
            </w:pPr>
            <w:r>
              <w:t>Description</w:t>
            </w:r>
          </w:p>
        </w:tc>
      </w:tr>
      <w:tr w:rsidR="00A808AF" w14:paraId="012C1E9D" w14:textId="77777777" w:rsidTr="00165F64">
        <w:tc>
          <w:tcPr>
            <w:tcW w:w="704" w:type="dxa"/>
          </w:tcPr>
          <w:p w14:paraId="47C3B83C" w14:textId="77777777" w:rsidR="00A808AF" w:rsidRDefault="00A808AF" w:rsidP="00165F64">
            <w:pPr>
              <w:spacing w:after="0"/>
            </w:pPr>
            <w:r>
              <w:t>1</w:t>
            </w:r>
          </w:p>
        </w:tc>
        <w:tc>
          <w:tcPr>
            <w:tcW w:w="1134" w:type="dxa"/>
          </w:tcPr>
          <w:p w14:paraId="3A7FB807" w14:textId="77777777" w:rsidR="00A808AF" w:rsidRDefault="00A808AF" w:rsidP="00165F64">
            <w:pPr>
              <w:spacing w:after="0"/>
            </w:pPr>
            <w:r>
              <w:t>up to 50m</w:t>
            </w:r>
          </w:p>
        </w:tc>
        <w:tc>
          <w:tcPr>
            <w:tcW w:w="6656" w:type="dxa"/>
          </w:tcPr>
          <w:p w14:paraId="50C3C367" w14:textId="77777777" w:rsidR="00A808AF" w:rsidRDefault="00A808AF" w:rsidP="00165F64">
            <w:pPr>
              <w:spacing w:after="0"/>
            </w:pPr>
            <w:r>
              <w:t>Area immediately surrounding their home, e.g. garden, parking area or post-box</w:t>
            </w:r>
          </w:p>
        </w:tc>
      </w:tr>
      <w:tr w:rsidR="00A808AF" w14:paraId="1F7BEC93" w14:textId="77777777" w:rsidTr="00165F64">
        <w:tc>
          <w:tcPr>
            <w:tcW w:w="704" w:type="dxa"/>
          </w:tcPr>
          <w:p w14:paraId="149F187F" w14:textId="77777777" w:rsidR="00A808AF" w:rsidRDefault="00A808AF" w:rsidP="00165F64">
            <w:pPr>
              <w:spacing w:after="0"/>
            </w:pPr>
            <w:r>
              <w:t>2</w:t>
            </w:r>
          </w:p>
        </w:tc>
        <w:tc>
          <w:tcPr>
            <w:tcW w:w="1134" w:type="dxa"/>
          </w:tcPr>
          <w:p w14:paraId="367B811A" w14:textId="77777777" w:rsidR="00A808AF" w:rsidRDefault="00A808AF" w:rsidP="00165F64">
            <w:pPr>
              <w:spacing w:after="0"/>
            </w:pPr>
            <w:r>
              <w:t>50m-1km</w:t>
            </w:r>
          </w:p>
        </w:tc>
        <w:tc>
          <w:tcPr>
            <w:tcW w:w="6656" w:type="dxa"/>
          </w:tcPr>
          <w:p w14:paraId="3B1493EE" w14:textId="77777777" w:rsidR="00A808AF" w:rsidRDefault="00A808AF" w:rsidP="00165F64">
            <w:pPr>
              <w:spacing w:after="0"/>
            </w:pPr>
            <w:r>
              <w:t>Neighbourhood</w:t>
            </w:r>
          </w:p>
        </w:tc>
      </w:tr>
      <w:tr w:rsidR="00A808AF" w14:paraId="68FF70A6" w14:textId="77777777" w:rsidTr="00165F64">
        <w:tc>
          <w:tcPr>
            <w:tcW w:w="704" w:type="dxa"/>
          </w:tcPr>
          <w:p w14:paraId="702F9871" w14:textId="77777777" w:rsidR="00A808AF" w:rsidRDefault="00A808AF" w:rsidP="00165F64">
            <w:pPr>
              <w:spacing w:after="0"/>
            </w:pPr>
            <w:r>
              <w:t>3</w:t>
            </w:r>
          </w:p>
        </w:tc>
        <w:tc>
          <w:tcPr>
            <w:tcW w:w="1134" w:type="dxa"/>
          </w:tcPr>
          <w:p w14:paraId="6CF82D78" w14:textId="77777777" w:rsidR="00A808AF" w:rsidRDefault="00A808AF" w:rsidP="00165F64">
            <w:pPr>
              <w:spacing w:after="0"/>
            </w:pPr>
            <w:r>
              <w:t>1-10km</w:t>
            </w:r>
          </w:p>
        </w:tc>
        <w:tc>
          <w:tcPr>
            <w:tcW w:w="6656" w:type="dxa"/>
          </w:tcPr>
          <w:p w14:paraId="07F54FB4" w14:textId="77777777" w:rsidR="00A808AF" w:rsidRDefault="00A808AF" w:rsidP="00165F64">
            <w:pPr>
              <w:spacing w:after="0"/>
            </w:pPr>
            <w:r>
              <w:t>Outside of their immediate neighbourhood but within their town/city</w:t>
            </w:r>
          </w:p>
        </w:tc>
      </w:tr>
      <w:tr w:rsidR="00A808AF" w14:paraId="1FE05799" w14:textId="77777777" w:rsidTr="00165F64">
        <w:tc>
          <w:tcPr>
            <w:tcW w:w="704" w:type="dxa"/>
          </w:tcPr>
          <w:p w14:paraId="2A917C5A" w14:textId="77777777" w:rsidR="00A808AF" w:rsidRDefault="00A808AF" w:rsidP="00165F64">
            <w:pPr>
              <w:spacing w:after="0"/>
            </w:pPr>
            <w:r>
              <w:t>4</w:t>
            </w:r>
          </w:p>
        </w:tc>
        <w:tc>
          <w:tcPr>
            <w:tcW w:w="1134" w:type="dxa"/>
          </w:tcPr>
          <w:p w14:paraId="2A5C5FB0" w14:textId="77777777" w:rsidR="00A808AF" w:rsidRDefault="00A808AF" w:rsidP="00165F64">
            <w:pPr>
              <w:spacing w:after="0"/>
            </w:pPr>
            <w:r>
              <w:t>&gt;10km</w:t>
            </w:r>
          </w:p>
        </w:tc>
        <w:tc>
          <w:tcPr>
            <w:tcW w:w="6656" w:type="dxa"/>
          </w:tcPr>
          <w:p w14:paraId="34CFB85B" w14:textId="77777777" w:rsidR="00A808AF" w:rsidRDefault="00A808AF" w:rsidP="00165F64">
            <w:pPr>
              <w:spacing w:after="0"/>
            </w:pPr>
            <w:r>
              <w:t>Out of town</w:t>
            </w:r>
          </w:p>
        </w:tc>
      </w:tr>
    </w:tbl>
    <w:p w14:paraId="7C8D4891" w14:textId="77777777" w:rsidR="00A808AF" w:rsidRDefault="00A808AF" w:rsidP="00A808AF">
      <w:r>
        <w:t xml:space="preserve"> </w:t>
      </w:r>
    </w:p>
    <w:p w14:paraId="5325E786" w14:textId="77777777" w:rsidR="00A808AF" w:rsidRDefault="00A808AF" w:rsidP="00A808AF">
      <w:r>
        <w:t xml:space="preserve">Mobility zone entries are detected using the </w:t>
      </w:r>
      <w:r w:rsidRPr="006511F7">
        <w:rPr>
          <w:i/>
        </w:rPr>
        <w:t>action range</w:t>
      </w:r>
      <w:r>
        <w:t xml:space="preserve"> variable, which is available for all stays and moves and can be easily assigned to one of the four mobility zone intervals. A binary (true/false) value is calculated per day for each mobility zone, i.e. answering whether the subject entered that zone at all that day. These results are then summarised as the number days per week that each mobility zone was entered.</w:t>
      </w:r>
    </w:p>
    <w:p w14:paraId="4E4E9021" w14:textId="79387943" w:rsidR="003A618D" w:rsidRPr="00C675FA" w:rsidRDefault="003A618D" w:rsidP="003A618D">
      <w:pPr>
        <w:pStyle w:val="Heading1"/>
      </w:pPr>
      <w:r w:rsidRPr="00C675FA">
        <w:t>Results</w:t>
      </w:r>
    </w:p>
    <w:p w14:paraId="06910803" w14:textId="577508C8" w:rsidR="00CE7188" w:rsidRPr="00CE7188" w:rsidRDefault="00CE7188" w:rsidP="00CE7188">
      <w:r>
        <w:t xml:space="preserve">This section describes the results from evaluating three main modules of the mobility monitoring solution - trajectory extraction, metrics calculation, and automatic standard assessment.  </w:t>
      </w:r>
    </w:p>
    <w:p w14:paraId="735134A4" w14:textId="77777777" w:rsidR="00797B98" w:rsidRDefault="00797B98" w:rsidP="001B5C78">
      <w:pPr>
        <w:pStyle w:val="Heading2"/>
      </w:pPr>
      <w:r>
        <w:t>Pilot test</w:t>
      </w:r>
    </w:p>
    <w:p w14:paraId="7257AFDA" w14:textId="77777777" w:rsidR="00797B98" w:rsidRDefault="00797B98" w:rsidP="00797B98">
      <w:pPr>
        <w:pStyle w:val="ListParagraph"/>
        <w:numPr>
          <w:ilvl w:val="0"/>
          <w:numId w:val="28"/>
        </w:numPr>
      </w:pPr>
      <w:r>
        <w:t>Trajectory extraction</w:t>
      </w:r>
    </w:p>
    <w:p w14:paraId="3877CE68" w14:textId="6E26721A" w:rsidR="00797B98" w:rsidRDefault="00797B98" w:rsidP="00797B98">
      <w:pPr>
        <w:pStyle w:val="ListParagraph"/>
        <w:numPr>
          <w:ilvl w:val="0"/>
          <w:numId w:val="28"/>
        </w:numPr>
      </w:pPr>
      <w:r>
        <w:t>Metrics. #places, time out of home</w:t>
      </w:r>
    </w:p>
    <w:p w14:paraId="2AC6A250" w14:textId="3B925F17" w:rsidR="00797B98" w:rsidRDefault="00797B98" w:rsidP="00797B98">
      <w:pPr>
        <w:pStyle w:val="ListParagraph"/>
        <w:numPr>
          <w:ilvl w:val="0"/>
          <w:numId w:val="28"/>
        </w:numPr>
      </w:pPr>
      <w:r>
        <w:t>Activity bout extraction</w:t>
      </w:r>
    </w:p>
    <w:p w14:paraId="0EF870F3" w14:textId="24C9D2A4" w:rsidR="002A7C68" w:rsidRDefault="00CE7188" w:rsidP="00CE7188">
      <w:r>
        <w:t>Description: c</w:t>
      </w:r>
      <w:r w:rsidR="00EE3189">
        <w:t xml:space="preserve">omparison </w:t>
      </w:r>
      <w:r>
        <w:t>between</w:t>
      </w:r>
      <w:r w:rsidR="00EE3189">
        <w:t xml:space="preserve"> log</w:t>
      </w:r>
      <w:r w:rsidR="00584B80">
        <w:t xml:space="preserve"> </w:t>
      </w:r>
      <w:r w:rsidR="00EE3189">
        <w:t>sheets</w:t>
      </w:r>
      <w:r>
        <w:t xml:space="preserve"> (red)</w:t>
      </w:r>
      <w:r w:rsidR="00EE3189">
        <w:t xml:space="preserve"> and algorithm </w:t>
      </w:r>
      <w:r>
        <w:t xml:space="preserve">(blue) </w:t>
      </w:r>
      <w:r w:rsidR="00EE3189">
        <w:t>results for GPS trajectories (stays and moves)</w:t>
      </w:r>
      <w:r>
        <w:t xml:space="preserve"> for two days</w:t>
      </w:r>
      <w:r w:rsidR="00AC2D89">
        <w:t xml:space="preserve"> from one participant.</w:t>
      </w:r>
    </w:p>
    <w:p w14:paraId="45C44655" w14:textId="77777777" w:rsidR="003D4EFE" w:rsidRDefault="00CE7188" w:rsidP="00CE7188">
      <w:r>
        <w:t>Notes: While the results are similar in terms of the approximate time spent moving or stopped, there are some differences regarding the nu</w:t>
      </w:r>
      <w:r w:rsidR="003D4EFE">
        <w:t>mber of moves and event timing.</w:t>
      </w:r>
    </w:p>
    <w:p w14:paraId="17CE64B8" w14:textId="51685119" w:rsidR="00CE7188" w:rsidRDefault="00CE7188" w:rsidP="00CE7188">
      <w:r>
        <w:t xml:space="preserve">Some misalignment is expected, since the logs were in 15-minute intervals and participants were not expected to provide a higher resolution than this, nor </w:t>
      </w:r>
      <w:r w:rsidR="00C060A9">
        <w:t xml:space="preserve">to </w:t>
      </w:r>
      <w:r>
        <w:t xml:space="preserve">fill in logs </w:t>
      </w:r>
      <w:r w:rsidR="00AC2D89">
        <w:t xml:space="preserve">immediately </w:t>
      </w:r>
      <w:r>
        <w:t>as moves occurred</w:t>
      </w:r>
      <w:r w:rsidR="00C060A9">
        <w:t xml:space="preserve"> when inconvenient</w:t>
      </w:r>
      <w:r>
        <w:t xml:space="preserve">, </w:t>
      </w:r>
      <w:r w:rsidR="003D4EFE">
        <w:t>possibly introducing memory inaccuracies.</w:t>
      </w:r>
    </w:p>
    <w:p w14:paraId="11147E27" w14:textId="78DB1295" w:rsidR="003D4EFE" w:rsidRPr="00AC2D89" w:rsidRDefault="00AC2D89" w:rsidP="00CE7188">
      <w:r>
        <w:t>The</w:t>
      </w:r>
      <w:r w:rsidR="003D4EFE">
        <w:t xml:space="preserve"> examples show the algorithm detecting an unlogged stay (top) and two unlogged moves (bottom).</w:t>
      </w:r>
      <w:r>
        <w:t xml:space="preserve"> Since all three cases are short events of under 15 minutes, this could be due to a mismatch between the participant’s perception of what constitutes a stay/move and the algorithm parameters.</w:t>
      </w:r>
    </w:p>
    <w:p w14:paraId="524ED197" w14:textId="7D83A459" w:rsidR="00BB04D3" w:rsidRDefault="00AE0528" w:rsidP="00BB04D3">
      <w:pPr>
        <w:pStyle w:val="ListBullet"/>
        <w:numPr>
          <w:ilvl w:val="0"/>
          <w:numId w:val="0"/>
        </w:numPr>
      </w:pPr>
      <w:r>
        <w:rPr>
          <w:noProof/>
          <w:lang w:eastAsia="en-GB"/>
        </w:rPr>
        <w:lastRenderedPageBreak/>
        <w:drawing>
          <wp:inline distT="0" distB="0" distL="0" distR="0" wp14:anchorId="3E44D4E1" wp14:editId="590E9DC3">
            <wp:extent cx="5556702" cy="169200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lot_Anja_Compare_dayXY_v2.png"/>
                    <pic:cNvPicPr/>
                  </pic:nvPicPr>
                  <pic:blipFill rotWithShape="1">
                    <a:blip r:embed="rId15" cstate="print">
                      <a:extLst>
                        <a:ext uri="{28A0092B-C50C-407E-A947-70E740481C1C}">
                          <a14:useLocalDpi xmlns:a14="http://schemas.microsoft.com/office/drawing/2010/main" val="0"/>
                        </a:ext>
                      </a:extLst>
                    </a:blip>
                    <a:srcRect l="2527"/>
                    <a:stretch/>
                  </pic:blipFill>
                  <pic:spPr bwMode="auto">
                    <a:xfrm>
                      <a:off x="0" y="0"/>
                      <a:ext cx="5556702" cy="1692000"/>
                    </a:xfrm>
                    <a:prstGeom prst="rect">
                      <a:avLst/>
                    </a:prstGeom>
                    <a:ln>
                      <a:noFill/>
                    </a:ln>
                    <a:extLst>
                      <a:ext uri="{53640926-AAD7-44D8-BBD7-CCE9431645EC}">
                        <a14:shadowObscured xmlns:a14="http://schemas.microsoft.com/office/drawing/2010/main"/>
                      </a:ext>
                    </a:extLst>
                  </pic:spPr>
                </pic:pic>
              </a:graphicData>
            </a:graphic>
          </wp:inline>
        </w:drawing>
      </w:r>
    </w:p>
    <w:p w14:paraId="7910A9D1" w14:textId="4C542637" w:rsidR="002A7C68" w:rsidRDefault="00F0012F" w:rsidP="00F0012F">
      <w:pPr>
        <w:pStyle w:val="Heading4"/>
      </w:pPr>
      <w:r>
        <w:t>Compare time outside of home</w:t>
      </w:r>
    </w:p>
    <w:p w14:paraId="0D350A46" w14:textId="311470AF" w:rsidR="003F2E5B" w:rsidRDefault="003F2E5B" w:rsidP="002B7851">
      <w:pPr>
        <w:pStyle w:val="ListBullet"/>
        <w:numPr>
          <w:ilvl w:val="0"/>
          <w:numId w:val="0"/>
        </w:numPr>
      </w:pPr>
      <w:r>
        <w:t>Description: paired results from log sheets (solid line) and algorithm (dotted line) for the total time spent out of home each day for all participants (represented by different colours).</w:t>
      </w:r>
    </w:p>
    <w:p w14:paraId="7833C429" w14:textId="79AC48A9" w:rsidR="003F2E5B" w:rsidRDefault="003F2E5B" w:rsidP="002B7851">
      <w:pPr>
        <w:pStyle w:val="ListBullet"/>
        <w:numPr>
          <w:ilvl w:val="0"/>
          <w:numId w:val="0"/>
        </w:numPr>
      </w:pPr>
      <w:r>
        <w:t>Notes: Good agreement (besides day four of the darker green). Could include a numeric result here for the total time difference between the two sources (per participant for whole week).</w:t>
      </w:r>
    </w:p>
    <w:p w14:paraId="02D80AF9" w14:textId="77777777" w:rsidR="003F2E5B" w:rsidRDefault="003F2E5B" w:rsidP="002B7851">
      <w:pPr>
        <w:pStyle w:val="ListBullet"/>
        <w:numPr>
          <w:ilvl w:val="0"/>
          <w:numId w:val="0"/>
        </w:numPr>
      </w:pPr>
    </w:p>
    <w:p w14:paraId="49B55AB4" w14:textId="740870B0" w:rsidR="002B7851" w:rsidRDefault="002B7851" w:rsidP="002B7851">
      <w:pPr>
        <w:pStyle w:val="ListBullet"/>
        <w:numPr>
          <w:ilvl w:val="0"/>
          <w:numId w:val="0"/>
        </w:numPr>
      </w:pPr>
      <w:r>
        <w:rPr>
          <w:noProof/>
          <w:lang w:eastAsia="en-GB"/>
        </w:rPr>
        <w:drawing>
          <wp:inline distT="0" distB="0" distL="0" distR="0" wp14:anchorId="78C14393" wp14:editId="2137DDDB">
            <wp:extent cx="5339655" cy="2069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_metrics_compare_TOH.png"/>
                    <pic:cNvPicPr/>
                  </pic:nvPicPr>
                  <pic:blipFill rotWithShape="1">
                    <a:blip r:embed="rId16">
                      <a:extLst>
                        <a:ext uri="{28A0092B-C50C-407E-A947-70E740481C1C}">
                          <a14:useLocalDpi xmlns:a14="http://schemas.microsoft.com/office/drawing/2010/main" val="0"/>
                        </a:ext>
                      </a:extLst>
                    </a:blip>
                    <a:srcRect l="1118"/>
                    <a:stretch/>
                  </pic:blipFill>
                  <pic:spPr bwMode="auto">
                    <a:xfrm>
                      <a:off x="0" y="0"/>
                      <a:ext cx="5339655" cy="2069465"/>
                    </a:xfrm>
                    <a:prstGeom prst="rect">
                      <a:avLst/>
                    </a:prstGeom>
                    <a:ln>
                      <a:noFill/>
                    </a:ln>
                    <a:extLst>
                      <a:ext uri="{53640926-AAD7-44D8-BBD7-CCE9431645EC}">
                        <a14:shadowObscured xmlns:a14="http://schemas.microsoft.com/office/drawing/2010/main"/>
                      </a:ext>
                    </a:extLst>
                  </pic:spPr>
                </pic:pic>
              </a:graphicData>
            </a:graphic>
          </wp:inline>
        </w:drawing>
      </w:r>
    </w:p>
    <w:p w14:paraId="29D5BF90" w14:textId="0C9553E9" w:rsidR="008918B9" w:rsidRDefault="00F0012F" w:rsidP="00F0012F">
      <w:pPr>
        <w:pStyle w:val="Heading4"/>
      </w:pPr>
      <w:r>
        <w:t>Compare #places</w:t>
      </w:r>
    </w:p>
    <w:p w14:paraId="57C0C50B" w14:textId="02E189D7" w:rsidR="003F2E5B" w:rsidRDefault="003F2E5B" w:rsidP="003F2E5B">
      <w:r>
        <w:t>Description: total count of unique places visited per day including home for participants 1-4 calculated from log sheets and sensor data.</w:t>
      </w:r>
    </w:p>
    <w:p w14:paraId="2A9764FC" w14:textId="7086A9EF" w:rsidR="003F2E5B" w:rsidRDefault="003F2E5B" w:rsidP="003F2E5B">
      <w:r>
        <w:t>Notes: agreement ok</w:t>
      </w:r>
      <w:proofErr w:type="gramStart"/>
      <w:r>
        <w:t>;</w:t>
      </w:r>
      <w:proofErr w:type="gramEnd"/>
      <w:r>
        <w:t xml:space="preserve"> one cause of disagreement is different perceptions of a “visit”, some participants were not sure if waiting for a bus was visiting a place, even where the wait for the bus was a long duration. </w:t>
      </w:r>
    </w:p>
    <w:p w14:paraId="2171A74B" w14:textId="39346870" w:rsidR="003F2E5B" w:rsidRPr="003F2E5B" w:rsidRDefault="003F2E5B" w:rsidP="003F2E5B">
      <w:pPr>
        <w:rPr>
          <w:i/>
        </w:rPr>
      </w:pPr>
      <w:proofErr w:type="gramStart"/>
      <w:r w:rsidRPr="003F2E5B">
        <w:rPr>
          <w:i/>
          <w:color w:val="3366CC" w:themeColor="accent4"/>
        </w:rPr>
        <w:t>since</w:t>
      </w:r>
      <w:proofErr w:type="gramEnd"/>
      <w:r w:rsidRPr="003F2E5B">
        <w:rPr>
          <w:i/>
          <w:color w:val="3366CC" w:themeColor="accent4"/>
        </w:rPr>
        <w:t xml:space="preserve"> this was added after the pilot was carried out, participants were not instructed to log the place id’s, therefore may need to check with them for any uncertainties</w:t>
      </w:r>
    </w:p>
    <w:p w14:paraId="1CF7CA5F" w14:textId="18145961" w:rsidR="00F0012F" w:rsidRDefault="004A61DD" w:rsidP="002A7C68">
      <w:r>
        <w:rPr>
          <w:noProof/>
          <w:lang w:eastAsia="en-GB"/>
        </w:rPr>
        <w:lastRenderedPageBreak/>
        <w:drawing>
          <wp:inline distT="0" distB="0" distL="0" distR="0" wp14:anchorId="5FB5A784" wp14:editId="5CF0640A">
            <wp:extent cx="5400040" cy="2237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plot_metrics_compare_Nplaces.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2237062"/>
                    </a:xfrm>
                    <a:prstGeom prst="rect">
                      <a:avLst/>
                    </a:prstGeom>
                  </pic:spPr>
                </pic:pic>
              </a:graphicData>
            </a:graphic>
          </wp:inline>
        </w:drawing>
      </w:r>
    </w:p>
    <w:p w14:paraId="121845AF" w14:textId="54756655" w:rsidR="00797B98" w:rsidRDefault="00797B98" w:rsidP="00DA60D2">
      <w:pPr>
        <w:pStyle w:val="Heading2"/>
      </w:pPr>
      <w:r>
        <w:t>Relation to stan</w:t>
      </w:r>
      <w:bookmarkStart w:id="15" w:name="_GoBack"/>
      <w:bookmarkEnd w:id="15"/>
      <w:r>
        <w:t>dard assessments</w:t>
      </w:r>
    </w:p>
    <w:p w14:paraId="6DA20123" w14:textId="2DF1AAE9" w:rsidR="002A7C68" w:rsidRDefault="00797B98" w:rsidP="009644F0">
      <w:pPr>
        <w:pStyle w:val="Heading4"/>
      </w:pPr>
      <w:r>
        <w:t>Life space</w:t>
      </w:r>
      <w:r w:rsidR="00DA60D2">
        <w:t xml:space="preserve"> assessment</w:t>
      </w:r>
    </w:p>
    <w:p w14:paraId="430172B8" w14:textId="76E784FF" w:rsidR="0070303C" w:rsidRDefault="0070303C" w:rsidP="007071C3">
      <w:pPr>
        <w:pStyle w:val="ListBullet"/>
        <w:numPr>
          <w:ilvl w:val="0"/>
          <w:numId w:val="0"/>
        </w:numPr>
      </w:pPr>
      <w:r>
        <w:t xml:space="preserve">Description: plot per </w:t>
      </w:r>
      <w:proofErr w:type="gramStart"/>
      <w:r>
        <w:t>participant showing mobility assessment</w:t>
      </w:r>
      <w:proofErr w:type="gramEnd"/>
      <w:r>
        <w:t xml:space="preserve"> results (questionnaire) and sensor-based alternative. Y-axis show the 4 different “mobility </w:t>
      </w:r>
      <w:r w:rsidR="001627DD">
        <w:t>zones</w:t>
      </w:r>
      <w:r>
        <w:t xml:space="preserve">” (categorically), and the marker size reflects the number of </w:t>
      </w:r>
      <w:proofErr w:type="spellStart"/>
      <w:r>
        <w:t>occurences</w:t>
      </w:r>
      <w:proofErr w:type="spellEnd"/>
      <w:r>
        <w:t>.</w:t>
      </w:r>
    </w:p>
    <w:p w14:paraId="30451460" w14:textId="0022250D" w:rsidR="0070303C" w:rsidRPr="0070303C" w:rsidRDefault="0070303C" w:rsidP="007071C3">
      <w:pPr>
        <w:pStyle w:val="ListBullet"/>
        <w:numPr>
          <w:ilvl w:val="0"/>
          <w:numId w:val="0"/>
        </w:numPr>
        <w:rPr>
          <w:i/>
        </w:rPr>
      </w:pPr>
      <w:r w:rsidRPr="0070303C">
        <w:rPr>
          <w:i/>
          <w:color w:val="3366CC" w:themeColor="accent4"/>
        </w:rPr>
        <w:t>Note: a couple small changes are needed in the algorithm</w:t>
      </w:r>
      <w:r w:rsidR="008D6BD5">
        <w:rPr>
          <w:i/>
          <w:color w:val="3366CC" w:themeColor="accent4"/>
        </w:rPr>
        <w:t>,</w:t>
      </w:r>
      <w:r>
        <w:rPr>
          <w:i/>
          <w:color w:val="3366CC" w:themeColor="accent4"/>
        </w:rPr>
        <w:t xml:space="preserve"> which may make it easier to detect the very close </w:t>
      </w:r>
      <w:r w:rsidR="001627DD">
        <w:rPr>
          <w:i/>
          <w:color w:val="3366CC" w:themeColor="accent4"/>
        </w:rPr>
        <w:t>zone</w:t>
      </w:r>
      <w:r w:rsidRPr="0070303C">
        <w:rPr>
          <w:i/>
          <w:color w:val="3366CC" w:themeColor="accent4"/>
        </w:rPr>
        <w:t>, so these results will change.</w:t>
      </w:r>
      <w:r w:rsidRPr="0070303C">
        <w:rPr>
          <w:i/>
        </w:rPr>
        <w:t xml:space="preserve"> </w:t>
      </w:r>
    </w:p>
    <w:p w14:paraId="77A8599B" w14:textId="2E56D2AD" w:rsidR="007071C3" w:rsidRDefault="007071C3" w:rsidP="007071C3">
      <w:pPr>
        <w:pStyle w:val="ListBullet"/>
        <w:numPr>
          <w:ilvl w:val="0"/>
          <w:numId w:val="0"/>
        </w:numPr>
      </w:pPr>
      <w:r>
        <w:rPr>
          <w:noProof/>
          <w:lang w:eastAsia="en-GB"/>
        </w:rPr>
        <w:drawing>
          <wp:inline distT="0" distB="0" distL="0" distR="0" wp14:anchorId="072E68FE" wp14:editId="31FE921D">
            <wp:extent cx="5209954" cy="2726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_compare_mb_p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3874" cy="2728146"/>
                    </a:xfrm>
                    <a:prstGeom prst="rect">
                      <a:avLst/>
                    </a:prstGeom>
                  </pic:spPr>
                </pic:pic>
              </a:graphicData>
            </a:graphic>
          </wp:inline>
        </w:drawing>
      </w:r>
    </w:p>
    <w:p w14:paraId="53DCFC3B" w14:textId="79A96E1A" w:rsidR="00DA60D2" w:rsidRPr="002A7C68" w:rsidRDefault="00DA60D2" w:rsidP="00DA60D2">
      <w:pPr>
        <w:pStyle w:val="Heading4"/>
      </w:pPr>
      <w:r>
        <w:t>Physical activity assessment</w:t>
      </w:r>
    </w:p>
    <w:p w14:paraId="36FC24AB" w14:textId="17E5109E" w:rsidR="00DE09F5" w:rsidRDefault="003A618D" w:rsidP="00DE09F5">
      <w:pPr>
        <w:pStyle w:val="Heading1"/>
      </w:pPr>
      <w:r>
        <w:t>Discussion</w:t>
      </w:r>
    </w:p>
    <w:p w14:paraId="49BB4268" w14:textId="136992A5" w:rsidR="00744981" w:rsidRPr="00744981" w:rsidRDefault="00744981" w:rsidP="00744981">
      <w:pPr>
        <w:pStyle w:val="ListBullet"/>
      </w:pPr>
      <w:r>
        <w:t>Comments on success/performance of the developed solution.</w:t>
      </w:r>
    </w:p>
    <w:p w14:paraId="0217966E" w14:textId="14B542E9" w:rsidR="00AF5514" w:rsidRDefault="00AF5514" w:rsidP="00744981">
      <w:pPr>
        <w:pStyle w:val="ListBullet"/>
      </w:pPr>
      <w:r>
        <w:t xml:space="preserve">Implications for dementia care: how might these measures be </w:t>
      </w:r>
      <w:r w:rsidR="0070303C">
        <w:t xml:space="preserve">applied to </w:t>
      </w:r>
      <w:r w:rsidR="00707B4D">
        <w:t>im</w:t>
      </w:r>
      <w:r w:rsidR="0070303C">
        <w:t>prove care?</w:t>
      </w:r>
    </w:p>
    <w:p w14:paraId="23D96F2A" w14:textId="431B489B" w:rsidR="00E03041" w:rsidRDefault="00E03041" w:rsidP="00744981">
      <w:pPr>
        <w:pStyle w:val="ListBullet"/>
        <w:numPr>
          <w:ilvl w:val="0"/>
          <w:numId w:val="23"/>
        </w:numPr>
      </w:pPr>
      <w:r>
        <w:t>Early intervention</w:t>
      </w:r>
      <w:r w:rsidR="00744981">
        <w:t xml:space="preserve"> (</w:t>
      </w:r>
      <w:r>
        <w:t xml:space="preserve">and other </w:t>
      </w:r>
      <w:r w:rsidR="00744981">
        <w:t xml:space="preserve">P4 </w:t>
      </w:r>
      <w:r>
        <w:t>characteristics</w:t>
      </w:r>
      <w:r w:rsidR="00744981">
        <w:t xml:space="preserve">, e.g. which metrics fit best the individual </w:t>
      </w:r>
      <w:proofErr w:type="spellStart"/>
      <w:r w:rsidR="00744981">
        <w:t>QoL</w:t>
      </w:r>
      <w:proofErr w:type="spellEnd"/>
      <w:r w:rsidR="00744981">
        <w:t xml:space="preserve"> needs </w:t>
      </w:r>
      <w:proofErr w:type="spellStart"/>
      <w:r w:rsidR="00744981">
        <w:t>etc</w:t>
      </w:r>
      <w:proofErr w:type="spellEnd"/>
      <w:r w:rsidR="00744981">
        <w:t>)</w:t>
      </w:r>
    </w:p>
    <w:p w14:paraId="296E380C" w14:textId="350AAD5B" w:rsidR="00E03041" w:rsidRDefault="00E03041" w:rsidP="00744981">
      <w:pPr>
        <w:pStyle w:val="ListBullet"/>
        <w:numPr>
          <w:ilvl w:val="0"/>
          <w:numId w:val="23"/>
        </w:numPr>
      </w:pPr>
      <w:r>
        <w:lastRenderedPageBreak/>
        <w:t xml:space="preserve">Goal-oriented </w:t>
      </w:r>
      <w:r w:rsidR="00744981">
        <w:t>approaches</w:t>
      </w:r>
      <w:r>
        <w:t xml:space="preserve"> (customise which places are detected</w:t>
      </w:r>
      <w:r w:rsidR="00744981">
        <w:t xml:space="preserve"> </w:t>
      </w:r>
      <w:proofErr w:type="spellStart"/>
      <w:r w:rsidR="00744981">
        <w:t>etc</w:t>
      </w:r>
      <w:proofErr w:type="spellEnd"/>
      <w:r w:rsidR="00744981">
        <w:t>)</w:t>
      </w:r>
    </w:p>
    <w:p w14:paraId="36873745" w14:textId="77777777" w:rsidR="00744981" w:rsidRDefault="00744981" w:rsidP="00744981">
      <w:pPr>
        <w:pStyle w:val="ListBullet"/>
        <w:numPr>
          <w:ilvl w:val="0"/>
          <w:numId w:val="23"/>
        </w:numPr>
      </w:pPr>
      <w:r>
        <w:t xml:space="preserve">Examine pattern consistency as a useful tool for cognitive rehabilitation (literature references – </w:t>
      </w:r>
      <w:proofErr w:type="spellStart"/>
      <w:r>
        <w:t>Hysse</w:t>
      </w:r>
      <w:proofErr w:type="spellEnd"/>
      <w:r>
        <w:t>?)</w:t>
      </w:r>
    </w:p>
    <w:p w14:paraId="209DAD79" w14:textId="24C13ADA" w:rsidR="00666728" w:rsidRDefault="00666728" w:rsidP="00744981">
      <w:pPr>
        <w:pStyle w:val="ListBullet"/>
      </w:pPr>
      <w:r>
        <w:t xml:space="preserve">For research, </w:t>
      </w:r>
      <w:proofErr w:type="spellStart"/>
      <w:r>
        <w:t>ie</w:t>
      </w:r>
      <w:proofErr w:type="spellEnd"/>
      <w:r>
        <w:t xml:space="preserve"> </w:t>
      </w:r>
      <w:r w:rsidR="00744981">
        <w:t>to supplement</w:t>
      </w:r>
      <w:r w:rsidR="00C060A9">
        <w:t xml:space="preserve"> or replace</w:t>
      </w:r>
      <w:r w:rsidR="00744981">
        <w:t xml:space="preserve"> </w:t>
      </w:r>
      <w:proofErr w:type="spellStart"/>
      <w:r w:rsidR="00744981">
        <w:t>self reports</w:t>
      </w:r>
      <w:proofErr w:type="spellEnd"/>
      <w:r w:rsidR="00744981">
        <w:t xml:space="preserve"> when testing interventions </w:t>
      </w:r>
      <w:proofErr w:type="spellStart"/>
      <w:r w:rsidR="00744981">
        <w:t>etc</w:t>
      </w:r>
      <w:proofErr w:type="spellEnd"/>
    </w:p>
    <w:p w14:paraId="78D6B189" w14:textId="0ACE5DB7" w:rsidR="00666728" w:rsidRDefault="00666728" w:rsidP="00744981">
      <w:pPr>
        <w:pStyle w:val="ListBullet"/>
        <w:numPr>
          <w:ilvl w:val="0"/>
          <w:numId w:val="0"/>
        </w:numPr>
        <w:ind w:left="360"/>
      </w:pPr>
    </w:p>
    <w:p w14:paraId="29EDEDC1" w14:textId="63191166" w:rsidR="00ED1823" w:rsidRDefault="00ED1823" w:rsidP="00744981">
      <w:pPr>
        <w:pStyle w:val="ListBullet"/>
      </w:pPr>
      <w:r>
        <w:t>Future work:</w:t>
      </w:r>
    </w:p>
    <w:p w14:paraId="3179C45D" w14:textId="5B44FB28" w:rsidR="00ED1823" w:rsidRDefault="00ED1823" w:rsidP="00707B4D">
      <w:pPr>
        <w:pStyle w:val="ListBullet"/>
        <w:numPr>
          <w:ilvl w:val="0"/>
          <w:numId w:val="24"/>
        </w:numPr>
      </w:pPr>
      <w:r>
        <w:t>Long term monitoring and pattern analysis (cite examples of approaches to be used)</w:t>
      </w:r>
    </w:p>
    <w:p w14:paraId="00641FBA" w14:textId="462E7FF6" w:rsidR="003F1728" w:rsidRDefault="003F1728" w:rsidP="00707B4D">
      <w:pPr>
        <w:pStyle w:val="ListBullet"/>
        <w:numPr>
          <w:ilvl w:val="0"/>
          <w:numId w:val="24"/>
        </w:numPr>
      </w:pPr>
      <w:r>
        <w:t>Addition of activity if not included here</w:t>
      </w:r>
    </w:p>
    <w:p w14:paraId="1FF64F13" w14:textId="614D019C" w:rsidR="002531FE" w:rsidRPr="00AF5514" w:rsidRDefault="00BD264B" w:rsidP="00707B4D">
      <w:pPr>
        <w:pStyle w:val="ListBullet"/>
        <w:numPr>
          <w:ilvl w:val="0"/>
          <w:numId w:val="24"/>
        </w:numPr>
      </w:pPr>
      <w:r>
        <w:t>Clinical Implementation</w:t>
      </w:r>
    </w:p>
    <w:p w14:paraId="45FCAF52" w14:textId="466D1F49" w:rsidR="00DE09F5" w:rsidRPr="00DE09F5" w:rsidRDefault="00FE6AE6" w:rsidP="00DE09F5">
      <w:pPr>
        <w:pStyle w:val="Heading1"/>
      </w:pPr>
      <w:r>
        <w:t>Conclusion</w:t>
      </w:r>
    </w:p>
    <w:p w14:paraId="09DEB788" w14:textId="77777777" w:rsidR="00586489" w:rsidRPr="00D3066F" w:rsidRDefault="007B4744" w:rsidP="00705CA0">
      <w:pPr>
        <w:pStyle w:val="Reference"/>
      </w:pPr>
      <w:bookmarkStart w:id="16" w:name="_Toc360005110"/>
      <w:bookmarkStart w:id="17" w:name="LAN_References"/>
      <w:r>
        <w:lastRenderedPageBreak/>
        <w:t>References</w:t>
      </w:r>
      <w:bookmarkEnd w:id="16"/>
      <w:bookmarkEnd w:id="17"/>
    </w:p>
    <w:p w14:paraId="18C224D0" w14:textId="2BE79BD9" w:rsidR="00F073E9" w:rsidRPr="00F073E9" w:rsidRDefault="00261ED7" w:rsidP="00F073E9">
      <w:pPr>
        <w:widowControl w:val="0"/>
        <w:autoSpaceDE w:val="0"/>
        <w:autoSpaceDN w:val="0"/>
        <w:adjustRightInd w:val="0"/>
        <w:ind w:left="480" w:hanging="480"/>
        <w:rPr>
          <w:rFonts w:cs="Arial"/>
          <w:noProof/>
          <w:szCs w:val="24"/>
        </w:rPr>
      </w:pPr>
      <w:r>
        <w:fldChar w:fldCharType="begin" w:fldLock="1"/>
      </w:r>
      <w:r>
        <w:instrText xml:space="preserve">ADDIN Mendeley Bibliography CSL_BIBLIOGRAPHY </w:instrText>
      </w:r>
      <w:r>
        <w:fldChar w:fldCharType="separate"/>
      </w:r>
      <w:r w:rsidR="00F073E9" w:rsidRPr="00F073E9">
        <w:rPr>
          <w:rFonts w:cs="Arial"/>
          <w:noProof/>
          <w:szCs w:val="24"/>
        </w:rPr>
        <w:t xml:space="preserve">Allet, L., Knols, R. H., Shirato, K., &amp; de Bruin, E. D. (2010). Wearable systems for monitoring mobility-related activities in chronic disease: a systematic review. </w:t>
      </w:r>
      <w:r w:rsidR="00F073E9" w:rsidRPr="00F073E9">
        <w:rPr>
          <w:rFonts w:cs="Arial"/>
          <w:i/>
          <w:iCs/>
          <w:noProof/>
          <w:szCs w:val="24"/>
        </w:rPr>
        <w:t>Sensors (Basel, Switzerland)</w:t>
      </w:r>
      <w:r w:rsidR="00F073E9" w:rsidRPr="00F073E9">
        <w:rPr>
          <w:rFonts w:cs="Arial"/>
          <w:noProof/>
          <w:szCs w:val="24"/>
        </w:rPr>
        <w:t xml:space="preserve">, </w:t>
      </w:r>
      <w:r w:rsidR="00F073E9" w:rsidRPr="00F073E9">
        <w:rPr>
          <w:rFonts w:cs="Arial"/>
          <w:i/>
          <w:iCs/>
          <w:noProof/>
          <w:szCs w:val="24"/>
        </w:rPr>
        <w:t>10</w:t>
      </w:r>
      <w:r w:rsidR="00F073E9" w:rsidRPr="00F073E9">
        <w:rPr>
          <w:rFonts w:cs="Arial"/>
          <w:noProof/>
          <w:szCs w:val="24"/>
        </w:rPr>
        <w:t>(10), 9026–9052.</w:t>
      </w:r>
    </w:p>
    <w:p w14:paraId="6B0B1102"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Andrienko, G., Andrienko, N., Raimond, O., Symanzik, J., &amp; Ziemlicki, C. (2013). E XTRACTING S EMANTICS OF Individual P LACES FROM, (c).</w:t>
      </w:r>
    </w:p>
    <w:p w14:paraId="22986494"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Baker, P. S., Bodner, E. V., &amp; Allman, R. M. (2003). Measuring Life-Space Mobility in Community-Dwelling Older Adults. </w:t>
      </w:r>
      <w:r w:rsidRPr="00F073E9">
        <w:rPr>
          <w:rFonts w:cs="Arial"/>
          <w:i/>
          <w:iCs/>
          <w:noProof/>
          <w:szCs w:val="24"/>
        </w:rPr>
        <w:t>Journal of the American Geriatrics Society</w:t>
      </w:r>
      <w:r w:rsidRPr="00F073E9">
        <w:rPr>
          <w:rFonts w:cs="Arial"/>
          <w:noProof/>
          <w:szCs w:val="24"/>
        </w:rPr>
        <w:t xml:space="preserve">, </w:t>
      </w:r>
      <w:r w:rsidRPr="00F073E9">
        <w:rPr>
          <w:rFonts w:cs="Arial"/>
          <w:i/>
          <w:iCs/>
          <w:noProof/>
          <w:szCs w:val="24"/>
        </w:rPr>
        <w:t>51</w:t>
      </w:r>
      <w:r w:rsidRPr="00F073E9">
        <w:rPr>
          <w:rFonts w:cs="Arial"/>
          <w:noProof/>
          <w:szCs w:val="24"/>
        </w:rPr>
        <w:t>(11), 1610–1614.</w:t>
      </w:r>
    </w:p>
    <w:p w14:paraId="4B573624"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Boissy, P., Brière, S., Hamel, M., Jog, M., Speechley, M., Karelis, A., … Duval, C. (2011). Wireless inertial measurement unit with GPS ( WIMU - GPS ) – Wearable monitoring platform for ecological assessment of lifespace and mobility in aging and disease. In </w:t>
      </w:r>
      <w:r w:rsidRPr="00F073E9">
        <w:rPr>
          <w:rFonts w:cs="Arial"/>
          <w:i/>
          <w:iCs/>
          <w:noProof/>
          <w:szCs w:val="24"/>
        </w:rPr>
        <w:t>IEEE Engineering in Medicine and Biology Magazine</w:t>
      </w:r>
      <w:r w:rsidRPr="00F073E9">
        <w:rPr>
          <w:rFonts w:cs="Arial"/>
          <w:noProof/>
          <w:szCs w:val="24"/>
        </w:rPr>
        <w:t xml:space="preserve"> (pp. 5815–5819).</w:t>
      </w:r>
    </w:p>
    <w:p w14:paraId="6BC4DBA4"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Canzian, L., &amp; Musolesi, M. Trajectories of Depression: Unobtrusive Monitoring of Depressive States by means of Smartphone Mobility Traces Analysis, Proceedings of the 2015 ACM International Joint Conference on Pervasive and Ubiquitous Computing - UbiComp ’15 § (2015). New York, New York, USA: ACM Press.</w:t>
      </w:r>
    </w:p>
    <w:p w14:paraId="7A2B173D"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Hirsch, J. A., Winters, M., Clarke, P., &amp; Mckay, H. (2014). Generating GPS activity spaces that shed light upon the mobility habits of older adults : a descriptive analysis. </w:t>
      </w:r>
      <w:r w:rsidRPr="00F073E9">
        <w:rPr>
          <w:rFonts w:cs="Arial"/>
          <w:i/>
          <w:iCs/>
          <w:noProof/>
          <w:szCs w:val="24"/>
        </w:rPr>
        <w:t>INTERNATIONAL JOURNAL OF HEALTH GEOGRAPHICS</w:t>
      </w:r>
      <w:r w:rsidRPr="00F073E9">
        <w:rPr>
          <w:rFonts w:cs="Arial"/>
          <w:noProof/>
          <w:szCs w:val="24"/>
        </w:rPr>
        <w:t>, 1–14.</w:t>
      </w:r>
    </w:p>
    <w:p w14:paraId="62277851"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Ireland, D., Mcbride, S., Liddle, J., &amp; Chenery, H. (2013). Towards Quantifying the Impact of Parkinson ’ s Disease Using GPS and Lifespace Assessment (pp. 564–569).</w:t>
      </w:r>
    </w:p>
    <w:p w14:paraId="1F3FB0B1"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Karney, C. F. F. (2013). Algorithms for geodesics. </w:t>
      </w:r>
      <w:r w:rsidRPr="00F073E9">
        <w:rPr>
          <w:rFonts w:cs="Arial"/>
          <w:i/>
          <w:iCs/>
          <w:noProof/>
          <w:szCs w:val="24"/>
        </w:rPr>
        <w:t>Journal of Geodesy</w:t>
      </w:r>
      <w:r w:rsidRPr="00F073E9">
        <w:rPr>
          <w:rFonts w:cs="Arial"/>
          <w:noProof/>
          <w:szCs w:val="24"/>
        </w:rPr>
        <w:t xml:space="preserve">, </w:t>
      </w:r>
      <w:r w:rsidRPr="00F073E9">
        <w:rPr>
          <w:rFonts w:cs="Arial"/>
          <w:i/>
          <w:iCs/>
          <w:noProof/>
          <w:szCs w:val="24"/>
        </w:rPr>
        <w:t>87</w:t>
      </w:r>
      <w:r w:rsidRPr="00F073E9">
        <w:rPr>
          <w:rFonts w:cs="Arial"/>
          <w:noProof/>
          <w:szCs w:val="24"/>
        </w:rPr>
        <w:t>(1), 43–55.</w:t>
      </w:r>
    </w:p>
    <w:p w14:paraId="696A340A"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Noury, N., Quach, K. A., Berenguer, M., Bouzi, M. J., &amp; Teyssier, H. (2012). A feasibility study of using a smartphone to monitor mobility in elderly. </w:t>
      </w:r>
      <w:r w:rsidRPr="00F073E9">
        <w:rPr>
          <w:rFonts w:cs="Arial"/>
          <w:i/>
          <w:iCs/>
          <w:noProof/>
          <w:szCs w:val="24"/>
        </w:rPr>
        <w:t>2012 IEEE 14th International Conference on E-Health Networking, Applications and Services, Healthcom 2012</w:t>
      </w:r>
      <w:r w:rsidRPr="00F073E9">
        <w:rPr>
          <w:rFonts w:cs="Arial"/>
          <w:noProof/>
          <w:szCs w:val="24"/>
        </w:rPr>
        <w:t>, (Figure 3), 423–426.</w:t>
      </w:r>
    </w:p>
    <w:p w14:paraId="2A5B5740"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Rosso, A. L., Taylor, J. A., Tabb, L. P., &amp; Michael, Y. L. (2013). Mobility, disability, and social engagement in older adults. </w:t>
      </w:r>
      <w:r w:rsidRPr="00F073E9">
        <w:rPr>
          <w:rFonts w:cs="Arial"/>
          <w:i/>
          <w:iCs/>
          <w:noProof/>
          <w:szCs w:val="24"/>
        </w:rPr>
        <w:t>Journal of Aging and Health</w:t>
      </w:r>
      <w:r w:rsidRPr="00F073E9">
        <w:rPr>
          <w:rFonts w:cs="Arial"/>
          <w:noProof/>
          <w:szCs w:val="24"/>
        </w:rPr>
        <w:t xml:space="preserve">, </w:t>
      </w:r>
      <w:r w:rsidRPr="00F073E9">
        <w:rPr>
          <w:rFonts w:cs="Arial"/>
          <w:i/>
          <w:iCs/>
          <w:noProof/>
          <w:szCs w:val="24"/>
        </w:rPr>
        <w:t>25</w:t>
      </w:r>
      <w:r w:rsidRPr="00F073E9">
        <w:rPr>
          <w:rFonts w:cs="Arial"/>
          <w:noProof/>
          <w:szCs w:val="24"/>
        </w:rPr>
        <w:t>(4), 617–637.</w:t>
      </w:r>
    </w:p>
    <w:p w14:paraId="0D2EF025"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Shoval, N. ., Wahl, H.-W. ., Auslander, G. ., Isaacson, M. ., Oswald, F. ., Edry, T. ., … Heinik, J. . (2011). Use of the global positioning system to measure the out-of-home mobility of older adults with differing cognitive functioning. </w:t>
      </w:r>
      <w:r w:rsidRPr="00F073E9">
        <w:rPr>
          <w:rFonts w:cs="Arial"/>
          <w:i/>
          <w:iCs/>
          <w:noProof/>
          <w:szCs w:val="24"/>
        </w:rPr>
        <w:t>Ageing and Society</w:t>
      </w:r>
      <w:r w:rsidRPr="00F073E9">
        <w:rPr>
          <w:rFonts w:cs="Arial"/>
          <w:noProof/>
          <w:szCs w:val="24"/>
        </w:rPr>
        <w:t xml:space="preserve">, </w:t>
      </w:r>
      <w:r w:rsidRPr="00F073E9">
        <w:rPr>
          <w:rFonts w:cs="Arial"/>
          <w:i/>
          <w:iCs/>
          <w:noProof/>
          <w:szCs w:val="24"/>
        </w:rPr>
        <w:t>31</w:t>
      </w:r>
      <w:r w:rsidRPr="00F073E9">
        <w:rPr>
          <w:rFonts w:cs="Arial"/>
          <w:noProof/>
          <w:szCs w:val="24"/>
        </w:rPr>
        <w:t>(5), 849–869.</w:t>
      </w:r>
    </w:p>
    <w:p w14:paraId="5CBF7044"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SHOVAL, N., WAHL, H.-W., AUSLANDER, G., ISAACSON, M., OSWALD, F., EDRY, T., … HEINIK, J. (2011). Use of the global positioning system to measure the out-of-home mobility of older adults with differing cognitive functioning. </w:t>
      </w:r>
      <w:r w:rsidRPr="00F073E9">
        <w:rPr>
          <w:rFonts w:cs="Arial"/>
          <w:i/>
          <w:iCs/>
          <w:noProof/>
          <w:szCs w:val="24"/>
        </w:rPr>
        <w:t>Ageing and Society</w:t>
      </w:r>
      <w:r w:rsidRPr="00F073E9">
        <w:rPr>
          <w:rFonts w:cs="Arial"/>
          <w:noProof/>
          <w:szCs w:val="24"/>
        </w:rPr>
        <w:t xml:space="preserve">, </w:t>
      </w:r>
      <w:r w:rsidRPr="00F073E9">
        <w:rPr>
          <w:rFonts w:cs="Arial"/>
          <w:i/>
          <w:iCs/>
          <w:noProof/>
          <w:szCs w:val="24"/>
        </w:rPr>
        <w:t>31</w:t>
      </w:r>
      <w:r w:rsidRPr="00F073E9">
        <w:rPr>
          <w:rFonts w:cs="Arial"/>
          <w:noProof/>
          <w:szCs w:val="24"/>
        </w:rPr>
        <w:t>(05), 849–869.</w:t>
      </w:r>
    </w:p>
    <w:p w14:paraId="3742BCB7"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Stalvey, B. T., Owsley, C., Sloane, M. E., &amp; Ball, K. (1999). The Life Space Questionnaire: A Measure of the Extent of Mobility of Older Adults. </w:t>
      </w:r>
      <w:r w:rsidRPr="00F073E9">
        <w:rPr>
          <w:rFonts w:cs="Arial"/>
          <w:i/>
          <w:iCs/>
          <w:noProof/>
          <w:szCs w:val="24"/>
        </w:rPr>
        <w:t>Journal of Applied Gerontology</w:t>
      </w:r>
      <w:r w:rsidRPr="00F073E9">
        <w:rPr>
          <w:rFonts w:cs="Arial"/>
          <w:noProof/>
          <w:szCs w:val="24"/>
        </w:rPr>
        <w:t xml:space="preserve">, </w:t>
      </w:r>
      <w:r w:rsidRPr="00F073E9">
        <w:rPr>
          <w:rFonts w:cs="Arial"/>
          <w:i/>
          <w:iCs/>
          <w:noProof/>
          <w:szCs w:val="24"/>
        </w:rPr>
        <w:t>18</w:t>
      </w:r>
      <w:r w:rsidRPr="00F073E9">
        <w:rPr>
          <w:rFonts w:cs="Arial"/>
          <w:noProof/>
          <w:szCs w:val="24"/>
        </w:rPr>
        <w:t>(4), 460–478.</w:t>
      </w:r>
    </w:p>
    <w:p w14:paraId="164E946C"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Stopczynski, A., Sekara, V., Sapiezynski, P., Cuttone, A., Madsen, M. M., Larsen, J. E., &amp; Lehmann, S. </w:t>
      </w:r>
      <w:r w:rsidRPr="00F073E9">
        <w:rPr>
          <w:rFonts w:cs="Arial"/>
          <w:noProof/>
          <w:szCs w:val="24"/>
        </w:rPr>
        <w:lastRenderedPageBreak/>
        <w:t xml:space="preserve">(2014). Measuring Large-Scale Social Networks with High Resolution. </w:t>
      </w:r>
      <w:r w:rsidRPr="00F073E9">
        <w:rPr>
          <w:rFonts w:cs="Arial"/>
          <w:i/>
          <w:iCs/>
          <w:noProof/>
          <w:szCs w:val="24"/>
        </w:rPr>
        <w:t>PLoS ONE</w:t>
      </w:r>
      <w:r w:rsidRPr="00F073E9">
        <w:rPr>
          <w:rFonts w:cs="Arial"/>
          <w:noProof/>
          <w:szCs w:val="24"/>
        </w:rPr>
        <w:t xml:space="preserve">, </w:t>
      </w:r>
      <w:r w:rsidRPr="00F073E9">
        <w:rPr>
          <w:rFonts w:cs="Arial"/>
          <w:i/>
          <w:iCs/>
          <w:noProof/>
          <w:szCs w:val="24"/>
        </w:rPr>
        <w:t>9</w:t>
      </w:r>
      <w:r w:rsidRPr="00F073E9">
        <w:rPr>
          <w:rFonts w:cs="Arial"/>
          <w:noProof/>
          <w:szCs w:val="24"/>
        </w:rPr>
        <w:t>(4), e95978.</w:t>
      </w:r>
    </w:p>
    <w:p w14:paraId="5FA0A1D7"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Tung, J., Semple, J., Woo, W., &amp; Hsu, W. (2011). Ambulatory Assessment of Lifestyle Factors for Alzheimer’s Disease and Related Dementias. </w:t>
      </w:r>
      <w:r w:rsidRPr="00F073E9">
        <w:rPr>
          <w:rFonts w:cs="Arial"/>
          <w:i/>
          <w:iCs/>
          <w:noProof/>
          <w:szCs w:val="24"/>
        </w:rPr>
        <w:t>AAAI Spring Symposium …</w:t>
      </w:r>
      <w:r w:rsidRPr="00F073E9">
        <w:rPr>
          <w:rFonts w:cs="Arial"/>
          <w:noProof/>
          <w:szCs w:val="24"/>
        </w:rPr>
        <w:t>, 50–54.</w:t>
      </w:r>
    </w:p>
    <w:p w14:paraId="306D8E32"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Tung, J. Y., Rose, R. V., Gammada, E., Lam, I., Roy, E. A., Black, S. E., &amp; Poupart, P. (2014a). Measuring life space in older adults with mild-to-moderate Alzheimer’s disease using mobile phone GPS. </w:t>
      </w:r>
      <w:r w:rsidRPr="00F073E9">
        <w:rPr>
          <w:rFonts w:cs="Arial"/>
          <w:i/>
          <w:iCs/>
          <w:noProof/>
          <w:szCs w:val="24"/>
        </w:rPr>
        <w:t>Gerontology</w:t>
      </w:r>
      <w:r w:rsidRPr="00F073E9">
        <w:rPr>
          <w:rFonts w:cs="Arial"/>
          <w:noProof/>
          <w:szCs w:val="24"/>
        </w:rPr>
        <w:t xml:space="preserve">, </w:t>
      </w:r>
      <w:r w:rsidRPr="00F073E9">
        <w:rPr>
          <w:rFonts w:cs="Arial"/>
          <w:i/>
          <w:iCs/>
          <w:noProof/>
          <w:szCs w:val="24"/>
        </w:rPr>
        <w:t>60</w:t>
      </w:r>
      <w:r w:rsidRPr="00F073E9">
        <w:rPr>
          <w:rFonts w:cs="Arial"/>
          <w:noProof/>
          <w:szCs w:val="24"/>
        </w:rPr>
        <w:t>(2), 154–162.</w:t>
      </w:r>
    </w:p>
    <w:p w14:paraId="75F4ECE0"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Tung, J. Y., Rose, R. V., Gammada, E., Lam, I., Roy, E. A., Black, S. E., &amp; Poupart, P. (2014b). Measuring life space in older adults with mild-to-moderate Alzheimer’s disease using mobile phone GPS. </w:t>
      </w:r>
      <w:r w:rsidRPr="00F073E9">
        <w:rPr>
          <w:rFonts w:cs="Arial"/>
          <w:i/>
          <w:iCs/>
          <w:noProof/>
          <w:szCs w:val="24"/>
        </w:rPr>
        <w:t>Gerontology</w:t>
      </w:r>
      <w:r w:rsidRPr="00F073E9">
        <w:rPr>
          <w:rFonts w:cs="Arial"/>
          <w:noProof/>
          <w:szCs w:val="24"/>
        </w:rPr>
        <w:t xml:space="preserve">, </w:t>
      </w:r>
      <w:r w:rsidRPr="00F073E9">
        <w:rPr>
          <w:rFonts w:cs="Arial"/>
          <w:i/>
          <w:iCs/>
          <w:noProof/>
          <w:szCs w:val="24"/>
        </w:rPr>
        <w:t>60</w:t>
      </w:r>
      <w:r w:rsidRPr="00F073E9">
        <w:rPr>
          <w:rFonts w:cs="Arial"/>
          <w:noProof/>
          <w:szCs w:val="24"/>
        </w:rPr>
        <w:t>(2), 154–162.</w:t>
      </w:r>
    </w:p>
    <w:p w14:paraId="50304FF9"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Webber, S. C., Porter, M. M., &amp; Menec, V. H. (2010). Mobility in older adults: A comprehensive framework. </w:t>
      </w:r>
      <w:r w:rsidRPr="00F073E9">
        <w:rPr>
          <w:rFonts w:cs="Arial"/>
          <w:i/>
          <w:iCs/>
          <w:noProof/>
          <w:szCs w:val="24"/>
        </w:rPr>
        <w:t>Gerontologist</w:t>
      </w:r>
      <w:r w:rsidRPr="00F073E9">
        <w:rPr>
          <w:rFonts w:cs="Arial"/>
          <w:noProof/>
          <w:szCs w:val="24"/>
        </w:rPr>
        <w:t xml:space="preserve">, </w:t>
      </w:r>
      <w:r w:rsidRPr="00F073E9">
        <w:rPr>
          <w:rFonts w:cs="Arial"/>
          <w:i/>
          <w:iCs/>
          <w:noProof/>
          <w:szCs w:val="24"/>
        </w:rPr>
        <w:t>50</w:t>
      </w:r>
      <w:r w:rsidRPr="00F073E9">
        <w:rPr>
          <w:rFonts w:cs="Arial"/>
          <w:noProof/>
          <w:szCs w:val="24"/>
        </w:rPr>
        <w:t>(4), 443–450.</w:t>
      </w:r>
    </w:p>
    <w:p w14:paraId="6878F45F"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Werner, S., Auslander, G. K., Shoval, N., Gitlitz, T., Landau, R., &amp; Heinik, J. (2012). Caregiving burden and out-of-home mobility of cognitively impaired care-recipients based on GPS tracking. </w:t>
      </w:r>
      <w:r w:rsidRPr="00F073E9">
        <w:rPr>
          <w:rFonts w:cs="Arial"/>
          <w:i/>
          <w:iCs/>
          <w:noProof/>
          <w:szCs w:val="24"/>
        </w:rPr>
        <w:t>International Psychogeriatrics / IPA</w:t>
      </w:r>
      <w:r w:rsidRPr="00F073E9">
        <w:rPr>
          <w:rFonts w:cs="Arial"/>
          <w:noProof/>
          <w:szCs w:val="24"/>
        </w:rPr>
        <w:t xml:space="preserve">, </w:t>
      </w:r>
      <w:r w:rsidRPr="00F073E9">
        <w:rPr>
          <w:rFonts w:cs="Arial"/>
          <w:i/>
          <w:iCs/>
          <w:noProof/>
          <w:szCs w:val="24"/>
        </w:rPr>
        <w:t>24</w:t>
      </w:r>
      <w:r w:rsidRPr="00F073E9">
        <w:rPr>
          <w:rFonts w:cs="Arial"/>
          <w:noProof/>
          <w:szCs w:val="24"/>
        </w:rPr>
        <w:t>(11), 1836–1845.</w:t>
      </w:r>
    </w:p>
    <w:p w14:paraId="0343D674"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Wettstein, M., Wahl, H.-W., Shoval, N., Auslander, G., Oswald, F., &amp; Heinik, J. (2014). Cognitive status moderates the relationship between out-of-home behavior (OOHB), environmental mastery and affect. </w:t>
      </w:r>
      <w:r w:rsidRPr="00F073E9">
        <w:rPr>
          <w:rFonts w:cs="Arial"/>
          <w:i/>
          <w:iCs/>
          <w:noProof/>
          <w:szCs w:val="24"/>
        </w:rPr>
        <w:t>Archives of Gerontology and Geriatrics</w:t>
      </w:r>
      <w:r w:rsidRPr="00F073E9">
        <w:rPr>
          <w:rFonts w:cs="Arial"/>
          <w:noProof/>
          <w:szCs w:val="24"/>
        </w:rPr>
        <w:t xml:space="preserve">, </w:t>
      </w:r>
      <w:r w:rsidRPr="00F073E9">
        <w:rPr>
          <w:rFonts w:cs="Arial"/>
          <w:i/>
          <w:iCs/>
          <w:noProof/>
          <w:szCs w:val="24"/>
        </w:rPr>
        <w:t>59</w:t>
      </w:r>
      <w:r w:rsidRPr="00F073E9">
        <w:rPr>
          <w:rFonts w:cs="Arial"/>
          <w:noProof/>
          <w:szCs w:val="24"/>
        </w:rPr>
        <w:t>(1), 113–121.</w:t>
      </w:r>
    </w:p>
    <w:p w14:paraId="5C86CFDE" w14:textId="77777777" w:rsidR="00F073E9" w:rsidRPr="00F073E9" w:rsidRDefault="00F073E9" w:rsidP="00F073E9">
      <w:pPr>
        <w:widowControl w:val="0"/>
        <w:autoSpaceDE w:val="0"/>
        <w:autoSpaceDN w:val="0"/>
        <w:adjustRightInd w:val="0"/>
        <w:ind w:left="480" w:hanging="480"/>
        <w:rPr>
          <w:rFonts w:cs="Arial"/>
          <w:noProof/>
          <w:szCs w:val="24"/>
        </w:rPr>
      </w:pPr>
      <w:r w:rsidRPr="00F073E9">
        <w:rPr>
          <w:rFonts w:cs="Arial"/>
          <w:noProof/>
          <w:szCs w:val="24"/>
        </w:rPr>
        <w:t xml:space="preserve">Wettstein, M., Wahl, H.-W., Shoval, N., Oswald, F., Voss, E., Seidl, U., … Landau, R. (2015). Out-of-home behavior and cognitive impairment in older adults: findings of the SenTra Project. </w:t>
      </w:r>
      <w:r w:rsidRPr="00F073E9">
        <w:rPr>
          <w:rFonts w:cs="Arial"/>
          <w:i/>
          <w:iCs/>
          <w:noProof/>
          <w:szCs w:val="24"/>
        </w:rPr>
        <w:t>Journal of Applied Gerontology : The Official Journal of the Southern Gerontological Society</w:t>
      </w:r>
      <w:r w:rsidRPr="00F073E9">
        <w:rPr>
          <w:rFonts w:cs="Arial"/>
          <w:noProof/>
          <w:szCs w:val="24"/>
        </w:rPr>
        <w:t xml:space="preserve">, </w:t>
      </w:r>
      <w:r w:rsidRPr="00F073E9">
        <w:rPr>
          <w:rFonts w:cs="Arial"/>
          <w:i/>
          <w:iCs/>
          <w:noProof/>
          <w:szCs w:val="24"/>
        </w:rPr>
        <w:t>34</w:t>
      </w:r>
      <w:r w:rsidRPr="00F073E9">
        <w:rPr>
          <w:rFonts w:cs="Arial"/>
          <w:noProof/>
          <w:szCs w:val="24"/>
        </w:rPr>
        <w:t>(1), 3–25.</w:t>
      </w:r>
    </w:p>
    <w:p w14:paraId="3AE16C8A" w14:textId="77777777" w:rsidR="00F073E9" w:rsidRPr="00F073E9" w:rsidRDefault="00F073E9" w:rsidP="00F073E9">
      <w:pPr>
        <w:widowControl w:val="0"/>
        <w:autoSpaceDE w:val="0"/>
        <w:autoSpaceDN w:val="0"/>
        <w:adjustRightInd w:val="0"/>
        <w:ind w:left="480" w:hanging="480"/>
        <w:rPr>
          <w:rFonts w:cs="Arial"/>
          <w:noProof/>
        </w:rPr>
      </w:pPr>
      <w:r w:rsidRPr="00F073E9">
        <w:rPr>
          <w:rFonts w:cs="Arial"/>
          <w:noProof/>
          <w:szCs w:val="24"/>
        </w:rPr>
        <w:t xml:space="preserve">Zylstra, B., Netscher, G., Jacquemot, J., Schaffer, M., Shen, G., Bowhay, A. D., … Schenk, A. K. (2018). Extended, continuous measures of functional status in community dwelling persons with Alzheimer’s and related dementia: Infrastructure, performance, tradeoffs, preliminary data, and promise. </w:t>
      </w:r>
      <w:r w:rsidRPr="00F073E9">
        <w:rPr>
          <w:rFonts w:cs="Arial"/>
          <w:i/>
          <w:iCs/>
          <w:noProof/>
          <w:szCs w:val="24"/>
        </w:rPr>
        <w:t>Journal of Neuroscience Methods</w:t>
      </w:r>
      <w:r w:rsidRPr="00F073E9">
        <w:rPr>
          <w:rFonts w:cs="Arial"/>
          <w:noProof/>
          <w:szCs w:val="24"/>
        </w:rPr>
        <w:t xml:space="preserve">, </w:t>
      </w:r>
      <w:r w:rsidRPr="00F073E9">
        <w:rPr>
          <w:rFonts w:cs="Arial"/>
          <w:i/>
          <w:iCs/>
          <w:noProof/>
          <w:szCs w:val="24"/>
        </w:rPr>
        <w:t>300</w:t>
      </w:r>
      <w:r w:rsidRPr="00F073E9">
        <w:rPr>
          <w:rFonts w:cs="Arial"/>
          <w:noProof/>
          <w:szCs w:val="24"/>
        </w:rPr>
        <w:t>, 59–67.</w:t>
      </w:r>
    </w:p>
    <w:p w14:paraId="14F2C4FA" w14:textId="52C4A2F4" w:rsidR="00CE67DC" w:rsidRDefault="00261ED7" w:rsidP="009644F0">
      <w:pPr>
        <w:pStyle w:val="ListNumber"/>
        <w:numPr>
          <w:ilvl w:val="0"/>
          <w:numId w:val="0"/>
        </w:numPr>
      </w:pPr>
      <w:r>
        <w:fldChar w:fldCharType="end"/>
      </w:r>
    </w:p>
    <w:sectPr w:rsidR="00CE67DC" w:rsidSect="00BC02F4">
      <w:pgSz w:w="11907" w:h="16840" w:code="9"/>
      <w:pgMar w:top="1593" w:right="1418" w:bottom="1985" w:left="1985" w:header="709" w:footer="72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ulia Rosemary Thorpe" w:date="2018-07-18T10:13:00Z" w:initials="JRT">
    <w:p w14:paraId="794E6BA1" w14:textId="3AF31C1D" w:rsidR="00B65FF5" w:rsidRDefault="00B65FF5">
      <w:pPr>
        <w:pStyle w:val="CommentText"/>
      </w:pPr>
      <w:r>
        <w:rPr>
          <w:rStyle w:val="CommentReference"/>
        </w:rPr>
        <w:annotationRef/>
      </w:r>
      <w:r>
        <w:t>Add something about enabling P4 healthcare… (link to other work), relate to both the literature reviews already written).</w:t>
      </w:r>
    </w:p>
  </w:comment>
  <w:comment w:id="3" w:author="Julia Rosemary Thorpe" w:date="2018-07-18T10:03:00Z" w:initials="JRT">
    <w:p w14:paraId="582FF977" w14:textId="7BCEDB4D" w:rsidR="005F31CC" w:rsidRDefault="005F31CC">
      <w:pPr>
        <w:pStyle w:val="CommentText"/>
      </w:pPr>
      <w:r>
        <w:rPr>
          <w:rStyle w:val="CommentReference"/>
        </w:rPr>
        <w:annotationRef/>
      </w:r>
      <w:r>
        <w:t>Rephrase to be about behavioural monitoring; encompassing out-of-home mobility, physical activity levels; and patterns in behaviour.</w:t>
      </w:r>
    </w:p>
    <w:p w14:paraId="49C0259D" w14:textId="6B6FCFA0" w:rsidR="005F31CC" w:rsidRDefault="005F31CC">
      <w:pPr>
        <w:pStyle w:val="CommentText"/>
      </w:pPr>
    </w:p>
    <w:p w14:paraId="3B7D13ED" w14:textId="61BDD0FA" w:rsidR="005F31CC" w:rsidRDefault="005F31CC">
      <w:pPr>
        <w:pStyle w:val="CommentText"/>
      </w:pPr>
      <w:r>
        <w:t xml:space="preserve">Then elaborate on each: </w:t>
      </w:r>
    </w:p>
    <w:p w14:paraId="4A070320" w14:textId="0A0FC995" w:rsidR="005F31CC" w:rsidRDefault="005F31CC">
      <w:pPr>
        <w:pStyle w:val="CommentText"/>
      </w:pPr>
    </w:p>
    <w:p w14:paraId="1AB4FC46" w14:textId="48AB9B0A" w:rsidR="005F31CC" w:rsidRDefault="005F31CC" w:rsidP="005F31CC">
      <w:pPr>
        <w:pStyle w:val="CommentText"/>
        <w:numPr>
          <w:ilvl w:val="0"/>
          <w:numId w:val="26"/>
        </w:numPr>
      </w:pPr>
      <w:r>
        <w:t xml:space="preserve">Out of home mobility, or </w:t>
      </w:r>
      <w:proofErr w:type="spellStart"/>
      <w:r>
        <w:t>lifespace</w:t>
      </w:r>
      <w:proofErr w:type="spellEnd"/>
      <w:r>
        <w:t xml:space="preserve"> mobility, important because (list references and associations)</w:t>
      </w:r>
    </w:p>
    <w:p w14:paraId="7A679DE7" w14:textId="4C44B806" w:rsidR="005F31CC" w:rsidRDefault="005F31CC" w:rsidP="005F31CC">
      <w:pPr>
        <w:pStyle w:val="CommentText"/>
        <w:numPr>
          <w:ilvl w:val="0"/>
          <w:numId w:val="26"/>
        </w:numPr>
      </w:pPr>
      <w:r>
        <w:t>Level of physical activity associated, and physical activity important because… list references.</w:t>
      </w:r>
    </w:p>
    <w:p w14:paraId="0354A369" w14:textId="065DD407" w:rsidR="005F31CC" w:rsidRDefault="005F31CC" w:rsidP="005F31CC">
      <w:pPr>
        <w:pStyle w:val="CommentText"/>
        <w:numPr>
          <w:ilvl w:val="0"/>
          <w:numId w:val="26"/>
        </w:numPr>
      </w:pPr>
      <w:r>
        <w:t>Patterns are important because cognitive rehabilitation (references).</w:t>
      </w:r>
    </w:p>
  </w:comment>
  <w:comment w:id="4" w:author="Julia Rosemary Thorpe" w:date="2018-07-18T10:07:00Z" w:initials="JRT">
    <w:p w14:paraId="589BD686" w14:textId="2F23C0C3" w:rsidR="005F31CC" w:rsidRDefault="005F31CC">
      <w:pPr>
        <w:pStyle w:val="CommentText"/>
      </w:pPr>
      <w:r>
        <w:rPr>
          <w:rStyle w:val="CommentReference"/>
        </w:rPr>
        <w:annotationRef/>
      </w:r>
      <w:r>
        <w:t>Add the activity questionnaire</w:t>
      </w:r>
    </w:p>
  </w:comment>
  <w:comment w:id="5" w:author="Julia Rosemary Thorpe" w:date="2018-07-18T16:50:00Z" w:initials="JRT">
    <w:p w14:paraId="7DA29959" w14:textId="1EF35951" w:rsidR="00445B3C" w:rsidRDefault="00445B3C">
      <w:pPr>
        <w:pStyle w:val="CommentText"/>
      </w:pPr>
      <w:r>
        <w:rPr>
          <w:rStyle w:val="CommentReference"/>
        </w:rPr>
        <w:annotationRef/>
      </w:r>
      <w:r>
        <w:t xml:space="preserve">Don’t need to be so specific and reference, could just say questionnaires are not as good as sensors because </w:t>
      </w:r>
      <w:proofErr w:type="spellStart"/>
      <w:r>
        <w:t>x</w:t>
      </w:r>
      <w:proofErr w:type="gramStart"/>
      <w:r>
        <w:t>,y,z</w:t>
      </w:r>
      <w:proofErr w:type="spellEnd"/>
      <w:proofErr w:type="gramEnd"/>
      <w:r>
        <w:t>…</w:t>
      </w:r>
    </w:p>
  </w:comment>
  <w:comment w:id="6" w:author="Julia Rosemary Thorpe" w:date="2018-07-18T10:07:00Z" w:initials="JRT">
    <w:p w14:paraId="09A6BF33" w14:textId="031DC9BA" w:rsidR="005F31CC" w:rsidRDefault="005F31CC">
      <w:pPr>
        <w:pStyle w:val="CommentText"/>
      </w:pPr>
      <w:r>
        <w:rPr>
          <w:rStyle w:val="CommentReference"/>
        </w:rPr>
        <w:annotationRef/>
      </w:r>
      <w:r>
        <w:t xml:space="preserve">Upsell, make about ability to monitor behaviour generally, pervasive sensing, reference </w:t>
      </w:r>
      <w:proofErr w:type="spellStart"/>
      <w:r>
        <w:t>Bardram</w:t>
      </w:r>
      <w:proofErr w:type="spellEnd"/>
      <w:r>
        <w:t xml:space="preserve"> etc.</w:t>
      </w:r>
    </w:p>
  </w:comment>
  <w:comment w:id="7" w:author="Julia Rosemary Thorpe" w:date="2018-07-18T10:09:00Z" w:initials="JRT">
    <w:p w14:paraId="6BDC9B48" w14:textId="7AFA4CA1" w:rsidR="00B24311" w:rsidRDefault="00B24311">
      <w:pPr>
        <w:pStyle w:val="CommentText"/>
      </w:pPr>
      <w:r>
        <w:rPr>
          <w:rStyle w:val="CommentReference"/>
        </w:rPr>
        <w:annotationRef/>
      </w:r>
      <w:r>
        <w:t>Add references about monitoring activities of daily living for people with dementia</w:t>
      </w:r>
    </w:p>
  </w:comment>
  <w:comment w:id="8" w:author="Julia Rosemary Thorpe" w:date="2018-07-18T10:09:00Z" w:initials="JRT">
    <w:p w14:paraId="23E465EB" w14:textId="4C4AC7B7" w:rsidR="00B24311" w:rsidRDefault="00B24311">
      <w:pPr>
        <w:pStyle w:val="CommentText"/>
      </w:pPr>
      <w:r>
        <w:rPr>
          <w:rStyle w:val="CommentReference"/>
        </w:rPr>
        <w:annotationRef/>
      </w:r>
      <w:r>
        <w:t>Could move to the mobility metrics calculation section</w:t>
      </w:r>
    </w:p>
  </w:comment>
  <w:comment w:id="9" w:author="Julia Rosemary Thorpe" w:date="2018-07-18T16:51:00Z" w:initials="JRT">
    <w:p w14:paraId="78B63723" w14:textId="737EA3B5" w:rsidR="00445B3C" w:rsidRDefault="00445B3C">
      <w:pPr>
        <w:pStyle w:val="CommentText"/>
      </w:pPr>
      <w:r>
        <w:rPr>
          <w:rStyle w:val="CommentReference"/>
        </w:rPr>
        <w:annotationRef/>
      </w:r>
      <w:r>
        <w:t>Don’t make a big thing out of the questionnaires, they are not the strongest result.</w:t>
      </w:r>
    </w:p>
    <w:p w14:paraId="5C5B4AAB" w14:textId="354C5BF6" w:rsidR="00445B3C" w:rsidRDefault="00445B3C">
      <w:pPr>
        <w:pStyle w:val="CommentText"/>
      </w:pPr>
    </w:p>
    <w:p w14:paraId="5419D8AE" w14:textId="77777777" w:rsidR="00445B3C" w:rsidRDefault="00445B3C">
      <w:pPr>
        <w:pStyle w:val="CommentText"/>
      </w:pPr>
      <w:r>
        <w:t xml:space="preserve">Instead, could be that we </w:t>
      </w:r>
    </w:p>
    <w:p w14:paraId="4D70BE0A" w14:textId="76D6F8A8" w:rsidR="00445B3C" w:rsidRDefault="00445B3C" w:rsidP="00445B3C">
      <w:pPr>
        <w:pStyle w:val="CommentText"/>
        <w:numPr>
          <w:ilvl w:val="0"/>
          <w:numId w:val="27"/>
        </w:numPr>
      </w:pPr>
      <w:r>
        <w:t xml:space="preserve"> Describe an overall approach that adapts existing tech (devices, sensors, apps, mobile </w:t>
      </w:r>
      <w:proofErr w:type="spellStart"/>
      <w:r>
        <w:t>self reports</w:t>
      </w:r>
      <w:proofErr w:type="spellEnd"/>
      <w:r>
        <w:t>)</w:t>
      </w:r>
    </w:p>
    <w:p w14:paraId="4B0B1E70" w14:textId="713AC7BB" w:rsidR="00445B3C" w:rsidRDefault="00445B3C" w:rsidP="00445B3C">
      <w:pPr>
        <w:pStyle w:val="CommentText"/>
        <w:numPr>
          <w:ilvl w:val="0"/>
          <w:numId w:val="27"/>
        </w:numPr>
      </w:pPr>
      <w:r>
        <w:t xml:space="preserve"> Present a set of algorithms for monitoring mobility that can be used with this generic setup</w:t>
      </w:r>
    </w:p>
    <w:p w14:paraId="017E1CCD" w14:textId="58E9CAB8" w:rsidR="00445B3C" w:rsidRDefault="00445B3C" w:rsidP="00445B3C">
      <w:pPr>
        <w:pStyle w:val="CommentText"/>
        <w:numPr>
          <w:ilvl w:val="0"/>
          <w:numId w:val="27"/>
        </w:numPr>
      </w:pPr>
      <w:r>
        <w:t>Relate the metrics to existing Q’s; point out limitations and future work etc.</w:t>
      </w:r>
    </w:p>
    <w:p w14:paraId="1D0E7EC8" w14:textId="77777777" w:rsidR="00445B3C" w:rsidRDefault="00445B3C">
      <w:pPr>
        <w:pStyle w:val="CommentText"/>
      </w:pPr>
    </w:p>
  </w:comment>
  <w:comment w:id="10" w:author="Julia Rosemary Thorpe" w:date="2018-07-18T10:10:00Z" w:initials="JRT">
    <w:p w14:paraId="05875554" w14:textId="19A13AC3" w:rsidR="00B24311" w:rsidRDefault="00B24311">
      <w:pPr>
        <w:pStyle w:val="CommentText"/>
      </w:pPr>
      <w:r>
        <w:rPr>
          <w:rStyle w:val="CommentReference"/>
        </w:rPr>
        <w:annotationRef/>
      </w:r>
      <w:r>
        <w:t>Edit to be about all the sensors.</w:t>
      </w:r>
    </w:p>
  </w:comment>
  <w:comment w:id="11" w:author="Julia Rosemary Thorpe" w:date="2018-07-18T10:12:00Z" w:initials="JRT">
    <w:p w14:paraId="59581398" w14:textId="7FF0E725" w:rsidR="00B24311" w:rsidRDefault="00B24311">
      <w:pPr>
        <w:pStyle w:val="CommentText"/>
      </w:pPr>
      <w:r>
        <w:rPr>
          <w:rStyle w:val="CommentReference"/>
        </w:rPr>
        <w:annotationRef/>
      </w:r>
      <w:r>
        <w:t>Add the mobile self-reporting app as well.</w:t>
      </w:r>
    </w:p>
  </w:comment>
  <w:comment w:id="12" w:author="Julia Rosemary Thorpe" w:date="2018-07-18T10:14:00Z" w:initials="JRT">
    <w:p w14:paraId="1B8A6977" w14:textId="57AE5873" w:rsidR="00B65FF5" w:rsidRDefault="00B65FF5">
      <w:pPr>
        <w:pStyle w:val="CommentText"/>
      </w:pPr>
      <w:r>
        <w:rPr>
          <w:rStyle w:val="CommentReference"/>
        </w:rPr>
        <w:annotationRef/>
      </w:r>
      <w:r>
        <w:t>Add the experience sampling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4E6BA1" w15:done="0"/>
  <w15:commentEx w15:paraId="0354A369" w15:done="0"/>
  <w15:commentEx w15:paraId="589BD686" w15:done="0"/>
  <w15:commentEx w15:paraId="7DA29959" w15:done="0"/>
  <w15:commentEx w15:paraId="09A6BF33" w15:done="0"/>
  <w15:commentEx w15:paraId="6BDC9B48" w15:done="0"/>
  <w15:commentEx w15:paraId="23E465EB" w15:done="0"/>
  <w15:commentEx w15:paraId="1D0E7EC8" w15:done="0"/>
  <w15:commentEx w15:paraId="05875554" w15:done="0"/>
  <w15:commentEx w15:paraId="59581398" w15:done="0"/>
  <w15:commentEx w15:paraId="1B8A697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178567" w14:textId="77777777" w:rsidR="00A95F9D" w:rsidRDefault="00A95F9D">
      <w:r>
        <w:separator/>
      </w:r>
    </w:p>
  </w:endnote>
  <w:endnote w:type="continuationSeparator" w:id="0">
    <w:p w14:paraId="3379C089" w14:textId="77777777" w:rsidR="00A95F9D" w:rsidRDefault="00A95F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o Sans Std">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Neo Sans Std Black">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FC807" w14:textId="77777777" w:rsidR="00A95F9D" w:rsidRPr="00A356D1" w:rsidRDefault="00A95F9D" w:rsidP="00A356D1">
      <w:pPr>
        <w:rPr>
          <w:color w:val="6D6E71"/>
        </w:rPr>
      </w:pPr>
      <w:r w:rsidRPr="00A356D1">
        <w:rPr>
          <w:color w:val="6D6E71"/>
        </w:rPr>
        <w:continuationSeparator/>
      </w:r>
    </w:p>
  </w:footnote>
  <w:footnote w:type="continuationSeparator" w:id="0">
    <w:p w14:paraId="3241FA83" w14:textId="77777777" w:rsidR="00A95F9D" w:rsidRPr="00E33585" w:rsidRDefault="00A95F9D">
      <w:pPr>
        <w:rPr>
          <w:color w:val="6D6E71"/>
        </w:rPr>
      </w:pPr>
      <w:r w:rsidRPr="00E33585">
        <w:rPr>
          <w:color w:val="6D6E71"/>
        </w:rPr>
        <w:continuationSeparator/>
      </w:r>
    </w:p>
  </w:footnote>
  <w:footnote w:type="continuationNotice" w:id="1">
    <w:p w14:paraId="7823F6CC" w14:textId="77777777" w:rsidR="00A95F9D" w:rsidRDefault="00A95F9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7AE9E9" w14:textId="77777777" w:rsidR="00A95F9D" w:rsidRDefault="00A95F9D">
    <w:pPr>
      <w:pStyle w:val="Header"/>
    </w:pPr>
  </w:p>
  <w:p w14:paraId="1E6C7BC5" w14:textId="77777777" w:rsidR="00A95F9D" w:rsidRDefault="00A95F9D">
    <w:pPr>
      <w:pStyle w:val="Header"/>
    </w:pPr>
    <w:r>
      <w:rPr>
        <w:noProof/>
        <w:lang w:eastAsia="en-GB"/>
      </w:rPr>
      <w:drawing>
        <wp:anchor distT="0" distB="0" distL="0" distR="0" simplePos="0" relativeHeight="251642880" behindDoc="1" locked="0" layoutInCell="1" allowOverlap="1" wp14:anchorId="544E29DB" wp14:editId="55A893B2">
          <wp:simplePos x="0" y="0"/>
          <wp:positionH relativeFrom="page">
            <wp:align>left</wp:align>
          </wp:positionH>
          <wp:positionV relativeFrom="page">
            <wp:align>top</wp:align>
          </wp:positionV>
          <wp:extent cx="1803174" cy="1800000"/>
          <wp:effectExtent l="0" t="0" r="0" b="0"/>
          <wp:wrapNone/>
          <wp:docPr id="1539510628" name="EvenDraft"/>
          <wp:cNvGraphicFramePr/>
          <a:graphic xmlns:a="http://schemas.openxmlformats.org/drawingml/2006/main">
            <a:graphicData uri="http://schemas.openxmlformats.org/drawingml/2006/picture">
              <pic:pic xmlns:pic="http://schemas.openxmlformats.org/drawingml/2006/picture">
                <pic:nvPicPr>
                  <pic:cNvPr id="1539510628" name="EvenDraft"/>
                  <pic:cNvPicPr/>
                </pic:nvPicPr>
                <pic:blipFill>
                  <a:blip r:embed="rId1"/>
                  <a:srcRect/>
                  <a:stretch/>
                </pic:blipFill>
                <pic:spPr>
                  <a:xfrm>
                    <a:off x="0" y="0"/>
                    <a:ext cx="1803174" cy="1800000"/>
                  </a:xfrm>
                  <a:prstGeom prst="rect">
                    <a:avLst/>
                  </a:prstGeom>
                </pic:spPr>
              </pic:pic>
            </a:graphicData>
          </a:graphic>
        </wp:anchor>
      </w:drawing>
    </w:r>
    <w:r>
      <w:rPr>
        <w:noProof/>
        <w:lang w:eastAsia="en-GB"/>
      </w:rPr>
      <w:drawing>
        <wp:anchor distT="0" distB="0" distL="0" distR="0" simplePos="0" relativeHeight="251644928" behindDoc="1" locked="0" layoutInCell="1" allowOverlap="1" wp14:anchorId="3F36E509" wp14:editId="37FD6E26">
          <wp:simplePos x="0" y="0"/>
          <wp:positionH relativeFrom="page">
            <wp:align>left</wp:align>
          </wp:positionH>
          <wp:positionV relativeFrom="page">
            <wp:align>top</wp:align>
          </wp:positionV>
          <wp:extent cx="1803174" cy="1800000"/>
          <wp:effectExtent l="0" t="0" r="0" b="0"/>
          <wp:wrapNone/>
          <wp:docPr id="2146909504" name="EvenConfidential" hidden="1"/>
          <wp:cNvGraphicFramePr/>
          <a:graphic xmlns:a="http://schemas.openxmlformats.org/drawingml/2006/main">
            <a:graphicData uri="http://schemas.openxmlformats.org/drawingml/2006/picture">
              <pic:pic xmlns:pic="http://schemas.openxmlformats.org/drawingml/2006/picture">
                <pic:nvPicPr>
                  <pic:cNvPr id="2146909504" name="EvenConfidential"/>
                  <pic:cNvPicPr/>
                </pic:nvPicPr>
                <pic:blipFill>
                  <a:blip r:embed="rId2"/>
                  <a:srcRect/>
                  <a:stretch/>
                </pic:blipFill>
                <pic:spPr>
                  <a:xfrm>
                    <a:off x="0" y="0"/>
                    <a:ext cx="1803174" cy="18000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7B86C" w14:textId="77777777" w:rsidR="00A95F9D" w:rsidRDefault="00A95F9D">
    <w:pPr>
      <w:pStyle w:val="Header"/>
    </w:pPr>
  </w:p>
  <w:p w14:paraId="74EB0663" w14:textId="77777777" w:rsidR="00A95F9D" w:rsidRDefault="00A95F9D">
    <w:pPr>
      <w:pStyle w:val="Header"/>
    </w:pPr>
    <w:r>
      <w:rPr>
        <w:noProof/>
        <w:lang w:eastAsia="en-GB"/>
      </w:rPr>
      <w:drawing>
        <wp:anchor distT="0" distB="0" distL="0" distR="0" simplePos="0" relativeHeight="251645952" behindDoc="1" locked="0" layoutInCell="1" allowOverlap="1" wp14:anchorId="10778684" wp14:editId="54704035">
          <wp:simplePos x="0" y="0"/>
          <wp:positionH relativeFrom="rightMargin">
            <wp:align>right</wp:align>
          </wp:positionH>
          <wp:positionV relativeFrom="page">
            <wp:align>top</wp:align>
          </wp:positionV>
          <wp:extent cx="1803174" cy="1800000"/>
          <wp:effectExtent l="0" t="0" r="0" b="0"/>
          <wp:wrapNone/>
          <wp:docPr id="1406525144" name="OddDraft"/>
          <wp:cNvGraphicFramePr/>
          <a:graphic xmlns:a="http://schemas.openxmlformats.org/drawingml/2006/main">
            <a:graphicData uri="http://schemas.openxmlformats.org/drawingml/2006/picture">
              <pic:pic xmlns:pic="http://schemas.openxmlformats.org/drawingml/2006/picture">
                <pic:nvPicPr>
                  <pic:cNvPr id="1406525144" name="OddDraft"/>
                  <pic:cNvPicPr/>
                </pic:nvPicPr>
                <pic:blipFill>
                  <a:blip r:embed="rId1"/>
                  <a:srcRect/>
                  <a:stretch/>
                </pic:blipFill>
                <pic:spPr>
                  <a:xfrm>
                    <a:off x="0" y="0"/>
                    <a:ext cx="1803174" cy="1800000"/>
                  </a:xfrm>
                  <a:prstGeom prst="rect">
                    <a:avLst/>
                  </a:prstGeom>
                </pic:spPr>
              </pic:pic>
            </a:graphicData>
          </a:graphic>
        </wp:anchor>
      </w:drawing>
    </w:r>
    <w:r>
      <w:rPr>
        <w:noProof/>
        <w:lang w:eastAsia="en-GB"/>
      </w:rPr>
      <w:drawing>
        <wp:anchor distT="0" distB="0" distL="0" distR="0" simplePos="0" relativeHeight="251646976" behindDoc="1" locked="0" layoutInCell="1" allowOverlap="1" wp14:anchorId="715C0B51" wp14:editId="732B0900">
          <wp:simplePos x="0" y="0"/>
          <wp:positionH relativeFrom="page">
            <wp:align>right</wp:align>
          </wp:positionH>
          <wp:positionV relativeFrom="page">
            <wp:align>top</wp:align>
          </wp:positionV>
          <wp:extent cx="1803174" cy="1800000"/>
          <wp:effectExtent l="0" t="0" r="0" b="0"/>
          <wp:wrapNone/>
          <wp:docPr id="1929181160" name="OddConfidential" hidden="1"/>
          <wp:cNvGraphicFramePr/>
          <a:graphic xmlns:a="http://schemas.openxmlformats.org/drawingml/2006/main">
            <a:graphicData uri="http://schemas.openxmlformats.org/drawingml/2006/picture">
              <pic:pic xmlns:pic="http://schemas.openxmlformats.org/drawingml/2006/picture">
                <pic:nvPicPr>
                  <pic:cNvPr id="1929181160" name="OddConfidential"/>
                  <pic:cNvPicPr/>
                </pic:nvPicPr>
                <pic:blipFill>
                  <a:blip r:embed="rId2"/>
                  <a:srcRect/>
                  <a:stretch/>
                </pic:blipFill>
                <pic:spPr>
                  <a:xfrm>
                    <a:off x="0" y="0"/>
                    <a:ext cx="1803174" cy="18000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42949" w14:textId="77777777" w:rsidR="00A95F9D" w:rsidRDefault="00A95F9D">
    <w:pPr>
      <w:pStyle w:val="Header"/>
    </w:pPr>
  </w:p>
  <w:p w14:paraId="5E00C7C9" w14:textId="77777777" w:rsidR="00A95F9D" w:rsidRDefault="00A95F9D">
    <w:pPr>
      <w:pStyle w:val="Header"/>
    </w:pPr>
    <w:r>
      <w:rPr>
        <w:noProof/>
        <w:lang w:eastAsia="en-GB"/>
      </w:rPr>
      <w:drawing>
        <wp:anchor distT="0" distB="0" distL="0" distR="0" simplePos="0" relativeHeight="251648000" behindDoc="0" locked="0" layoutInCell="1" allowOverlap="1" wp14:anchorId="55053877" wp14:editId="4454039F">
          <wp:simplePos x="0" y="0"/>
          <wp:positionH relativeFrom="page">
            <wp:posOffset>6660000</wp:posOffset>
          </wp:positionH>
          <wp:positionV relativeFrom="page">
            <wp:posOffset>576000</wp:posOffset>
          </wp:positionV>
          <wp:extent cx="389360" cy="565200"/>
          <wp:effectExtent l="0" t="0" r="0" b="0"/>
          <wp:wrapSquare wrapText="bothSides"/>
          <wp:docPr id="1340344603" name="LogoFirstpageHide"/>
          <wp:cNvGraphicFramePr/>
          <a:graphic xmlns:a="http://schemas.openxmlformats.org/drawingml/2006/main">
            <a:graphicData uri="http://schemas.openxmlformats.org/drawingml/2006/picture">
              <pic:pic xmlns:pic="http://schemas.openxmlformats.org/drawingml/2006/picture">
                <pic:nvPicPr>
                  <pic:cNvPr id="1340344603" name="LogoFirstpageHide"/>
                  <pic:cNvPicPr/>
                </pic:nvPicPr>
                <pic:blipFill>
                  <a:blip r:embed="rId1"/>
                  <a:srcRect/>
                  <a:stretch/>
                </pic:blipFill>
                <pic:spPr>
                  <a:xfrm>
                    <a:off x="0" y="0"/>
                    <a:ext cx="389360" cy="565200"/>
                  </a:xfrm>
                  <a:prstGeom prst="rect">
                    <a:avLst/>
                  </a:prstGeom>
                </pic:spPr>
              </pic:pic>
            </a:graphicData>
          </a:graphic>
        </wp:anchor>
      </w:drawing>
    </w:r>
    <w:r>
      <w:rPr>
        <w:noProof/>
        <w:lang w:eastAsia="en-GB"/>
      </w:rPr>
      <w:drawing>
        <wp:anchor distT="0" distB="0" distL="0" distR="0" simplePos="0" relativeHeight="251649024" behindDoc="1" locked="0" layoutInCell="1" allowOverlap="1" wp14:anchorId="661BD528" wp14:editId="54CD5D09">
          <wp:simplePos x="0" y="0"/>
          <wp:positionH relativeFrom="page">
            <wp:align>left</wp:align>
          </wp:positionH>
          <wp:positionV relativeFrom="page">
            <wp:align>top</wp:align>
          </wp:positionV>
          <wp:extent cx="1803174" cy="1800000"/>
          <wp:effectExtent l="0" t="0" r="0" b="0"/>
          <wp:wrapNone/>
          <wp:docPr id="803625016" name="FirstpageDraft"/>
          <wp:cNvGraphicFramePr/>
          <a:graphic xmlns:a="http://schemas.openxmlformats.org/drawingml/2006/main">
            <a:graphicData uri="http://schemas.openxmlformats.org/drawingml/2006/picture">
              <pic:pic xmlns:pic="http://schemas.openxmlformats.org/drawingml/2006/picture">
                <pic:nvPicPr>
                  <pic:cNvPr id="803625016" name="FirstpageDraft"/>
                  <pic:cNvPicPr/>
                </pic:nvPicPr>
                <pic:blipFill>
                  <a:blip r:embed="rId2"/>
                  <a:srcRect/>
                  <a:stretch/>
                </pic:blipFill>
                <pic:spPr>
                  <a:xfrm>
                    <a:off x="0" y="0"/>
                    <a:ext cx="1803174" cy="1800000"/>
                  </a:xfrm>
                  <a:prstGeom prst="rect">
                    <a:avLst/>
                  </a:prstGeom>
                </pic:spPr>
              </pic:pic>
            </a:graphicData>
          </a:graphic>
        </wp:anchor>
      </w:drawing>
    </w:r>
    <w:r>
      <w:rPr>
        <w:noProof/>
        <w:lang w:eastAsia="en-GB"/>
      </w:rPr>
      <w:drawing>
        <wp:anchor distT="0" distB="0" distL="0" distR="0" simplePos="0" relativeHeight="251650048" behindDoc="1" locked="0" layoutInCell="1" allowOverlap="1" wp14:anchorId="6577059F" wp14:editId="221F9F6C">
          <wp:simplePos x="0" y="0"/>
          <wp:positionH relativeFrom="page">
            <wp:align>left</wp:align>
          </wp:positionH>
          <wp:positionV relativeFrom="page">
            <wp:align>top</wp:align>
          </wp:positionV>
          <wp:extent cx="1803174" cy="1800000"/>
          <wp:effectExtent l="0" t="0" r="0" b="0"/>
          <wp:wrapNone/>
          <wp:docPr id="430979503" name="FirstpageConfidential" hidden="1"/>
          <wp:cNvGraphicFramePr/>
          <a:graphic xmlns:a="http://schemas.openxmlformats.org/drawingml/2006/main">
            <a:graphicData uri="http://schemas.openxmlformats.org/drawingml/2006/picture">
              <pic:pic xmlns:pic="http://schemas.openxmlformats.org/drawingml/2006/picture">
                <pic:nvPicPr>
                  <pic:cNvPr id="430979503" name="FirstpageConfidential"/>
                  <pic:cNvPicPr/>
                </pic:nvPicPr>
                <pic:blipFill>
                  <a:blip r:embed="rId3"/>
                  <a:srcRect/>
                  <a:stretch/>
                </pic:blipFill>
                <pic:spPr>
                  <a:xfrm>
                    <a:off x="0" y="0"/>
                    <a:ext cx="1803174" cy="1800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60C58E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5DAEEE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258297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A8869E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048E0E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BDA185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982AFDE"/>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F8C69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06F83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E6EBD4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4660C0"/>
    <w:multiLevelType w:val="multilevel"/>
    <w:tmpl w:val="7F9AA570"/>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37"/>
        </w:tabs>
        <w:ind w:left="737" w:hanging="737"/>
      </w:pPr>
      <w:rPr>
        <w:rFonts w:hint="default"/>
      </w:rPr>
    </w:lvl>
    <w:lvl w:ilvl="3">
      <w:start w:val="1"/>
      <w:numFmt w:val="decimal"/>
      <w:lvlText w:val="%1.%2.%3.%4"/>
      <w:lvlJc w:val="left"/>
      <w:pPr>
        <w:tabs>
          <w:tab w:val="num" w:pos="851"/>
        </w:tabs>
        <w:ind w:left="851" w:hanging="851"/>
      </w:pPr>
      <w:rPr>
        <w:rFonts w:hint="default"/>
      </w:rPr>
    </w:lvl>
    <w:lvl w:ilvl="4">
      <w:start w:val="1"/>
      <w:numFmt w:val="decimal"/>
      <w:pStyle w:val="Heading5"/>
      <w:lvlText w:val="%1.%2.%3.%4.%5"/>
      <w:lvlJc w:val="left"/>
      <w:pPr>
        <w:tabs>
          <w:tab w:val="num" w:pos="1021"/>
        </w:tabs>
        <w:ind w:left="1021" w:hanging="1021"/>
      </w:pPr>
      <w:rPr>
        <w:rFonts w:hint="default"/>
      </w:rPr>
    </w:lvl>
    <w:lvl w:ilvl="5">
      <w:start w:val="1"/>
      <w:numFmt w:val="decimal"/>
      <w:pStyle w:val="Heading6"/>
      <w:lvlText w:val="%1.%2.%3.%4.%5.%6"/>
      <w:lvlJc w:val="left"/>
      <w:pPr>
        <w:tabs>
          <w:tab w:val="num" w:pos="1134"/>
        </w:tabs>
        <w:ind w:left="1134" w:hanging="1134"/>
      </w:pPr>
      <w:rPr>
        <w:rFonts w:hint="default"/>
      </w:rPr>
    </w:lvl>
    <w:lvl w:ilvl="6">
      <w:start w:val="1"/>
      <w:numFmt w:val="decimal"/>
      <w:pStyle w:val="Heading7"/>
      <w:lvlText w:val="%1.%2.%3.%4.%5.%6.%7"/>
      <w:lvlJc w:val="left"/>
      <w:pPr>
        <w:tabs>
          <w:tab w:val="num" w:pos="1304"/>
        </w:tabs>
        <w:ind w:left="1304" w:hanging="1304"/>
      </w:pPr>
      <w:rPr>
        <w:rFonts w:hint="default"/>
      </w:rPr>
    </w:lvl>
    <w:lvl w:ilvl="7">
      <w:start w:val="1"/>
      <w:numFmt w:val="decimal"/>
      <w:pStyle w:val="Heading8"/>
      <w:lvlText w:val="%1.%2.%3.%4.%5.%6.%7.%8"/>
      <w:lvlJc w:val="left"/>
      <w:pPr>
        <w:tabs>
          <w:tab w:val="num" w:pos="1474"/>
        </w:tabs>
        <w:ind w:left="1474" w:hanging="1474"/>
      </w:pPr>
      <w:rPr>
        <w:rFonts w:hint="default"/>
      </w:rPr>
    </w:lvl>
    <w:lvl w:ilvl="8">
      <w:start w:val="1"/>
      <w:numFmt w:val="decimal"/>
      <w:pStyle w:val="Heading9"/>
      <w:lvlText w:val="%1.%2.%3.%4.%5.%6.%7.%8.%9"/>
      <w:lvlJc w:val="left"/>
      <w:pPr>
        <w:tabs>
          <w:tab w:val="num" w:pos="1588"/>
        </w:tabs>
        <w:ind w:left="1588" w:hanging="1588"/>
      </w:pPr>
      <w:rPr>
        <w:rFonts w:hint="default"/>
      </w:rPr>
    </w:lvl>
  </w:abstractNum>
  <w:abstractNum w:abstractNumId="11" w15:restartNumberingAfterBreak="0">
    <w:nsid w:val="07143FA5"/>
    <w:multiLevelType w:val="hybridMultilevel"/>
    <w:tmpl w:val="DF520174"/>
    <w:lvl w:ilvl="0" w:tplc="C806175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73771D"/>
    <w:multiLevelType w:val="multilevel"/>
    <w:tmpl w:val="040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10AA063D"/>
    <w:multiLevelType w:val="hybridMultilevel"/>
    <w:tmpl w:val="EB28DE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B276943"/>
    <w:multiLevelType w:val="hybridMultilevel"/>
    <w:tmpl w:val="F61081E0"/>
    <w:lvl w:ilvl="0" w:tplc="C806175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81498F"/>
    <w:multiLevelType w:val="hybridMultilevel"/>
    <w:tmpl w:val="2B945BD6"/>
    <w:lvl w:ilvl="0" w:tplc="B4BC268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0627BD3"/>
    <w:multiLevelType w:val="hybridMultilevel"/>
    <w:tmpl w:val="54F21EE2"/>
    <w:lvl w:ilvl="0" w:tplc="C806175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714FF1"/>
    <w:multiLevelType w:val="hybridMultilevel"/>
    <w:tmpl w:val="711808BE"/>
    <w:lvl w:ilvl="0" w:tplc="608EC33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56D7192"/>
    <w:multiLevelType w:val="hybridMultilevel"/>
    <w:tmpl w:val="C8CE3494"/>
    <w:lvl w:ilvl="0" w:tplc="04104E9A">
      <w:numFmt w:val="bullet"/>
      <w:lvlText w:val="-"/>
      <w:lvlJc w:val="left"/>
      <w:pPr>
        <w:ind w:left="420" w:hanging="360"/>
      </w:pPr>
      <w:rPr>
        <w:rFonts w:ascii="Arial" w:eastAsia="Times New Roman" w:hAnsi="Arial" w:cs="Arial"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27EC3E60"/>
    <w:multiLevelType w:val="multilevel"/>
    <w:tmpl w:val="27567C42"/>
    <w:lvl w:ilvl="0">
      <w:start w:val="1"/>
      <w:numFmt w:val="decimal"/>
      <w:lvlText w:val="%1."/>
      <w:lvlJc w:val="left"/>
      <w:pPr>
        <w:tabs>
          <w:tab w:val="num" w:pos="340"/>
        </w:tabs>
        <w:ind w:left="340" w:hanging="340"/>
      </w:pPr>
      <w:rPr>
        <w:rFonts w:hint="default"/>
      </w:rPr>
    </w:lvl>
    <w:lvl w:ilvl="1">
      <w:start w:val="1"/>
      <w:numFmt w:val="decimal"/>
      <w:pStyle w:val="TabelOverskrift"/>
      <w:lvlText w:val="%1.%2."/>
      <w:lvlJc w:val="left"/>
      <w:pPr>
        <w:tabs>
          <w:tab w:val="num" w:pos="482"/>
        </w:tabs>
        <w:ind w:left="482" w:hanging="48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29B964D1"/>
    <w:multiLevelType w:val="multilevel"/>
    <w:tmpl w:val="BF00EE26"/>
    <w:lvl w:ilvl="0">
      <w:start w:val="1"/>
      <w:numFmt w:val="upperLetter"/>
      <w:pStyle w:val="BilagOverskrift1"/>
      <w:lvlText w:val="%1"/>
      <w:lvlJc w:val="left"/>
      <w:pPr>
        <w:ind w:left="0" w:hanging="3402"/>
      </w:pPr>
      <w:rPr>
        <w:rFonts w:hint="default"/>
      </w:rPr>
    </w:lvl>
    <w:lvl w:ilvl="1">
      <w:start w:val="1"/>
      <w:numFmt w:val="decimal"/>
      <w:pStyle w:val="Bilagoverskrift2"/>
      <w:lvlText w:val="%1.%2."/>
      <w:lvlJc w:val="left"/>
      <w:pPr>
        <w:ind w:left="567" w:hanging="567"/>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134" w:hanging="1134"/>
      </w:pPr>
      <w:rPr>
        <w:rFonts w:hint="default"/>
      </w:rPr>
    </w:lvl>
    <w:lvl w:ilvl="4">
      <w:start w:val="1"/>
      <w:numFmt w:val="decimal"/>
      <w:lvlText w:val="%1.%2.%3.%4.%5."/>
      <w:lvlJc w:val="left"/>
      <w:pPr>
        <w:ind w:left="1418" w:hanging="1418"/>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985" w:hanging="1985"/>
      </w:pPr>
      <w:rPr>
        <w:rFonts w:hint="default"/>
      </w:rPr>
    </w:lvl>
    <w:lvl w:ilvl="7">
      <w:start w:val="1"/>
      <w:numFmt w:val="decimal"/>
      <w:lvlText w:val="%1.%2.%3.%4.%5.%6.%7.%8."/>
      <w:lvlJc w:val="left"/>
      <w:pPr>
        <w:ind w:left="2268" w:hanging="2268"/>
      </w:pPr>
      <w:rPr>
        <w:rFonts w:hint="default"/>
      </w:rPr>
    </w:lvl>
    <w:lvl w:ilvl="8">
      <w:start w:val="1"/>
      <w:numFmt w:val="decimal"/>
      <w:lvlText w:val="%1.%2.%3.%4.%5.%6.%7.%8.%9."/>
      <w:lvlJc w:val="left"/>
      <w:pPr>
        <w:ind w:left="2268" w:hanging="2268"/>
      </w:pPr>
      <w:rPr>
        <w:rFonts w:hint="default"/>
      </w:rPr>
    </w:lvl>
  </w:abstractNum>
  <w:abstractNum w:abstractNumId="21" w15:restartNumberingAfterBreak="0">
    <w:nsid w:val="35123340"/>
    <w:multiLevelType w:val="multilevel"/>
    <w:tmpl w:val="0406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2" w15:restartNumberingAfterBreak="0">
    <w:nsid w:val="416D318D"/>
    <w:multiLevelType w:val="multilevel"/>
    <w:tmpl w:val="103ADA58"/>
    <w:lvl w:ilvl="0">
      <w:start w:val="1"/>
      <w:numFmt w:val="decimal"/>
      <w:pStyle w:val="Refoverskrift"/>
      <w:lvlText w:val="%1."/>
      <w:lvlJc w:val="left"/>
      <w:pPr>
        <w:ind w:left="454" w:hanging="45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741403A"/>
    <w:multiLevelType w:val="hybridMultilevel"/>
    <w:tmpl w:val="887C84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332F36"/>
    <w:multiLevelType w:val="hybridMultilevel"/>
    <w:tmpl w:val="6EECEC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11E10D3"/>
    <w:multiLevelType w:val="hybridMultilevel"/>
    <w:tmpl w:val="4B3A60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9495C53"/>
    <w:multiLevelType w:val="multilevel"/>
    <w:tmpl w:val="0406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6BE61D5E"/>
    <w:multiLevelType w:val="hybridMultilevel"/>
    <w:tmpl w:val="5D1C6ACA"/>
    <w:lvl w:ilvl="0" w:tplc="5B6E2136">
      <w:numFmt w:val="bullet"/>
      <w:lvlText w:val="-"/>
      <w:lvlJc w:val="left"/>
      <w:pPr>
        <w:ind w:left="410" w:hanging="360"/>
      </w:pPr>
      <w:rPr>
        <w:rFonts w:ascii="Arial" w:eastAsia="Times New Roman" w:hAnsi="Arial" w:cs="Arial" w:hint="default"/>
      </w:rPr>
    </w:lvl>
    <w:lvl w:ilvl="1" w:tplc="08090003" w:tentative="1">
      <w:start w:val="1"/>
      <w:numFmt w:val="bullet"/>
      <w:lvlText w:val="o"/>
      <w:lvlJc w:val="left"/>
      <w:pPr>
        <w:ind w:left="1130" w:hanging="360"/>
      </w:pPr>
      <w:rPr>
        <w:rFonts w:ascii="Courier New" w:hAnsi="Courier New" w:cs="Courier New" w:hint="default"/>
      </w:rPr>
    </w:lvl>
    <w:lvl w:ilvl="2" w:tplc="08090005" w:tentative="1">
      <w:start w:val="1"/>
      <w:numFmt w:val="bullet"/>
      <w:lvlText w:val=""/>
      <w:lvlJc w:val="left"/>
      <w:pPr>
        <w:ind w:left="1850" w:hanging="360"/>
      </w:pPr>
      <w:rPr>
        <w:rFonts w:ascii="Wingdings" w:hAnsi="Wingdings" w:hint="default"/>
      </w:rPr>
    </w:lvl>
    <w:lvl w:ilvl="3" w:tplc="08090001" w:tentative="1">
      <w:start w:val="1"/>
      <w:numFmt w:val="bullet"/>
      <w:lvlText w:val=""/>
      <w:lvlJc w:val="left"/>
      <w:pPr>
        <w:ind w:left="2570" w:hanging="360"/>
      </w:pPr>
      <w:rPr>
        <w:rFonts w:ascii="Symbol" w:hAnsi="Symbol" w:hint="default"/>
      </w:rPr>
    </w:lvl>
    <w:lvl w:ilvl="4" w:tplc="08090003" w:tentative="1">
      <w:start w:val="1"/>
      <w:numFmt w:val="bullet"/>
      <w:lvlText w:val="o"/>
      <w:lvlJc w:val="left"/>
      <w:pPr>
        <w:ind w:left="3290" w:hanging="360"/>
      </w:pPr>
      <w:rPr>
        <w:rFonts w:ascii="Courier New" w:hAnsi="Courier New" w:cs="Courier New" w:hint="default"/>
      </w:rPr>
    </w:lvl>
    <w:lvl w:ilvl="5" w:tplc="08090005" w:tentative="1">
      <w:start w:val="1"/>
      <w:numFmt w:val="bullet"/>
      <w:lvlText w:val=""/>
      <w:lvlJc w:val="left"/>
      <w:pPr>
        <w:ind w:left="4010" w:hanging="360"/>
      </w:pPr>
      <w:rPr>
        <w:rFonts w:ascii="Wingdings" w:hAnsi="Wingdings" w:hint="default"/>
      </w:rPr>
    </w:lvl>
    <w:lvl w:ilvl="6" w:tplc="08090001" w:tentative="1">
      <w:start w:val="1"/>
      <w:numFmt w:val="bullet"/>
      <w:lvlText w:val=""/>
      <w:lvlJc w:val="left"/>
      <w:pPr>
        <w:ind w:left="4730" w:hanging="360"/>
      </w:pPr>
      <w:rPr>
        <w:rFonts w:ascii="Symbol" w:hAnsi="Symbol" w:hint="default"/>
      </w:rPr>
    </w:lvl>
    <w:lvl w:ilvl="7" w:tplc="08090003" w:tentative="1">
      <w:start w:val="1"/>
      <w:numFmt w:val="bullet"/>
      <w:lvlText w:val="o"/>
      <w:lvlJc w:val="left"/>
      <w:pPr>
        <w:ind w:left="5450" w:hanging="360"/>
      </w:pPr>
      <w:rPr>
        <w:rFonts w:ascii="Courier New" w:hAnsi="Courier New" w:cs="Courier New" w:hint="default"/>
      </w:rPr>
    </w:lvl>
    <w:lvl w:ilvl="8" w:tplc="08090005" w:tentative="1">
      <w:start w:val="1"/>
      <w:numFmt w:val="bullet"/>
      <w:lvlText w:val=""/>
      <w:lvlJc w:val="left"/>
      <w:pPr>
        <w:ind w:left="6170" w:hanging="360"/>
      </w:pPr>
      <w:rPr>
        <w:rFonts w:ascii="Wingdings" w:hAnsi="Wingdings" w:hint="default"/>
      </w:rPr>
    </w:lvl>
  </w:abstractNum>
  <w:num w:numId="1">
    <w:abstractNumId w:val="7"/>
  </w:num>
  <w:num w:numId="2">
    <w:abstractNumId w:val="6"/>
  </w:num>
  <w:num w:numId="3">
    <w:abstractNumId w:val="12"/>
  </w:num>
  <w:num w:numId="4">
    <w:abstractNumId w:val="26"/>
  </w:num>
  <w:num w:numId="5">
    <w:abstractNumId w:val="21"/>
  </w:num>
  <w:num w:numId="6">
    <w:abstractNumId w:val="5"/>
  </w:num>
  <w:num w:numId="7">
    <w:abstractNumId w:val="4"/>
  </w:num>
  <w:num w:numId="8">
    <w:abstractNumId w:val="3"/>
  </w:num>
  <w:num w:numId="9">
    <w:abstractNumId w:val="2"/>
  </w:num>
  <w:num w:numId="10">
    <w:abstractNumId w:val="1"/>
  </w:num>
  <w:num w:numId="11">
    <w:abstractNumId w:val="0"/>
  </w:num>
  <w:num w:numId="12">
    <w:abstractNumId w:val="19"/>
  </w:num>
  <w:num w:numId="13">
    <w:abstractNumId w:val="9"/>
  </w:num>
  <w:num w:numId="14">
    <w:abstractNumId w:val="8"/>
  </w:num>
  <w:num w:numId="15">
    <w:abstractNumId w:val="10"/>
  </w:num>
  <w:num w:numId="16">
    <w:abstractNumId w:val="22"/>
  </w:num>
  <w:num w:numId="17">
    <w:abstractNumId w:val="20"/>
  </w:num>
  <w:num w:numId="18">
    <w:abstractNumId w:val="14"/>
  </w:num>
  <w:num w:numId="19">
    <w:abstractNumId w:val="27"/>
  </w:num>
  <w:num w:numId="20">
    <w:abstractNumId w:val="15"/>
  </w:num>
  <w:num w:numId="21">
    <w:abstractNumId w:val="24"/>
  </w:num>
  <w:num w:numId="22">
    <w:abstractNumId w:val="23"/>
  </w:num>
  <w:num w:numId="23">
    <w:abstractNumId w:val="11"/>
  </w:num>
  <w:num w:numId="24">
    <w:abstractNumId w:val="16"/>
  </w:num>
  <w:num w:numId="25">
    <w:abstractNumId w:val="17"/>
  </w:num>
  <w:num w:numId="26">
    <w:abstractNumId w:val="18"/>
  </w:num>
  <w:num w:numId="27">
    <w:abstractNumId w:val="13"/>
  </w:num>
  <w:num w:numId="28">
    <w:abstractNumId w:val="25"/>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lia Rosemary Thorpe">
    <w15:presenceInfo w15:providerId="AD" w15:userId="S-1-5-21-4207196655-1284807994-987816898-5379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mirrorMargins/>
  <w:proofState w:spelling="clean" w:grammar="clean"/>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1304"/>
  <w:hyphenationZone w:val="425"/>
  <w:evenAndOddHeaders/>
  <w:drawingGridHorizontalSpacing w:val="100"/>
  <w:displayHorizontalDrawingGridEvery w:val="2"/>
  <w:characterSpacingControl w:val="doNotCompress"/>
  <w:hdrShapeDefaults>
    <o:shapedefaults v:ext="edit" spidmax="4300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2CC"/>
    <w:rsid w:val="00002C8F"/>
    <w:rsid w:val="00002FF0"/>
    <w:rsid w:val="00003294"/>
    <w:rsid w:val="00011C0E"/>
    <w:rsid w:val="000127B9"/>
    <w:rsid w:val="000135B1"/>
    <w:rsid w:val="00014646"/>
    <w:rsid w:val="000146E3"/>
    <w:rsid w:val="00015A6D"/>
    <w:rsid w:val="000169D7"/>
    <w:rsid w:val="000179A9"/>
    <w:rsid w:val="00017DAF"/>
    <w:rsid w:val="000229DF"/>
    <w:rsid w:val="00026379"/>
    <w:rsid w:val="00027829"/>
    <w:rsid w:val="00030605"/>
    <w:rsid w:val="0003142A"/>
    <w:rsid w:val="00031598"/>
    <w:rsid w:val="000327B2"/>
    <w:rsid w:val="00033F27"/>
    <w:rsid w:val="000369C4"/>
    <w:rsid w:val="00037380"/>
    <w:rsid w:val="000377DF"/>
    <w:rsid w:val="00037CF6"/>
    <w:rsid w:val="0004217C"/>
    <w:rsid w:val="00042694"/>
    <w:rsid w:val="00042EE9"/>
    <w:rsid w:val="00050001"/>
    <w:rsid w:val="00052F48"/>
    <w:rsid w:val="00053AB4"/>
    <w:rsid w:val="00055609"/>
    <w:rsid w:val="00055A6A"/>
    <w:rsid w:val="00055B3C"/>
    <w:rsid w:val="00055BA8"/>
    <w:rsid w:val="000566F9"/>
    <w:rsid w:val="00057E1A"/>
    <w:rsid w:val="0006268E"/>
    <w:rsid w:val="00063AB2"/>
    <w:rsid w:val="0006463F"/>
    <w:rsid w:val="00065D98"/>
    <w:rsid w:val="00065E32"/>
    <w:rsid w:val="000714FD"/>
    <w:rsid w:val="000718AC"/>
    <w:rsid w:val="00073BBB"/>
    <w:rsid w:val="0007401A"/>
    <w:rsid w:val="00074299"/>
    <w:rsid w:val="000755E7"/>
    <w:rsid w:val="00077D4D"/>
    <w:rsid w:val="00081160"/>
    <w:rsid w:val="0008244B"/>
    <w:rsid w:val="00087769"/>
    <w:rsid w:val="00087D2A"/>
    <w:rsid w:val="000909AF"/>
    <w:rsid w:val="00096004"/>
    <w:rsid w:val="000A2A66"/>
    <w:rsid w:val="000A35DB"/>
    <w:rsid w:val="000A38D3"/>
    <w:rsid w:val="000A5CF3"/>
    <w:rsid w:val="000B07E0"/>
    <w:rsid w:val="000C61EF"/>
    <w:rsid w:val="000D1B04"/>
    <w:rsid w:val="000D5477"/>
    <w:rsid w:val="000D7D5D"/>
    <w:rsid w:val="000D7F6C"/>
    <w:rsid w:val="000E0206"/>
    <w:rsid w:val="000E1BD4"/>
    <w:rsid w:val="000E3EB0"/>
    <w:rsid w:val="000E68E7"/>
    <w:rsid w:val="000F2B68"/>
    <w:rsid w:val="000F7253"/>
    <w:rsid w:val="000F76CF"/>
    <w:rsid w:val="000F7A93"/>
    <w:rsid w:val="001038C4"/>
    <w:rsid w:val="00106762"/>
    <w:rsid w:val="00106C72"/>
    <w:rsid w:val="001070F0"/>
    <w:rsid w:val="0010769D"/>
    <w:rsid w:val="00110513"/>
    <w:rsid w:val="001110D5"/>
    <w:rsid w:val="001136EF"/>
    <w:rsid w:val="00115E6B"/>
    <w:rsid w:val="001161B0"/>
    <w:rsid w:val="001171B3"/>
    <w:rsid w:val="00117990"/>
    <w:rsid w:val="00117D9A"/>
    <w:rsid w:val="001240E1"/>
    <w:rsid w:val="00124BFE"/>
    <w:rsid w:val="00126571"/>
    <w:rsid w:val="00134864"/>
    <w:rsid w:val="001404C4"/>
    <w:rsid w:val="001427A7"/>
    <w:rsid w:val="0014691D"/>
    <w:rsid w:val="00153749"/>
    <w:rsid w:val="00153C3D"/>
    <w:rsid w:val="001542F3"/>
    <w:rsid w:val="0015549B"/>
    <w:rsid w:val="001564A9"/>
    <w:rsid w:val="00160D1D"/>
    <w:rsid w:val="001627DD"/>
    <w:rsid w:val="0016437C"/>
    <w:rsid w:val="00164A6C"/>
    <w:rsid w:val="00164E76"/>
    <w:rsid w:val="00165B2E"/>
    <w:rsid w:val="00165DFB"/>
    <w:rsid w:val="0016666E"/>
    <w:rsid w:val="0017186D"/>
    <w:rsid w:val="00174563"/>
    <w:rsid w:val="00176340"/>
    <w:rsid w:val="0017662D"/>
    <w:rsid w:val="00176C23"/>
    <w:rsid w:val="00180A46"/>
    <w:rsid w:val="00181FCA"/>
    <w:rsid w:val="00190272"/>
    <w:rsid w:val="00191551"/>
    <w:rsid w:val="001927F4"/>
    <w:rsid w:val="001952FE"/>
    <w:rsid w:val="001964E2"/>
    <w:rsid w:val="001A65E9"/>
    <w:rsid w:val="001A7256"/>
    <w:rsid w:val="001B5C78"/>
    <w:rsid w:val="001C0122"/>
    <w:rsid w:val="001C1D58"/>
    <w:rsid w:val="001C216C"/>
    <w:rsid w:val="001C2E4B"/>
    <w:rsid w:val="001C3D36"/>
    <w:rsid w:val="001C54AC"/>
    <w:rsid w:val="001C626D"/>
    <w:rsid w:val="001C6AF1"/>
    <w:rsid w:val="001D03BF"/>
    <w:rsid w:val="001D66F3"/>
    <w:rsid w:val="001E11A1"/>
    <w:rsid w:val="001E11DF"/>
    <w:rsid w:val="001E50E2"/>
    <w:rsid w:val="001E5289"/>
    <w:rsid w:val="001E7C9E"/>
    <w:rsid w:val="001F1201"/>
    <w:rsid w:val="001F15CB"/>
    <w:rsid w:val="001F4BC7"/>
    <w:rsid w:val="001F6986"/>
    <w:rsid w:val="00201191"/>
    <w:rsid w:val="002019FD"/>
    <w:rsid w:val="00201E52"/>
    <w:rsid w:val="0020422D"/>
    <w:rsid w:val="00212D6D"/>
    <w:rsid w:val="00213B7C"/>
    <w:rsid w:val="002145F3"/>
    <w:rsid w:val="002171D0"/>
    <w:rsid w:val="00220EC2"/>
    <w:rsid w:val="00223CC1"/>
    <w:rsid w:val="00224B8A"/>
    <w:rsid w:val="002261D1"/>
    <w:rsid w:val="002265DD"/>
    <w:rsid w:val="002267D8"/>
    <w:rsid w:val="00231C2A"/>
    <w:rsid w:val="002340B9"/>
    <w:rsid w:val="00237BB1"/>
    <w:rsid w:val="00245532"/>
    <w:rsid w:val="002516BB"/>
    <w:rsid w:val="00251FF6"/>
    <w:rsid w:val="002531FE"/>
    <w:rsid w:val="00253515"/>
    <w:rsid w:val="00256122"/>
    <w:rsid w:val="002567BC"/>
    <w:rsid w:val="0026085A"/>
    <w:rsid w:val="00261ED7"/>
    <w:rsid w:val="00262397"/>
    <w:rsid w:val="00262DE7"/>
    <w:rsid w:val="00270681"/>
    <w:rsid w:val="00272415"/>
    <w:rsid w:val="0028347A"/>
    <w:rsid w:val="002938D9"/>
    <w:rsid w:val="0029647B"/>
    <w:rsid w:val="002A5FF5"/>
    <w:rsid w:val="002A7C68"/>
    <w:rsid w:val="002B3ACA"/>
    <w:rsid w:val="002B3B9D"/>
    <w:rsid w:val="002B46A5"/>
    <w:rsid w:val="002B7851"/>
    <w:rsid w:val="002C31A5"/>
    <w:rsid w:val="002D1C78"/>
    <w:rsid w:val="002D2C11"/>
    <w:rsid w:val="002D4A11"/>
    <w:rsid w:val="002D5307"/>
    <w:rsid w:val="002D5D65"/>
    <w:rsid w:val="002D66F8"/>
    <w:rsid w:val="002E126A"/>
    <w:rsid w:val="002E3145"/>
    <w:rsid w:val="002E55D5"/>
    <w:rsid w:val="002F00B4"/>
    <w:rsid w:val="002F4386"/>
    <w:rsid w:val="002F4F82"/>
    <w:rsid w:val="002F688D"/>
    <w:rsid w:val="002F7E37"/>
    <w:rsid w:val="003001E6"/>
    <w:rsid w:val="0030355C"/>
    <w:rsid w:val="00306891"/>
    <w:rsid w:val="0030711C"/>
    <w:rsid w:val="00311672"/>
    <w:rsid w:val="0031645E"/>
    <w:rsid w:val="00320E15"/>
    <w:rsid w:val="00322CE7"/>
    <w:rsid w:val="003235BA"/>
    <w:rsid w:val="003312DB"/>
    <w:rsid w:val="003344EE"/>
    <w:rsid w:val="00334ACA"/>
    <w:rsid w:val="00337BB7"/>
    <w:rsid w:val="00341D66"/>
    <w:rsid w:val="0034211A"/>
    <w:rsid w:val="00347206"/>
    <w:rsid w:val="00350103"/>
    <w:rsid w:val="0035648F"/>
    <w:rsid w:val="0036089C"/>
    <w:rsid w:val="0036149E"/>
    <w:rsid w:val="003617B5"/>
    <w:rsid w:val="00361E50"/>
    <w:rsid w:val="00362B34"/>
    <w:rsid w:val="00364183"/>
    <w:rsid w:val="00364939"/>
    <w:rsid w:val="00365137"/>
    <w:rsid w:val="00376E14"/>
    <w:rsid w:val="003804AB"/>
    <w:rsid w:val="003830B2"/>
    <w:rsid w:val="00383B46"/>
    <w:rsid w:val="00385EDA"/>
    <w:rsid w:val="00385FBE"/>
    <w:rsid w:val="00386B1F"/>
    <w:rsid w:val="00392A66"/>
    <w:rsid w:val="00392CCB"/>
    <w:rsid w:val="00396CC8"/>
    <w:rsid w:val="003A3F06"/>
    <w:rsid w:val="003A4A52"/>
    <w:rsid w:val="003A618D"/>
    <w:rsid w:val="003A6488"/>
    <w:rsid w:val="003A6A15"/>
    <w:rsid w:val="003A7A47"/>
    <w:rsid w:val="003B18FD"/>
    <w:rsid w:val="003B1C78"/>
    <w:rsid w:val="003B67A1"/>
    <w:rsid w:val="003C0651"/>
    <w:rsid w:val="003C36C4"/>
    <w:rsid w:val="003C78E2"/>
    <w:rsid w:val="003D1793"/>
    <w:rsid w:val="003D19D2"/>
    <w:rsid w:val="003D28B1"/>
    <w:rsid w:val="003D2DF0"/>
    <w:rsid w:val="003D4EFE"/>
    <w:rsid w:val="003E4231"/>
    <w:rsid w:val="003E6656"/>
    <w:rsid w:val="003E771C"/>
    <w:rsid w:val="003E7F01"/>
    <w:rsid w:val="003F005F"/>
    <w:rsid w:val="003F104E"/>
    <w:rsid w:val="003F1728"/>
    <w:rsid w:val="003F249A"/>
    <w:rsid w:val="003F2E5B"/>
    <w:rsid w:val="003F4B38"/>
    <w:rsid w:val="003F54F0"/>
    <w:rsid w:val="003F7BEB"/>
    <w:rsid w:val="00400D43"/>
    <w:rsid w:val="0040304F"/>
    <w:rsid w:val="0040358B"/>
    <w:rsid w:val="00407B42"/>
    <w:rsid w:val="0041061B"/>
    <w:rsid w:val="004110B9"/>
    <w:rsid w:val="00411ABB"/>
    <w:rsid w:val="00411CBC"/>
    <w:rsid w:val="004133B5"/>
    <w:rsid w:val="0041498A"/>
    <w:rsid w:val="00417B28"/>
    <w:rsid w:val="00422CA9"/>
    <w:rsid w:val="00426E08"/>
    <w:rsid w:val="00427D7E"/>
    <w:rsid w:val="00427F89"/>
    <w:rsid w:val="0043257E"/>
    <w:rsid w:val="00433A81"/>
    <w:rsid w:val="004358E2"/>
    <w:rsid w:val="00435B59"/>
    <w:rsid w:val="0044223F"/>
    <w:rsid w:val="00443C63"/>
    <w:rsid w:val="00444B92"/>
    <w:rsid w:val="00445B3C"/>
    <w:rsid w:val="00445D38"/>
    <w:rsid w:val="00451B4B"/>
    <w:rsid w:val="00451C68"/>
    <w:rsid w:val="0045214D"/>
    <w:rsid w:val="004539F8"/>
    <w:rsid w:val="004575E1"/>
    <w:rsid w:val="00457AB3"/>
    <w:rsid w:val="00457C7B"/>
    <w:rsid w:val="00461849"/>
    <w:rsid w:val="00465595"/>
    <w:rsid w:val="004670D7"/>
    <w:rsid w:val="00471D9F"/>
    <w:rsid w:val="004741BA"/>
    <w:rsid w:val="004908D9"/>
    <w:rsid w:val="0049190D"/>
    <w:rsid w:val="0049640E"/>
    <w:rsid w:val="00496948"/>
    <w:rsid w:val="004A3067"/>
    <w:rsid w:val="004A426D"/>
    <w:rsid w:val="004A4465"/>
    <w:rsid w:val="004A5D92"/>
    <w:rsid w:val="004A61DD"/>
    <w:rsid w:val="004B0940"/>
    <w:rsid w:val="004B2422"/>
    <w:rsid w:val="004B7A8D"/>
    <w:rsid w:val="004C0C0B"/>
    <w:rsid w:val="004C327E"/>
    <w:rsid w:val="004C3AB8"/>
    <w:rsid w:val="004C4663"/>
    <w:rsid w:val="004C48A6"/>
    <w:rsid w:val="004C5CFD"/>
    <w:rsid w:val="004C63C1"/>
    <w:rsid w:val="004D0098"/>
    <w:rsid w:val="004D1FDC"/>
    <w:rsid w:val="004D28C4"/>
    <w:rsid w:val="004D33F7"/>
    <w:rsid w:val="004D3509"/>
    <w:rsid w:val="004D3D2B"/>
    <w:rsid w:val="004D64F7"/>
    <w:rsid w:val="004D6A81"/>
    <w:rsid w:val="004D7293"/>
    <w:rsid w:val="004E2D0D"/>
    <w:rsid w:val="004F01C0"/>
    <w:rsid w:val="004F391B"/>
    <w:rsid w:val="004F3A57"/>
    <w:rsid w:val="004F3DC5"/>
    <w:rsid w:val="004F6272"/>
    <w:rsid w:val="00504233"/>
    <w:rsid w:val="00504D49"/>
    <w:rsid w:val="00507E3D"/>
    <w:rsid w:val="0051519D"/>
    <w:rsid w:val="00515540"/>
    <w:rsid w:val="00516CCE"/>
    <w:rsid w:val="0051717C"/>
    <w:rsid w:val="005203DA"/>
    <w:rsid w:val="00522383"/>
    <w:rsid w:val="005234D3"/>
    <w:rsid w:val="0052531A"/>
    <w:rsid w:val="00527C24"/>
    <w:rsid w:val="005312E3"/>
    <w:rsid w:val="00532438"/>
    <w:rsid w:val="005425D2"/>
    <w:rsid w:val="00544882"/>
    <w:rsid w:val="00544F71"/>
    <w:rsid w:val="00546229"/>
    <w:rsid w:val="005462D6"/>
    <w:rsid w:val="0055133E"/>
    <w:rsid w:val="00553120"/>
    <w:rsid w:val="0055373D"/>
    <w:rsid w:val="00553E27"/>
    <w:rsid w:val="0055495B"/>
    <w:rsid w:val="00554F43"/>
    <w:rsid w:val="00555079"/>
    <w:rsid w:val="00555B18"/>
    <w:rsid w:val="00555FEC"/>
    <w:rsid w:val="005631DE"/>
    <w:rsid w:val="0056380B"/>
    <w:rsid w:val="00563DD8"/>
    <w:rsid w:val="00564678"/>
    <w:rsid w:val="00564FF5"/>
    <w:rsid w:val="00570EED"/>
    <w:rsid w:val="00573E18"/>
    <w:rsid w:val="00574182"/>
    <w:rsid w:val="0057425A"/>
    <w:rsid w:val="005763FD"/>
    <w:rsid w:val="00577719"/>
    <w:rsid w:val="00584B80"/>
    <w:rsid w:val="00586489"/>
    <w:rsid w:val="00590E46"/>
    <w:rsid w:val="00591671"/>
    <w:rsid w:val="00592010"/>
    <w:rsid w:val="00592C23"/>
    <w:rsid w:val="005A370E"/>
    <w:rsid w:val="005B12F8"/>
    <w:rsid w:val="005B1B1D"/>
    <w:rsid w:val="005B2896"/>
    <w:rsid w:val="005B3EE5"/>
    <w:rsid w:val="005B76BB"/>
    <w:rsid w:val="005C0009"/>
    <w:rsid w:val="005C48C1"/>
    <w:rsid w:val="005C5843"/>
    <w:rsid w:val="005C5FC8"/>
    <w:rsid w:val="005C635F"/>
    <w:rsid w:val="005D100D"/>
    <w:rsid w:val="005D4C4C"/>
    <w:rsid w:val="005D69D9"/>
    <w:rsid w:val="005E0276"/>
    <w:rsid w:val="005E19F1"/>
    <w:rsid w:val="005E250D"/>
    <w:rsid w:val="005E25F6"/>
    <w:rsid w:val="005E2612"/>
    <w:rsid w:val="005E4A5E"/>
    <w:rsid w:val="005E7E38"/>
    <w:rsid w:val="005F09E0"/>
    <w:rsid w:val="005F2C26"/>
    <w:rsid w:val="005F31CC"/>
    <w:rsid w:val="005F5D16"/>
    <w:rsid w:val="005F6741"/>
    <w:rsid w:val="00601C4E"/>
    <w:rsid w:val="00604EB6"/>
    <w:rsid w:val="00607B67"/>
    <w:rsid w:val="006110BA"/>
    <w:rsid w:val="0061288E"/>
    <w:rsid w:val="006160D5"/>
    <w:rsid w:val="00616F33"/>
    <w:rsid w:val="0062087C"/>
    <w:rsid w:val="00625FF4"/>
    <w:rsid w:val="00626BD4"/>
    <w:rsid w:val="00630CBF"/>
    <w:rsid w:val="006338E5"/>
    <w:rsid w:val="00633E5A"/>
    <w:rsid w:val="00634349"/>
    <w:rsid w:val="00641A2B"/>
    <w:rsid w:val="0064381C"/>
    <w:rsid w:val="006474AB"/>
    <w:rsid w:val="006509F8"/>
    <w:rsid w:val="006511F7"/>
    <w:rsid w:val="006555BD"/>
    <w:rsid w:val="00655670"/>
    <w:rsid w:val="006557CC"/>
    <w:rsid w:val="00657FBC"/>
    <w:rsid w:val="00663709"/>
    <w:rsid w:val="0066594B"/>
    <w:rsid w:val="0066624D"/>
    <w:rsid w:val="00666728"/>
    <w:rsid w:val="006672A9"/>
    <w:rsid w:val="0066784A"/>
    <w:rsid w:val="00674880"/>
    <w:rsid w:val="00675041"/>
    <w:rsid w:val="006754E4"/>
    <w:rsid w:val="00677B39"/>
    <w:rsid w:val="00681FEE"/>
    <w:rsid w:val="00683182"/>
    <w:rsid w:val="00684E0F"/>
    <w:rsid w:val="006868B2"/>
    <w:rsid w:val="0068740E"/>
    <w:rsid w:val="0069570C"/>
    <w:rsid w:val="00696213"/>
    <w:rsid w:val="006A32DF"/>
    <w:rsid w:val="006A4100"/>
    <w:rsid w:val="006A4FA3"/>
    <w:rsid w:val="006A70B4"/>
    <w:rsid w:val="006A7368"/>
    <w:rsid w:val="006A74E6"/>
    <w:rsid w:val="006B22A6"/>
    <w:rsid w:val="006B47F2"/>
    <w:rsid w:val="006B4D2A"/>
    <w:rsid w:val="006B74B4"/>
    <w:rsid w:val="006B79D8"/>
    <w:rsid w:val="006C1AE3"/>
    <w:rsid w:val="006C3FCA"/>
    <w:rsid w:val="006C520A"/>
    <w:rsid w:val="006C572F"/>
    <w:rsid w:val="006C633F"/>
    <w:rsid w:val="006C6F71"/>
    <w:rsid w:val="006D0B68"/>
    <w:rsid w:val="006D3ADE"/>
    <w:rsid w:val="006D537C"/>
    <w:rsid w:val="006D67A0"/>
    <w:rsid w:val="006E2E3A"/>
    <w:rsid w:val="006E3C22"/>
    <w:rsid w:val="006E55A4"/>
    <w:rsid w:val="006E5EFB"/>
    <w:rsid w:val="006F1336"/>
    <w:rsid w:val="006F3131"/>
    <w:rsid w:val="00702E4B"/>
    <w:rsid w:val="0070303C"/>
    <w:rsid w:val="007053B0"/>
    <w:rsid w:val="00705CA0"/>
    <w:rsid w:val="0070617F"/>
    <w:rsid w:val="007071C3"/>
    <w:rsid w:val="00707B4D"/>
    <w:rsid w:val="007230B9"/>
    <w:rsid w:val="007232AB"/>
    <w:rsid w:val="00734F3F"/>
    <w:rsid w:val="007351B8"/>
    <w:rsid w:val="007378CC"/>
    <w:rsid w:val="00737F96"/>
    <w:rsid w:val="00740CA2"/>
    <w:rsid w:val="00744981"/>
    <w:rsid w:val="00744E65"/>
    <w:rsid w:val="0074617D"/>
    <w:rsid w:val="00746F35"/>
    <w:rsid w:val="00751BA2"/>
    <w:rsid w:val="00761C31"/>
    <w:rsid w:val="00763632"/>
    <w:rsid w:val="00767694"/>
    <w:rsid w:val="00770AD7"/>
    <w:rsid w:val="00772B81"/>
    <w:rsid w:val="00785486"/>
    <w:rsid w:val="00785E80"/>
    <w:rsid w:val="00791E3A"/>
    <w:rsid w:val="00794973"/>
    <w:rsid w:val="00795641"/>
    <w:rsid w:val="00797B98"/>
    <w:rsid w:val="007A1A9C"/>
    <w:rsid w:val="007A2264"/>
    <w:rsid w:val="007A2580"/>
    <w:rsid w:val="007A4B21"/>
    <w:rsid w:val="007A5509"/>
    <w:rsid w:val="007A73E8"/>
    <w:rsid w:val="007B294F"/>
    <w:rsid w:val="007B31C2"/>
    <w:rsid w:val="007B4744"/>
    <w:rsid w:val="007C0268"/>
    <w:rsid w:val="007C051D"/>
    <w:rsid w:val="007C07F1"/>
    <w:rsid w:val="007C0A06"/>
    <w:rsid w:val="007C121F"/>
    <w:rsid w:val="007C2149"/>
    <w:rsid w:val="007C7450"/>
    <w:rsid w:val="007D11BB"/>
    <w:rsid w:val="007D2ABA"/>
    <w:rsid w:val="007D3205"/>
    <w:rsid w:val="007D4E32"/>
    <w:rsid w:val="007D54AA"/>
    <w:rsid w:val="007D7D70"/>
    <w:rsid w:val="007E073A"/>
    <w:rsid w:val="007E1DE7"/>
    <w:rsid w:val="007E1E81"/>
    <w:rsid w:val="007E2146"/>
    <w:rsid w:val="007E36E1"/>
    <w:rsid w:val="007F145F"/>
    <w:rsid w:val="007F1E86"/>
    <w:rsid w:val="007F38C2"/>
    <w:rsid w:val="007F5B78"/>
    <w:rsid w:val="00801C0B"/>
    <w:rsid w:val="00805188"/>
    <w:rsid w:val="008070A7"/>
    <w:rsid w:val="00807902"/>
    <w:rsid w:val="0081016D"/>
    <w:rsid w:val="0081261A"/>
    <w:rsid w:val="00815B51"/>
    <w:rsid w:val="00816232"/>
    <w:rsid w:val="00817B56"/>
    <w:rsid w:val="00822521"/>
    <w:rsid w:val="00822758"/>
    <w:rsid w:val="00827C56"/>
    <w:rsid w:val="00830645"/>
    <w:rsid w:val="00830E96"/>
    <w:rsid w:val="00846F4F"/>
    <w:rsid w:val="008500D8"/>
    <w:rsid w:val="00850169"/>
    <w:rsid w:val="00851BA2"/>
    <w:rsid w:val="00853CE6"/>
    <w:rsid w:val="00855647"/>
    <w:rsid w:val="00857D34"/>
    <w:rsid w:val="008622F0"/>
    <w:rsid w:val="0086407F"/>
    <w:rsid w:val="00867997"/>
    <w:rsid w:val="00870025"/>
    <w:rsid w:val="00870040"/>
    <w:rsid w:val="00874F56"/>
    <w:rsid w:val="00875621"/>
    <w:rsid w:val="00875E24"/>
    <w:rsid w:val="0088145E"/>
    <w:rsid w:val="00881834"/>
    <w:rsid w:val="00881E17"/>
    <w:rsid w:val="008832BD"/>
    <w:rsid w:val="00884DDE"/>
    <w:rsid w:val="008854AB"/>
    <w:rsid w:val="008918B9"/>
    <w:rsid w:val="00892528"/>
    <w:rsid w:val="008A27AA"/>
    <w:rsid w:val="008A3600"/>
    <w:rsid w:val="008A380A"/>
    <w:rsid w:val="008A6BF6"/>
    <w:rsid w:val="008B0420"/>
    <w:rsid w:val="008B145C"/>
    <w:rsid w:val="008B2073"/>
    <w:rsid w:val="008B3CD5"/>
    <w:rsid w:val="008B7AF4"/>
    <w:rsid w:val="008D2C19"/>
    <w:rsid w:val="008D3BED"/>
    <w:rsid w:val="008D44D3"/>
    <w:rsid w:val="008D6BD5"/>
    <w:rsid w:val="008E114D"/>
    <w:rsid w:val="008E1586"/>
    <w:rsid w:val="008E2FCE"/>
    <w:rsid w:val="008E3DEA"/>
    <w:rsid w:val="008E6926"/>
    <w:rsid w:val="008E73DA"/>
    <w:rsid w:val="008E7852"/>
    <w:rsid w:val="008F0309"/>
    <w:rsid w:val="008F5B3E"/>
    <w:rsid w:val="008F671D"/>
    <w:rsid w:val="0090154E"/>
    <w:rsid w:val="00901A85"/>
    <w:rsid w:val="00902D26"/>
    <w:rsid w:val="00906112"/>
    <w:rsid w:val="00906F48"/>
    <w:rsid w:val="00912491"/>
    <w:rsid w:val="00914564"/>
    <w:rsid w:val="009149B0"/>
    <w:rsid w:val="0091713C"/>
    <w:rsid w:val="00922267"/>
    <w:rsid w:val="009236DE"/>
    <w:rsid w:val="0092466D"/>
    <w:rsid w:val="00927350"/>
    <w:rsid w:val="00930E6B"/>
    <w:rsid w:val="009315DB"/>
    <w:rsid w:val="009345CB"/>
    <w:rsid w:val="00935614"/>
    <w:rsid w:val="009448C9"/>
    <w:rsid w:val="00944F8E"/>
    <w:rsid w:val="009540BC"/>
    <w:rsid w:val="00954594"/>
    <w:rsid w:val="00956F23"/>
    <w:rsid w:val="00960858"/>
    <w:rsid w:val="009629D4"/>
    <w:rsid w:val="00962BF4"/>
    <w:rsid w:val="009644F0"/>
    <w:rsid w:val="009713C1"/>
    <w:rsid w:val="00972CCE"/>
    <w:rsid w:val="00975817"/>
    <w:rsid w:val="00980C6A"/>
    <w:rsid w:val="009869C0"/>
    <w:rsid w:val="0099061E"/>
    <w:rsid w:val="00992EEA"/>
    <w:rsid w:val="009A018B"/>
    <w:rsid w:val="009A6B43"/>
    <w:rsid w:val="009A7BF0"/>
    <w:rsid w:val="009B0DF0"/>
    <w:rsid w:val="009B1CEF"/>
    <w:rsid w:val="009B3B90"/>
    <w:rsid w:val="009B53D3"/>
    <w:rsid w:val="009B5B7E"/>
    <w:rsid w:val="009C0631"/>
    <w:rsid w:val="009C1D58"/>
    <w:rsid w:val="009C40FB"/>
    <w:rsid w:val="009C457C"/>
    <w:rsid w:val="009C5E71"/>
    <w:rsid w:val="009C779B"/>
    <w:rsid w:val="009D02AB"/>
    <w:rsid w:val="009D068B"/>
    <w:rsid w:val="009D1238"/>
    <w:rsid w:val="009D3A31"/>
    <w:rsid w:val="009D3BCE"/>
    <w:rsid w:val="009E0251"/>
    <w:rsid w:val="009E1DF2"/>
    <w:rsid w:val="009E3600"/>
    <w:rsid w:val="009E467C"/>
    <w:rsid w:val="009E4BE6"/>
    <w:rsid w:val="009E6F34"/>
    <w:rsid w:val="009E7409"/>
    <w:rsid w:val="009F0B85"/>
    <w:rsid w:val="009F2E79"/>
    <w:rsid w:val="009F35A0"/>
    <w:rsid w:val="009F56D0"/>
    <w:rsid w:val="009F6B99"/>
    <w:rsid w:val="00A009EC"/>
    <w:rsid w:val="00A00EE4"/>
    <w:rsid w:val="00A01788"/>
    <w:rsid w:val="00A02006"/>
    <w:rsid w:val="00A0443C"/>
    <w:rsid w:val="00A0450C"/>
    <w:rsid w:val="00A06A92"/>
    <w:rsid w:val="00A07067"/>
    <w:rsid w:val="00A121D4"/>
    <w:rsid w:val="00A12562"/>
    <w:rsid w:val="00A12BF9"/>
    <w:rsid w:val="00A14135"/>
    <w:rsid w:val="00A149E8"/>
    <w:rsid w:val="00A21212"/>
    <w:rsid w:val="00A212B6"/>
    <w:rsid w:val="00A21D21"/>
    <w:rsid w:val="00A224C2"/>
    <w:rsid w:val="00A255F2"/>
    <w:rsid w:val="00A25E20"/>
    <w:rsid w:val="00A2618A"/>
    <w:rsid w:val="00A26C19"/>
    <w:rsid w:val="00A30B4F"/>
    <w:rsid w:val="00A330DC"/>
    <w:rsid w:val="00A34212"/>
    <w:rsid w:val="00A34A3A"/>
    <w:rsid w:val="00A34AC6"/>
    <w:rsid w:val="00A356D1"/>
    <w:rsid w:val="00A3594A"/>
    <w:rsid w:val="00A3668C"/>
    <w:rsid w:val="00A404A4"/>
    <w:rsid w:val="00A406EC"/>
    <w:rsid w:val="00A410EF"/>
    <w:rsid w:val="00A50FFC"/>
    <w:rsid w:val="00A511F3"/>
    <w:rsid w:val="00A6282C"/>
    <w:rsid w:val="00A656DE"/>
    <w:rsid w:val="00A65DA5"/>
    <w:rsid w:val="00A67B1B"/>
    <w:rsid w:val="00A74C9A"/>
    <w:rsid w:val="00A75B4E"/>
    <w:rsid w:val="00A808AF"/>
    <w:rsid w:val="00A81D4B"/>
    <w:rsid w:val="00A84E42"/>
    <w:rsid w:val="00A87A76"/>
    <w:rsid w:val="00A91D82"/>
    <w:rsid w:val="00A93B14"/>
    <w:rsid w:val="00A94DD3"/>
    <w:rsid w:val="00A9589A"/>
    <w:rsid w:val="00A95F9D"/>
    <w:rsid w:val="00A96F5E"/>
    <w:rsid w:val="00A97A22"/>
    <w:rsid w:val="00A97E4E"/>
    <w:rsid w:val="00AA1DDD"/>
    <w:rsid w:val="00AA3CBA"/>
    <w:rsid w:val="00AA5B1D"/>
    <w:rsid w:val="00AA5CE3"/>
    <w:rsid w:val="00AA6361"/>
    <w:rsid w:val="00AB0CA6"/>
    <w:rsid w:val="00AB3235"/>
    <w:rsid w:val="00AC0BDC"/>
    <w:rsid w:val="00AC2D89"/>
    <w:rsid w:val="00AC2E07"/>
    <w:rsid w:val="00AC4667"/>
    <w:rsid w:val="00AC613F"/>
    <w:rsid w:val="00AD1249"/>
    <w:rsid w:val="00AD6509"/>
    <w:rsid w:val="00AD78F8"/>
    <w:rsid w:val="00AE0528"/>
    <w:rsid w:val="00AE104B"/>
    <w:rsid w:val="00AE192B"/>
    <w:rsid w:val="00AE4373"/>
    <w:rsid w:val="00AE67C1"/>
    <w:rsid w:val="00AF1F14"/>
    <w:rsid w:val="00AF3827"/>
    <w:rsid w:val="00AF52A9"/>
    <w:rsid w:val="00AF5514"/>
    <w:rsid w:val="00B01F34"/>
    <w:rsid w:val="00B06226"/>
    <w:rsid w:val="00B064CB"/>
    <w:rsid w:val="00B06F86"/>
    <w:rsid w:val="00B0785B"/>
    <w:rsid w:val="00B1039B"/>
    <w:rsid w:val="00B11C58"/>
    <w:rsid w:val="00B17595"/>
    <w:rsid w:val="00B20A8B"/>
    <w:rsid w:val="00B23A8E"/>
    <w:rsid w:val="00B24311"/>
    <w:rsid w:val="00B264E9"/>
    <w:rsid w:val="00B2690A"/>
    <w:rsid w:val="00B31492"/>
    <w:rsid w:val="00B41AA9"/>
    <w:rsid w:val="00B42509"/>
    <w:rsid w:val="00B42D69"/>
    <w:rsid w:val="00B430FC"/>
    <w:rsid w:val="00B54FD5"/>
    <w:rsid w:val="00B5745A"/>
    <w:rsid w:val="00B576B4"/>
    <w:rsid w:val="00B612CC"/>
    <w:rsid w:val="00B614DA"/>
    <w:rsid w:val="00B6189C"/>
    <w:rsid w:val="00B6408C"/>
    <w:rsid w:val="00B654D6"/>
    <w:rsid w:val="00B65FF5"/>
    <w:rsid w:val="00B66EB4"/>
    <w:rsid w:val="00B70F64"/>
    <w:rsid w:val="00B723AD"/>
    <w:rsid w:val="00B728B8"/>
    <w:rsid w:val="00B749F7"/>
    <w:rsid w:val="00B770A3"/>
    <w:rsid w:val="00B800D9"/>
    <w:rsid w:val="00B8125B"/>
    <w:rsid w:val="00B82059"/>
    <w:rsid w:val="00B82EA9"/>
    <w:rsid w:val="00B835F1"/>
    <w:rsid w:val="00B83A84"/>
    <w:rsid w:val="00B83BC4"/>
    <w:rsid w:val="00B85171"/>
    <w:rsid w:val="00B85624"/>
    <w:rsid w:val="00B85A43"/>
    <w:rsid w:val="00B91DB5"/>
    <w:rsid w:val="00B94DB9"/>
    <w:rsid w:val="00B973C5"/>
    <w:rsid w:val="00B97769"/>
    <w:rsid w:val="00BA36B6"/>
    <w:rsid w:val="00BA37C3"/>
    <w:rsid w:val="00BA4922"/>
    <w:rsid w:val="00BA6309"/>
    <w:rsid w:val="00BA7DCB"/>
    <w:rsid w:val="00BB04D3"/>
    <w:rsid w:val="00BB4B10"/>
    <w:rsid w:val="00BB54F0"/>
    <w:rsid w:val="00BB5C83"/>
    <w:rsid w:val="00BB61C3"/>
    <w:rsid w:val="00BC02F4"/>
    <w:rsid w:val="00BC1069"/>
    <w:rsid w:val="00BC1426"/>
    <w:rsid w:val="00BC34DB"/>
    <w:rsid w:val="00BC4188"/>
    <w:rsid w:val="00BC643E"/>
    <w:rsid w:val="00BD1D38"/>
    <w:rsid w:val="00BD264B"/>
    <w:rsid w:val="00BD4CE4"/>
    <w:rsid w:val="00BD558D"/>
    <w:rsid w:val="00BD64D9"/>
    <w:rsid w:val="00BD6A7B"/>
    <w:rsid w:val="00BE21F8"/>
    <w:rsid w:val="00BE50CB"/>
    <w:rsid w:val="00BE7414"/>
    <w:rsid w:val="00BF0701"/>
    <w:rsid w:val="00BF3E89"/>
    <w:rsid w:val="00BF5C0E"/>
    <w:rsid w:val="00BF683A"/>
    <w:rsid w:val="00BF75FE"/>
    <w:rsid w:val="00BF76BE"/>
    <w:rsid w:val="00C03608"/>
    <w:rsid w:val="00C051DB"/>
    <w:rsid w:val="00C060A9"/>
    <w:rsid w:val="00C06554"/>
    <w:rsid w:val="00C119FB"/>
    <w:rsid w:val="00C130F3"/>
    <w:rsid w:val="00C151AE"/>
    <w:rsid w:val="00C15284"/>
    <w:rsid w:val="00C22E5D"/>
    <w:rsid w:val="00C2470B"/>
    <w:rsid w:val="00C24D62"/>
    <w:rsid w:val="00C25D09"/>
    <w:rsid w:val="00C35A8A"/>
    <w:rsid w:val="00C40D5C"/>
    <w:rsid w:val="00C42448"/>
    <w:rsid w:val="00C45078"/>
    <w:rsid w:val="00C51B98"/>
    <w:rsid w:val="00C54889"/>
    <w:rsid w:val="00C54E54"/>
    <w:rsid w:val="00C57FC0"/>
    <w:rsid w:val="00C618E2"/>
    <w:rsid w:val="00C6520B"/>
    <w:rsid w:val="00C67294"/>
    <w:rsid w:val="00C675FA"/>
    <w:rsid w:val="00C73679"/>
    <w:rsid w:val="00C770B1"/>
    <w:rsid w:val="00C80D88"/>
    <w:rsid w:val="00C85198"/>
    <w:rsid w:val="00C8559D"/>
    <w:rsid w:val="00C87BE5"/>
    <w:rsid w:val="00C90796"/>
    <w:rsid w:val="00C90D9F"/>
    <w:rsid w:val="00C91C2C"/>
    <w:rsid w:val="00C93827"/>
    <w:rsid w:val="00C941A3"/>
    <w:rsid w:val="00C94DD4"/>
    <w:rsid w:val="00C9502A"/>
    <w:rsid w:val="00CA100D"/>
    <w:rsid w:val="00CA1682"/>
    <w:rsid w:val="00CA2463"/>
    <w:rsid w:val="00CA2CF0"/>
    <w:rsid w:val="00CA3635"/>
    <w:rsid w:val="00CA55BC"/>
    <w:rsid w:val="00CA628D"/>
    <w:rsid w:val="00CA670D"/>
    <w:rsid w:val="00CA69EC"/>
    <w:rsid w:val="00CA73F9"/>
    <w:rsid w:val="00CB4B79"/>
    <w:rsid w:val="00CB5340"/>
    <w:rsid w:val="00CB6600"/>
    <w:rsid w:val="00CC03D7"/>
    <w:rsid w:val="00CC0C3E"/>
    <w:rsid w:val="00CC1963"/>
    <w:rsid w:val="00CC56C4"/>
    <w:rsid w:val="00CD103A"/>
    <w:rsid w:val="00CD1FE0"/>
    <w:rsid w:val="00CD3177"/>
    <w:rsid w:val="00CD5715"/>
    <w:rsid w:val="00CE67DC"/>
    <w:rsid w:val="00CE7188"/>
    <w:rsid w:val="00CF1516"/>
    <w:rsid w:val="00CF3073"/>
    <w:rsid w:val="00CF3F67"/>
    <w:rsid w:val="00CF4417"/>
    <w:rsid w:val="00CF557E"/>
    <w:rsid w:val="00CF6E21"/>
    <w:rsid w:val="00D004D5"/>
    <w:rsid w:val="00D03462"/>
    <w:rsid w:val="00D04234"/>
    <w:rsid w:val="00D04D76"/>
    <w:rsid w:val="00D1221F"/>
    <w:rsid w:val="00D12380"/>
    <w:rsid w:val="00D142C5"/>
    <w:rsid w:val="00D15A67"/>
    <w:rsid w:val="00D163CB"/>
    <w:rsid w:val="00D20CA4"/>
    <w:rsid w:val="00D216A1"/>
    <w:rsid w:val="00D229AD"/>
    <w:rsid w:val="00D24447"/>
    <w:rsid w:val="00D3066F"/>
    <w:rsid w:val="00D337A6"/>
    <w:rsid w:val="00D35B9D"/>
    <w:rsid w:val="00D36638"/>
    <w:rsid w:val="00D52B11"/>
    <w:rsid w:val="00D54DC6"/>
    <w:rsid w:val="00D56D04"/>
    <w:rsid w:val="00D6064F"/>
    <w:rsid w:val="00D60E53"/>
    <w:rsid w:val="00D614AE"/>
    <w:rsid w:val="00D625C3"/>
    <w:rsid w:val="00D6451B"/>
    <w:rsid w:val="00D64BC4"/>
    <w:rsid w:val="00D64D78"/>
    <w:rsid w:val="00D67CB9"/>
    <w:rsid w:val="00D72EBD"/>
    <w:rsid w:val="00D72F27"/>
    <w:rsid w:val="00D75893"/>
    <w:rsid w:val="00D75FE5"/>
    <w:rsid w:val="00D815AC"/>
    <w:rsid w:val="00D9200D"/>
    <w:rsid w:val="00D92992"/>
    <w:rsid w:val="00D9654C"/>
    <w:rsid w:val="00DA0325"/>
    <w:rsid w:val="00DA0994"/>
    <w:rsid w:val="00DA4934"/>
    <w:rsid w:val="00DA60D2"/>
    <w:rsid w:val="00DB12E2"/>
    <w:rsid w:val="00DB2C57"/>
    <w:rsid w:val="00DB47DC"/>
    <w:rsid w:val="00DB6EDD"/>
    <w:rsid w:val="00DB799A"/>
    <w:rsid w:val="00DC0C82"/>
    <w:rsid w:val="00DC1018"/>
    <w:rsid w:val="00DC5ED3"/>
    <w:rsid w:val="00DC7C9F"/>
    <w:rsid w:val="00DD108B"/>
    <w:rsid w:val="00DD2C93"/>
    <w:rsid w:val="00DD7D20"/>
    <w:rsid w:val="00DE09F5"/>
    <w:rsid w:val="00DE151F"/>
    <w:rsid w:val="00DE325A"/>
    <w:rsid w:val="00DE4096"/>
    <w:rsid w:val="00DE62E4"/>
    <w:rsid w:val="00DE76B9"/>
    <w:rsid w:val="00DE7D03"/>
    <w:rsid w:val="00DF15A2"/>
    <w:rsid w:val="00DF164D"/>
    <w:rsid w:val="00DF19B0"/>
    <w:rsid w:val="00DF3DE2"/>
    <w:rsid w:val="00DF419D"/>
    <w:rsid w:val="00DF4C79"/>
    <w:rsid w:val="00E02306"/>
    <w:rsid w:val="00E03041"/>
    <w:rsid w:val="00E07E6D"/>
    <w:rsid w:val="00E13016"/>
    <w:rsid w:val="00E1507D"/>
    <w:rsid w:val="00E15F92"/>
    <w:rsid w:val="00E178D2"/>
    <w:rsid w:val="00E17D95"/>
    <w:rsid w:val="00E2061F"/>
    <w:rsid w:val="00E2073F"/>
    <w:rsid w:val="00E24945"/>
    <w:rsid w:val="00E3034F"/>
    <w:rsid w:val="00E3320A"/>
    <w:rsid w:val="00E33585"/>
    <w:rsid w:val="00E33E1D"/>
    <w:rsid w:val="00E3407D"/>
    <w:rsid w:val="00E34084"/>
    <w:rsid w:val="00E34340"/>
    <w:rsid w:val="00E35AD6"/>
    <w:rsid w:val="00E36C61"/>
    <w:rsid w:val="00E41170"/>
    <w:rsid w:val="00E41CC4"/>
    <w:rsid w:val="00E42F11"/>
    <w:rsid w:val="00E502F6"/>
    <w:rsid w:val="00E5108D"/>
    <w:rsid w:val="00E51947"/>
    <w:rsid w:val="00E541F3"/>
    <w:rsid w:val="00E556DC"/>
    <w:rsid w:val="00E57AC4"/>
    <w:rsid w:val="00E64BE5"/>
    <w:rsid w:val="00E67421"/>
    <w:rsid w:val="00E70E74"/>
    <w:rsid w:val="00E71104"/>
    <w:rsid w:val="00E722CE"/>
    <w:rsid w:val="00E72559"/>
    <w:rsid w:val="00E72F90"/>
    <w:rsid w:val="00E74466"/>
    <w:rsid w:val="00E7457E"/>
    <w:rsid w:val="00E74E16"/>
    <w:rsid w:val="00E76E0D"/>
    <w:rsid w:val="00E77A53"/>
    <w:rsid w:val="00E85C17"/>
    <w:rsid w:val="00E910F5"/>
    <w:rsid w:val="00E9148D"/>
    <w:rsid w:val="00E914F0"/>
    <w:rsid w:val="00E9174A"/>
    <w:rsid w:val="00E93BBB"/>
    <w:rsid w:val="00E9443B"/>
    <w:rsid w:val="00E9659A"/>
    <w:rsid w:val="00E96DF8"/>
    <w:rsid w:val="00EA0C5A"/>
    <w:rsid w:val="00EA0C8D"/>
    <w:rsid w:val="00EA227D"/>
    <w:rsid w:val="00EA23EE"/>
    <w:rsid w:val="00EA4AD1"/>
    <w:rsid w:val="00EA6A4D"/>
    <w:rsid w:val="00EB03F8"/>
    <w:rsid w:val="00EB26CF"/>
    <w:rsid w:val="00EB5CEA"/>
    <w:rsid w:val="00EB72DE"/>
    <w:rsid w:val="00EC0FE0"/>
    <w:rsid w:val="00EC1BF9"/>
    <w:rsid w:val="00EC4AE6"/>
    <w:rsid w:val="00EC54F0"/>
    <w:rsid w:val="00EC5EC2"/>
    <w:rsid w:val="00EC7A2E"/>
    <w:rsid w:val="00ED1823"/>
    <w:rsid w:val="00ED263B"/>
    <w:rsid w:val="00ED2784"/>
    <w:rsid w:val="00EE1309"/>
    <w:rsid w:val="00EE3189"/>
    <w:rsid w:val="00EE3F0E"/>
    <w:rsid w:val="00EF134F"/>
    <w:rsid w:val="00EF3586"/>
    <w:rsid w:val="00EF56A8"/>
    <w:rsid w:val="00EF5B22"/>
    <w:rsid w:val="00F0012F"/>
    <w:rsid w:val="00F01AB1"/>
    <w:rsid w:val="00F050F5"/>
    <w:rsid w:val="00F05E0B"/>
    <w:rsid w:val="00F06DED"/>
    <w:rsid w:val="00F073E9"/>
    <w:rsid w:val="00F10DD8"/>
    <w:rsid w:val="00F118E3"/>
    <w:rsid w:val="00F12A78"/>
    <w:rsid w:val="00F153DA"/>
    <w:rsid w:val="00F17A3D"/>
    <w:rsid w:val="00F17F8B"/>
    <w:rsid w:val="00F20C10"/>
    <w:rsid w:val="00F22A72"/>
    <w:rsid w:val="00F23EA3"/>
    <w:rsid w:val="00F31AD6"/>
    <w:rsid w:val="00F33E4D"/>
    <w:rsid w:val="00F35B9A"/>
    <w:rsid w:val="00F374DB"/>
    <w:rsid w:val="00F40054"/>
    <w:rsid w:val="00F43859"/>
    <w:rsid w:val="00F469E6"/>
    <w:rsid w:val="00F47D82"/>
    <w:rsid w:val="00F542B9"/>
    <w:rsid w:val="00F563BA"/>
    <w:rsid w:val="00F56E5D"/>
    <w:rsid w:val="00F65C7C"/>
    <w:rsid w:val="00F65C81"/>
    <w:rsid w:val="00F67715"/>
    <w:rsid w:val="00F709F6"/>
    <w:rsid w:val="00F70ABB"/>
    <w:rsid w:val="00F739B9"/>
    <w:rsid w:val="00F76960"/>
    <w:rsid w:val="00F76976"/>
    <w:rsid w:val="00F77ED4"/>
    <w:rsid w:val="00F84750"/>
    <w:rsid w:val="00F8552E"/>
    <w:rsid w:val="00F87E24"/>
    <w:rsid w:val="00F90287"/>
    <w:rsid w:val="00F9135B"/>
    <w:rsid w:val="00F93E3D"/>
    <w:rsid w:val="00F94C18"/>
    <w:rsid w:val="00FA0738"/>
    <w:rsid w:val="00FA2D76"/>
    <w:rsid w:val="00FA3305"/>
    <w:rsid w:val="00FA5B2F"/>
    <w:rsid w:val="00FA7D6A"/>
    <w:rsid w:val="00FB2D34"/>
    <w:rsid w:val="00FB2E01"/>
    <w:rsid w:val="00FB3613"/>
    <w:rsid w:val="00FB7ABE"/>
    <w:rsid w:val="00FC0286"/>
    <w:rsid w:val="00FC17EA"/>
    <w:rsid w:val="00FC2153"/>
    <w:rsid w:val="00FC480A"/>
    <w:rsid w:val="00FC51F3"/>
    <w:rsid w:val="00FC5A8E"/>
    <w:rsid w:val="00FC67A6"/>
    <w:rsid w:val="00FC79B1"/>
    <w:rsid w:val="00FD09CC"/>
    <w:rsid w:val="00FD16FA"/>
    <w:rsid w:val="00FD175A"/>
    <w:rsid w:val="00FD3692"/>
    <w:rsid w:val="00FD383A"/>
    <w:rsid w:val="00FD41D7"/>
    <w:rsid w:val="00FD5A69"/>
    <w:rsid w:val="00FE24A5"/>
    <w:rsid w:val="00FE34F9"/>
    <w:rsid w:val="00FE39C0"/>
    <w:rsid w:val="00FE4D97"/>
    <w:rsid w:val="00FE6670"/>
    <w:rsid w:val="00FE6AE6"/>
    <w:rsid w:val="00FF04C7"/>
    <w:rsid w:val="00FF0A11"/>
    <w:rsid w:val="00FF4526"/>
    <w:rsid w:val="00FF502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3B72A5D3"/>
  <w15:docId w15:val="{C874C818-1A2C-4666-A9C7-A608EAF9E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imes New Roman" w:hAnsi="Arial" w:cs="Times New Roman"/>
        <w:lang w:val="da-DK" w:eastAsia="da-DK" w:bidi="ar-SA"/>
      </w:rPr>
    </w:rPrDefault>
    <w:pPrDefault>
      <w:pPr>
        <w:spacing w:line="280" w:lineRule="atLeast"/>
      </w:pPr>
    </w:pPrDefault>
  </w:docDefaults>
  <w:latentStyles w:defLockedState="0" w:defUIPriority="99" w:defSemiHidden="0" w:defUnhideWhenUsed="0" w:defQFormat="0" w:count="371">
    <w:lsdException w:name="Normal" w:uiPriority="0" w:qFormat="1"/>
    <w:lsdException w:name="heading 1" w:uiPriority="1" w:qFormat="1"/>
    <w:lsdException w:name="heading 2" w:uiPriority="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9" w:unhideWhenUsed="1"/>
    <w:lsdException w:name="toc 8" w:semiHidden="1" w:uiPriority="0" w:unhideWhenUsed="1"/>
    <w:lsdException w:name="toc 9" w:semiHidden="1" w:uiPriority="9" w:unhideWhenUsed="1"/>
    <w:lsdException w:name="Normal Indent" w:semiHidden="1" w:uiPriority="0" w:unhideWhenUsed="1"/>
    <w:lsdException w:name="footnote text" w:semiHidden="1" w:uiPriority="4" w:unhideWhenUsed="1"/>
    <w:lsdException w:name="annotation text" w:semiHidden="1" w:unhideWhenUsed="1"/>
    <w:lsdException w:name="header" w:semiHidden="1" w:uiPriority="4" w:unhideWhenUsed="1"/>
    <w:lsdException w:name="footer" w:semiHidden="1" w:uiPriority="4" w:unhideWhenUsed="1"/>
    <w:lsdException w:name="index heading" w:semiHidden="1" w:unhideWhenUsed="1"/>
    <w:lsdException w:name="caption" w:semiHidden="1" w:uiPriority="4"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4" w:unhideWhenUsed="1"/>
    <w:lsdException w:name="annotation reference" w:semiHidden="1" w:unhideWhenUsed="1"/>
    <w:lsdException w:name="line number" w:semiHidden="1" w:uiPriority="0" w:unhideWhenUsed="1"/>
    <w:lsdException w:name="page number" w:semiHidden="1" w:uiPriority="4" w:unhideWhenUsed="1"/>
    <w:lsdException w:name="endnote reference" w:semiHidden="1" w:uiPriority="4" w:unhideWhenUsed="1"/>
    <w:lsdException w:name="endnote text" w:semiHidden="1" w:uiPriority="4" w:unhideWhenUsed="1"/>
    <w:lsdException w:name="table of authorities" w:semiHidden="1" w:unhideWhenUsed="1"/>
    <w:lsdException w:name="macro" w:semiHidden="1"/>
    <w:lsdException w:name="toa heading" w:semiHidden="1" w:uiPriority="9" w:unhideWhenUsed="1"/>
    <w:lsdException w:name="List" w:semiHidden="1" w:uiPriority="0" w:unhideWhenUsed="1"/>
    <w:lsdException w:name="List Bullet" w:uiPriority="2" w:qFormat="1"/>
    <w:lsdException w:name="List Number" w:uiPriority="2" w:qFormat="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uiPriority="0"/>
    <w:lsdException w:name="List Continue 4" w:uiPriority="0"/>
    <w:lsdException w:name="List Continue 5" w:uiPriority="0"/>
    <w:lsdException w:name="Message Header" w:uiPriority="0"/>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2" w:unhideWhenUsed="1"/>
    <w:lsdException w:name="FollowedHyperlink" w:semiHidden="1" w:uiPriority="4" w:unhideWhenUsed="1"/>
    <w:lsdException w:name="Strong" w:uiPriority="0" w:qFormat="1"/>
    <w:lsdException w:name="Emphasis" w:uiPriority="0"/>
    <w:lsdException w:name="Document Map" w:semiHidden="1" w:unhideWhenUsed="1"/>
    <w:lsdException w:name="Plain Text" w:semiHidden="1" w:uiPriority="0" w:unhideWhenUsed="1"/>
    <w:lsdException w:name="E-mail Signature" w:semiHidden="1" w:uiPriority="0" w:unhideWhenUsed="1"/>
    <w:lsdException w:name="HTML Top of Form" w:semiHidden="1" w:uiPriority="0" w:unhideWhenUsed="1"/>
    <w:lsdException w:name="HTML Bottom of Form" w:semiHidden="1" w:uiPriority="0" w:unhideWhenUsed="1"/>
    <w:lsdException w:name="Normal (Web)" w:semiHidden="1" w:uiPriority="0" w:unhideWhenUsed="1"/>
    <w:lsdException w:name="HTML Acronym" w:semiHidden="1" w:uiPriority="0"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6"/>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lsdException w:name="TOC Heading" w:semiHidden="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51F"/>
    <w:pPr>
      <w:spacing w:after="120" w:line="360" w:lineRule="auto"/>
    </w:pPr>
    <w:rPr>
      <w:sz w:val="18"/>
      <w:lang w:val="en-GB"/>
    </w:rPr>
  </w:style>
  <w:style w:type="paragraph" w:styleId="Heading1">
    <w:name w:val="heading 1"/>
    <w:basedOn w:val="Normal"/>
    <w:next w:val="Normal"/>
    <w:link w:val="Heading1Char"/>
    <w:uiPriority w:val="1"/>
    <w:qFormat/>
    <w:rsid w:val="00563DD8"/>
    <w:pPr>
      <w:keepNext/>
      <w:numPr>
        <w:numId w:val="15"/>
      </w:numPr>
      <w:spacing w:before="360" w:line="400" w:lineRule="atLeast"/>
      <w:outlineLvl w:val="0"/>
    </w:pPr>
    <w:rPr>
      <w:rFonts w:ascii="Neo Sans Std" w:hAnsi="Neo Sans Std" w:cs="Arial"/>
      <w:bCs/>
      <w:sz w:val="24"/>
      <w:szCs w:val="32"/>
    </w:rPr>
  </w:style>
  <w:style w:type="paragraph" w:styleId="Heading2">
    <w:name w:val="heading 2"/>
    <w:basedOn w:val="Normal"/>
    <w:next w:val="Normal"/>
    <w:link w:val="Heading2Char"/>
    <w:uiPriority w:val="1"/>
    <w:qFormat/>
    <w:rsid w:val="009D02AB"/>
    <w:pPr>
      <w:keepNext/>
      <w:numPr>
        <w:ilvl w:val="1"/>
        <w:numId w:val="15"/>
      </w:numPr>
      <w:spacing w:before="120"/>
      <w:outlineLvl w:val="1"/>
    </w:pPr>
    <w:rPr>
      <w:rFonts w:ascii="Neo Sans Std" w:hAnsi="Neo Sans Std" w:cs="Arial"/>
      <w:bCs/>
      <w:iCs/>
      <w:color w:val="000000" w:themeColor="text1"/>
      <w:sz w:val="20"/>
      <w:szCs w:val="28"/>
    </w:rPr>
  </w:style>
  <w:style w:type="paragraph" w:styleId="Heading3">
    <w:name w:val="heading 3"/>
    <w:basedOn w:val="Normal"/>
    <w:next w:val="Normal"/>
    <w:link w:val="Heading3Char"/>
    <w:uiPriority w:val="1"/>
    <w:qFormat/>
    <w:rsid w:val="00A02006"/>
    <w:pPr>
      <w:keepNext/>
      <w:numPr>
        <w:ilvl w:val="2"/>
        <w:numId w:val="15"/>
      </w:numPr>
      <w:outlineLvl w:val="2"/>
    </w:pPr>
    <w:rPr>
      <w:rFonts w:ascii="Neo Sans Std" w:hAnsi="Neo Sans Std" w:cs="Arial"/>
      <w:bCs/>
      <w:iCs/>
      <w:color w:val="000000" w:themeColor="text1"/>
      <w:sz w:val="20"/>
      <w:szCs w:val="28"/>
    </w:rPr>
  </w:style>
  <w:style w:type="paragraph" w:styleId="Heading4">
    <w:name w:val="heading 4"/>
    <w:basedOn w:val="Normal"/>
    <w:next w:val="Normal"/>
    <w:link w:val="Heading4Char"/>
    <w:uiPriority w:val="1"/>
    <w:qFormat/>
    <w:rsid w:val="00F739B9"/>
    <w:pPr>
      <w:spacing w:before="120"/>
      <w:outlineLvl w:val="3"/>
    </w:pPr>
    <w:rPr>
      <w:rFonts w:ascii="Neo Sans Std" w:hAnsi="Neo Sans Std"/>
      <w:b/>
      <w:szCs w:val="24"/>
    </w:rPr>
  </w:style>
  <w:style w:type="paragraph" w:styleId="Heading5">
    <w:name w:val="heading 5"/>
    <w:basedOn w:val="Normal"/>
    <w:next w:val="Normal"/>
    <w:link w:val="Heading5Char"/>
    <w:uiPriority w:val="1"/>
    <w:semiHidden/>
    <w:qFormat/>
    <w:rsid w:val="00251FF6"/>
    <w:pPr>
      <w:numPr>
        <w:ilvl w:val="4"/>
        <w:numId w:val="15"/>
      </w:numPr>
      <w:outlineLvl w:val="4"/>
    </w:pPr>
    <w:rPr>
      <w:b/>
      <w:szCs w:val="24"/>
    </w:rPr>
  </w:style>
  <w:style w:type="paragraph" w:styleId="Heading6">
    <w:name w:val="heading 6"/>
    <w:basedOn w:val="Normal"/>
    <w:next w:val="Normal"/>
    <w:link w:val="Heading6Char"/>
    <w:uiPriority w:val="1"/>
    <w:semiHidden/>
    <w:qFormat/>
    <w:rsid w:val="00251FF6"/>
    <w:pPr>
      <w:numPr>
        <w:ilvl w:val="5"/>
        <w:numId w:val="15"/>
      </w:numPr>
      <w:outlineLvl w:val="5"/>
    </w:pPr>
    <w:rPr>
      <w:b/>
      <w:szCs w:val="24"/>
    </w:rPr>
  </w:style>
  <w:style w:type="paragraph" w:styleId="Heading7">
    <w:name w:val="heading 7"/>
    <w:basedOn w:val="Normal"/>
    <w:next w:val="Normal"/>
    <w:link w:val="Heading7Char"/>
    <w:uiPriority w:val="1"/>
    <w:semiHidden/>
    <w:qFormat/>
    <w:rsid w:val="00251FF6"/>
    <w:pPr>
      <w:numPr>
        <w:ilvl w:val="6"/>
        <w:numId w:val="15"/>
      </w:numPr>
      <w:outlineLvl w:val="6"/>
    </w:pPr>
    <w:rPr>
      <w:b/>
      <w:szCs w:val="24"/>
    </w:rPr>
  </w:style>
  <w:style w:type="paragraph" w:styleId="Heading8">
    <w:name w:val="heading 8"/>
    <w:basedOn w:val="Normal"/>
    <w:next w:val="Normal"/>
    <w:link w:val="Heading8Char"/>
    <w:uiPriority w:val="1"/>
    <w:semiHidden/>
    <w:qFormat/>
    <w:rsid w:val="00251FF6"/>
    <w:pPr>
      <w:numPr>
        <w:ilvl w:val="7"/>
        <w:numId w:val="15"/>
      </w:numPr>
      <w:outlineLvl w:val="7"/>
    </w:pPr>
    <w:rPr>
      <w:b/>
      <w:szCs w:val="24"/>
    </w:rPr>
  </w:style>
  <w:style w:type="paragraph" w:styleId="Heading9">
    <w:name w:val="heading 9"/>
    <w:basedOn w:val="Normal"/>
    <w:next w:val="Normal"/>
    <w:link w:val="Heading9Char"/>
    <w:uiPriority w:val="1"/>
    <w:semiHidden/>
    <w:qFormat/>
    <w:rsid w:val="00251FF6"/>
    <w:pPr>
      <w:numPr>
        <w:ilvl w:val="8"/>
        <w:numId w:val="15"/>
      </w:numPr>
      <w:outlineLvl w:val="8"/>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rsid w:val="00A3668C"/>
    <w:rPr>
      <w:rFonts w:ascii="Times New Roman" w:hAnsi="Times New Roman"/>
      <w:color w:val="auto"/>
      <w:u w:val="none"/>
      <w:lang w:val="en-GB"/>
    </w:rPr>
  </w:style>
  <w:style w:type="character" w:styleId="FollowedHyperlink">
    <w:name w:val="FollowedHyperlink"/>
    <w:basedOn w:val="DefaultParagraphFont"/>
    <w:uiPriority w:val="10"/>
    <w:semiHidden/>
    <w:rsid w:val="00A3668C"/>
    <w:rPr>
      <w:rFonts w:ascii="Verdana" w:hAnsi="Verdana"/>
      <w:color w:val="auto"/>
      <w:u w:val="none"/>
      <w:lang w:val="en-GB"/>
    </w:rPr>
  </w:style>
  <w:style w:type="paragraph" w:styleId="Header">
    <w:name w:val="header"/>
    <w:basedOn w:val="Normal"/>
    <w:link w:val="HeaderChar"/>
    <w:uiPriority w:val="99"/>
    <w:semiHidden/>
    <w:rsid w:val="00A3668C"/>
    <w:pPr>
      <w:tabs>
        <w:tab w:val="center" w:pos="4819"/>
        <w:tab w:val="right" w:pos="9638"/>
      </w:tabs>
    </w:pPr>
  </w:style>
  <w:style w:type="paragraph" w:styleId="Footer">
    <w:name w:val="footer"/>
    <w:basedOn w:val="Normal"/>
    <w:link w:val="FooterChar"/>
    <w:uiPriority w:val="10"/>
    <w:semiHidden/>
    <w:rsid w:val="00A3668C"/>
    <w:pPr>
      <w:tabs>
        <w:tab w:val="center" w:pos="4819"/>
        <w:tab w:val="right" w:pos="9638"/>
      </w:tabs>
    </w:pPr>
    <w:rPr>
      <w:sz w:val="16"/>
    </w:rPr>
  </w:style>
  <w:style w:type="table" w:styleId="TableGrid">
    <w:name w:val="Table Grid"/>
    <w:basedOn w:val="TableNormal"/>
    <w:uiPriority w:val="99"/>
    <w:semiHidden/>
    <w:rsid w:val="00A3668C"/>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uiPriority w:val="8"/>
    <w:semiHidden/>
    <w:rsid w:val="00A3668C"/>
    <w:pPr>
      <w:spacing w:line="240" w:lineRule="atLeast"/>
    </w:pPr>
    <w:rPr>
      <w:noProof/>
      <w:sz w:val="16"/>
      <w:szCs w:val="24"/>
      <w:lang w:val="en-GB"/>
    </w:rPr>
  </w:style>
  <w:style w:type="paragraph" w:customStyle="1" w:styleId="Template-Adresse">
    <w:name w:val="Template - Adresse"/>
    <w:basedOn w:val="Template"/>
    <w:uiPriority w:val="8"/>
    <w:semiHidden/>
    <w:rsid w:val="00A3668C"/>
    <w:pPr>
      <w:tabs>
        <w:tab w:val="left" w:pos="397"/>
      </w:tabs>
    </w:pPr>
  </w:style>
  <w:style w:type="paragraph" w:customStyle="1" w:styleId="Template-Afdeling">
    <w:name w:val="Template - Afdeling"/>
    <w:basedOn w:val="Template"/>
    <w:uiPriority w:val="8"/>
    <w:semiHidden/>
    <w:rsid w:val="00A3668C"/>
    <w:rPr>
      <w:b/>
    </w:rPr>
  </w:style>
  <w:style w:type="paragraph" w:customStyle="1" w:styleId="Template-CVR">
    <w:name w:val="Template - CVR"/>
    <w:basedOn w:val="Template"/>
    <w:uiPriority w:val="8"/>
    <w:semiHidden/>
    <w:rsid w:val="00A3668C"/>
    <w:rPr>
      <w:color w:val="707173"/>
      <w:sz w:val="12"/>
    </w:rPr>
  </w:style>
  <w:style w:type="paragraph" w:styleId="TOC7">
    <w:name w:val="toc 7"/>
    <w:basedOn w:val="Normal"/>
    <w:next w:val="Normal"/>
    <w:uiPriority w:val="9"/>
    <w:semiHidden/>
    <w:rsid w:val="00D6451B"/>
    <w:pPr>
      <w:spacing w:after="100"/>
      <w:ind w:left="1202" w:right="567"/>
    </w:pPr>
  </w:style>
  <w:style w:type="paragraph" w:styleId="Caption">
    <w:name w:val="caption"/>
    <w:basedOn w:val="Normal"/>
    <w:next w:val="Normal"/>
    <w:uiPriority w:val="4"/>
    <w:rsid w:val="00FF5020"/>
    <w:rPr>
      <w:b/>
      <w:bCs/>
      <w:color w:val="FFFFFF" w:themeColor="background1"/>
    </w:rPr>
  </w:style>
  <w:style w:type="character" w:styleId="EndnoteReference">
    <w:name w:val="endnote reference"/>
    <w:basedOn w:val="DefaultParagraphFont"/>
    <w:uiPriority w:val="10"/>
    <w:rsid w:val="00D6451B"/>
    <w:rPr>
      <w:vertAlign w:val="superscript"/>
      <w:lang w:val="en-GB"/>
    </w:rPr>
  </w:style>
  <w:style w:type="paragraph" w:styleId="EndnoteText">
    <w:name w:val="endnote text"/>
    <w:basedOn w:val="Normal"/>
    <w:link w:val="EndnoteTextChar"/>
    <w:uiPriority w:val="10"/>
    <w:rsid w:val="00A3668C"/>
    <w:pPr>
      <w:spacing w:line="240" w:lineRule="atLeast"/>
    </w:pPr>
    <w:rPr>
      <w:sz w:val="16"/>
    </w:rPr>
  </w:style>
  <w:style w:type="character" w:styleId="FootnoteReference">
    <w:name w:val="footnote reference"/>
    <w:basedOn w:val="DefaultParagraphFont"/>
    <w:uiPriority w:val="10"/>
    <w:rsid w:val="00D6451B"/>
    <w:rPr>
      <w:vertAlign w:val="superscript"/>
      <w:lang w:val="en-GB"/>
    </w:rPr>
  </w:style>
  <w:style w:type="paragraph" w:styleId="FootnoteText">
    <w:name w:val="footnote text"/>
    <w:basedOn w:val="Normal"/>
    <w:link w:val="FootnoteTextChar"/>
    <w:uiPriority w:val="10"/>
    <w:rsid w:val="00A3668C"/>
    <w:pPr>
      <w:spacing w:line="240" w:lineRule="atLeast"/>
    </w:pPr>
    <w:rPr>
      <w:sz w:val="16"/>
    </w:rPr>
  </w:style>
  <w:style w:type="character" w:styleId="PageNumber">
    <w:name w:val="page number"/>
    <w:basedOn w:val="DefaultParagraphFont"/>
    <w:uiPriority w:val="99"/>
    <w:semiHidden/>
    <w:rsid w:val="00A3668C"/>
    <w:rPr>
      <w:rFonts w:ascii="Arial" w:hAnsi="Arial"/>
      <w:lang w:val="en-GB"/>
    </w:rPr>
  </w:style>
  <w:style w:type="paragraph" w:customStyle="1" w:styleId="Default">
    <w:name w:val="Default"/>
    <w:uiPriority w:val="10"/>
    <w:semiHidden/>
    <w:rsid w:val="00A3668C"/>
    <w:pPr>
      <w:autoSpaceDE w:val="0"/>
      <w:autoSpaceDN w:val="0"/>
      <w:adjustRightInd w:val="0"/>
    </w:pPr>
    <w:rPr>
      <w:rFonts w:cs="Arial"/>
      <w:color w:val="000000"/>
      <w:sz w:val="24"/>
      <w:szCs w:val="24"/>
      <w:lang w:val="en-GB"/>
    </w:rPr>
  </w:style>
  <w:style w:type="paragraph" w:customStyle="1" w:styleId="Template-Doknavn">
    <w:name w:val="Template - Dok navn"/>
    <w:basedOn w:val="Template"/>
    <w:uiPriority w:val="8"/>
    <w:semiHidden/>
    <w:rsid w:val="00A3668C"/>
    <w:pPr>
      <w:spacing w:line="280" w:lineRule="atLeast"/>
    </w:pPr>
    <w:rPr>
      <w:b/>
      <w:caps/>
      <w:sz w:val="28"/>
    </w:rPr>
  </w:style>
  <w:style w:type="paragraph" w:styleId="TOC9">
    <w:name w:val="toc 9"/>
    <w:basedOn w:val="Normal"/>
    <w:next w:val="Normal"/>
    <w:uiPriority w:val="9"/>
    <w:semiHidden/>
    <w:rsid w:val="00D6451B"/>
    <w:pPr>
      <w:spacing w:after="100"/>
      <w:ind w:left="1588" w:right="567"/>
    </w:pPr>
  </w:style>
  <w:style w:type="paragraph" w:styleId="TOAHeading">
    <w:name w:val="toa heading"/>
    <w:basedOn w:val="Normal"/>
    <w:next w:val="Normal"/>
    <w:uiPriority w:val="9"/>
    <w:semiHidden/>
    <w:rsid w:val="007A73E8"/>
    <w:pPr>
      <w:spacing w:after="500" w:line="400" w:lineRule="atLeast"/>
    </w:pPr>
    <w:rPr>
      <w:rFonts w:ascii="Neo Sans Std" w:eastAsiaTheme="majorEastAsia" w:hAnsi="Neo Sans Std" w:cstheme="majorBidi"/>
      <w:bCs/>
      <w:color w:val="3366CC"/>
      <w:sz w:val="36"/>
      <w:szCs w:val="24"/>
    </w:rPr>
  </w:style>
  <w:style w:type="paragraph" w:customStyle="1" w:styleId="Taktil-Navn">
    <w:name w:val="Tak til - Navn"/>
    <w:basedOn w:val="Normal"/>
    <w:next w:val="Normal"/>
    <w:uiPriority w:val="5"/>
    <w:rsid w:val="007A73E8"/>
    <w:rPr>
      <w:rFonts w:ascii="Neo Sans Std" w:hAnsi="Neo Sans Std"/>
    </w:rPr>
  </w:style>
  <w:style w:type="paragraph" w:customStyle="1" w:styleId="Template-FortroligtInternt">
    <w:name w:val="Template - Fortroligt/Internt"/>
    <w:basedOn w:val="Template"/>
    <w:uiPriority w:val="8"/>
    <w:semiHidden/>
    <w:rsid w:val="00A3668C"/>
    <w:rPr>
      <w:b/>
      <w:caps/>
      <w:sz w:val="28"/>
    </w:rPr>
  </w:style>
  <w:style w:type="paragraph" w:customStyle="1" w:styleId="ForsideOverskrift1">
    <w:name w:val="Forside Overskrift 1"/>
    <w:basedOn w:val="Normal"/>
    <w:uiPriority w:val="2"/>
    <w:semiHidden/>
    <w:rsid w:val="00BF683A"/>
    <w:pPr>
      <w:spacing w:line="600" w:lineRule="atLeast"/>
    </w:pPr>
    <w:rPr>
      <w:rFonts w:ascii="Neo Sans Std Black" w:hAnsi="Neo Sans Std Black"/>
      <w:sz w:val="48"/>
    </w:rPr>
  </w:style>
  <w:style w:type="paragraph" w:customStyle="1" w:styleId="Forfatter">
    <w:name w:val="Forfatter"/>
    <w:basedOn w:val="Normal"/>
    <w:uiPriority w:val="5"/>
    <w:semiHidden/>
    <w:rsid w:val="00870040"/>
    <w:pPr>
      <w:spacing w:after="280"/>
    </w:pPr>
  </w:style>
  <w:style w:type="paragraph" w:customStyle="1" w:styleId="Forsideoverskrift2">
    <w:name w:val="Forside overskrift 2"/>
    <w:basedOn w:val="ForsideOverskrift1"/>
    <w:uiPriority w:val="2"/>
    <w:semiHidden/>
    <w:rsid w:val="00CF557E"/>
    <w:pPr>
      <w:spacing w:line="440" w:lineRule="atLeast"/>
    </w:pPr>
    <w:rPr>
      <w:rFonts w:ascii="Arial" w:hAnsi="Arial"/>
      <w:sz w:val="36"/>
    </w:rPr>
  </w:style>
  <w:style w:type="paragraph" w:customStyle="1" w:styleId="R">
    <w:name w:val="ÅR"/>
    <w:basedOn w:val="Normal"/>
    <w:link w:val="RChar"/>
    <w:uiPriority w:val="5"/>
    <w:semiHidden/>
    <w:rsid w:val="00CF557E"/>
  </w:style>
  <w:style w:type="character" w:customStyle="1" w:styleId="RChar">
    <w:name w:val="ÅR Char"/>
    <w:basedOn w:val="DefaultParagraphFont"/>
    <w:link w:val="R"/>
    <w:uiPriority w:val="5"/>
    <w:semiHidden/>
    <w:rsid w:val="00FE34F9"/>
    <w:rPr>
      <w:lang w:val="en-GB"/>
    </w:rPr>
  </w:style>
  <w:style w:type="paragraph" w:customStyle="1" w:styleId="Template-reftiltitel">
    <w:name w:val="Template - ref til titel"/>
    <w:basedOn w:val="Template"/>
    <w:uiPriority w:val="8"/>
    <w:semiHidden/>
    <w:rsid w:val="00CF557E"/>
    <w:rPr>
      <w:rFonts w:ascii="Neo Sans Std" w:hAnsi="Neo Sans Std"/>
      <w:b/>
      <w:sz w:val="20"/>
    </w:rPr>
  </w:style>
  <w:style w:type="paragraph" w:customStyle="1" w:styleId="Template-Forord">
    <w:name w:val="Template - Forord"/>
    <w:basedOn w:val="Template"/>
    <w:next w:val="Normal"/>
    <w:uiPriority w:val="8"/>
    <w:semiHidden/>
    <w:rsid w:val="00CA2CF0"/>
    <w:pPr>
      <w:spacing w:after="500" w:line="400" w:lineRule="atLeast"/>
    </w:pPr>
    <w:rPr>
      <w:rFonts w:ascii="Neo Sans Std" w:hAnsi="Neo Sans Std"/>
      <w:color w:val="3366CC"/>
      <w:sz w:val="36"/>
    </w:rPr>
  </w:style>
  <w:style w:type="paragraph" w:styleId="TOC1">
    <w:name w:val="toc 1"/>
    <w:basedOn w:val="Normal"/>
    <w:next w:val="Normal"/>
    <w:uiPriority w:val="39"/>
    <w:rsid w:val="00AB3235"/>
    <w:pPr>
      <w:tabs>
        <w:tab w:val="left" w:pos="567"/>
        <w:tab w:val="right" w:leader="dot" w:pos="8505"/>
      </w:tabs>
      <w:spacing w:before="280"/>
      <w:ind w:left="567" w:right="567" w:hanging="567"/>
    </w:pPr>
    <w:rPr>
      <w:rFonts w:ascii="Neo Sans Std" w:hAnsi="Neo Sans Std"/>
      <w:color w:val="3366CC"/>
    </w:rPr>
  </w:style>
  <w:style w:type="paragraph" w:styleId="TOC2">
    <w:name w:val="toc 2"/>
    <w:basedOn w:val="Normal"/>
    <w:next w:val="Normal"/>
    <w:uiPriority w:val="9"/>
    <w:semiHidden/>
    <w:rsid w:val="00FD383A"/>
    <w:pPr>
      <w:tabs>
        <w:tab w:val="left" w:pos="567"/>
        <w:tab w:val="right" w:leader="dot" w:pos="8505"/>
      </w:tabs>
      <w:ind w:right="567"/>
    </w:pPr>
  </w:style>
  <w:style w:type="paragraph" w:styleId="TOC3">
    <w:name w:val="toc 3"/>
    <w:basedOn w:val="Normal"/>
    <w:next w:val="Normal"/>
    <w:uiPriority w:val="9"/>
    <w:semiHidden/>
    <w:rsid w:val="005B12F8"/>
    <w:pPr>
      <w:tabs>
        <w:tab w:val="right" w:leader="dot" w:pos="8505"/>
      </w:tabs>
      <w:ind w:right="567"/>
    </w:pPr>
    <w:rPr>
      <w:rFonts w:ascii="Neo Sans Std" w:hAnsi="Neo Sans Std"/>
      <w:color w:val="3366CC"/>
    </w:rPr>
  </w:style>
  <w:style w:type="numbering" w:styleId="111111">
    <w:name w:val="Outline List 2"/>
    <w:basedOn w:val="NoList"/>
    <w:uiPriority w:val="99"/>
    <w:semiHidden/>
    <w:rsid w:val="00CD5715"/>
    <w:pPr>
      <w:numPr>
        <w:numId w:val="3"/>
      </w:numPr>
    </w:pPr>
  </w:style>
  <w:style w:type="numbering" w:styleId="1ai">
    <w:name w:val="Outline List 1"/>
    <w:basedOn w:val="NoList"/>
    <w:uiPriority w:val="99"/>
    <w:semiHidden/>
    <w:rsid w:val="00CD5715"/>
    <w:pPr>
      <w:numPr>
        <w:numId w:val="4"/>
      </w:numPr>
    </w:pPr>
  </w:style>
  <w:style w:type="numbering" w:styleId="ArticleSection">
    <w:name w:val="Outline List 3"/>
    <w:basedOn w:val="NoList"/>
    <w:uiPriority w:val="99"/>
    <w:semiHidden/>
    <w:unhideWhenUsed/>
    <w:rsid w:val="00A3668C"/>
    <w:pPr>
      <w:numPr>
        <w:numId w:val="5"/>
      </w:numPr>
    </w:pPr>
  </w:style>
  <w:style w:type="paragraph" w:styleId="BlockText">
    <w:name w:val="Block Text"/>
    <w:basedOn w:val="Normal"/>
    <w:uiPriority w:val="99"/>
    <w:semiHidden/>
    <w:rsid w:val="00CD5715"/>
    <w:pPr>
      <w:ind w:left="1440" w:right="1440"/>
    </w:pPr>
  </w:style>
  <w:style w:type="paragraph" w:styleId="BodyText">
    <w:name w:val="Body Text"/>
    <w:basedOn w:val="Normal"/>
    <w:uiPriority w:val="99"/>
    <w:semiHidden/>
    <w:rsid w:val="00CD5715"/>
  </w:style>
  <w:style w:type="paragraph" w:styleId="BodyText2">
    <w:name w:val="Body Text 2"/>
    <w:basedOn w:val="Normal"/>
    <w:uiPriority w:val="99"/>
    <w:semiHidden/>
    <w:rsid w:val="00CD5715"/>
    <w:pPr>
      <w:spacing w:line="480" w:lineRule="auto"/>
    </w:pPr>
  </w:style>
  <w:style w:type="paragraph" w:styleId="BodyText3">
    <w:name w:val="Body Text 3"/>
    <w:basedOn w:val="Normal"/>
    <w:uiPriority w:val="99"/>
    <w:semiHidden/>
    <w:rsid w:val="00CD5715"/>
    <w:rPr>
      <w:sz w:val="16"/>
      <w:szCs w:val="16"/>
    </w:rPr>
  </w:style>
  <w:style w:type="paragraph" w:styleId="BodyTextFirstIndent">
    <w:name w:val="Body Text First Indent"/>
    <w:basedOn w:val="BodyText"/>
    <w:uiPriority w:val="99"/>
    <w:semiHidden/>
    <w:rsid w:val="00CD5715"/>
    <w:pPr>
      <w:ind w:firstLine="210"/>
    </w:pPr>
  </w:style>
  <w:style w:type="paragraph" w:styleId="BodyTextIndent">
    <w:name w:val="Body Text Indent"/>
    <w:basedOn w:val="Normal"/>
    <w:uiPriority w:val="99"/>
    <w:semiHidden/>
    <w:rsid w:val="00CD5715"/>
    <w:pPr>
      <w:ind w:left="283"/>
    </w:pPr>
  </w:style>
  <w:style w:type="paragraph" w:styleId="BodyTextFirstIndent2">
    <w:name w:val="Body Text First Indent 2"/>
    <w:basedOn w:val="BodyTextIndent"/>
    <w:uiPriority w:val="99"/>
    <w:semiHidden/>
    <w:rsid w:val="00CD5715"/>
    <w:pPr>
      <w:ind w:firstLine="210"/>
    </w:pPr>
  </w:style>
  <w:style w:type="paragraph" w:styleId="BodyTextIndent2">
    <w:name w:val="Body Text Indent 2"/>
    <w:basedOn w:val="Normal"/>
    <w:uiPriority w:val="99"/>
    <w:semiHidden/>
    <w:rsid w:val="00CD5715"/>
    <w:pPr>
      <w:spacing w:line="480" w:lineRule="auto"/>
      <w:ind w:left="283"/>
    </w:pPr>
  </w:style>
  <w:style w:type="paragraph" w:styleId="BodyTextIndent3">
    <w:name w:val="Body Text Indent 3"/>
    <w:basedOn w:val="Normal"/>
    <w:uiPriority w:val="99"/>
    <w:semiHidden/>
    <w:rsid w:val="00CD5715"/>
    <w:pPr>
      <w:ind w:left="283"/>
    </w:pPr>
    <w:rPr>
      <w:sz w:val="16"/>
      <w:szCs w:val="16"/>
    </w:rPr>
  </w:style>
  <w:style w:type="paragraph" w:styleId="Closing">
    <w:name w:val="Closing"/>
    <w:basedOn w:val="Normal"/>
    <w:uiPriority w:val="99"/>
    <w:semiHidden/>
    <w:rsid w:val="00CD5715"/>
    <w:pPr>
      <w:ind w:left="4252"/>
    </w:pPr>
  </w:style>
  <w:style w:type="paragraph" w:styleId="E-mailSignature">
    <w:name w:val="E-mail Signature"/>
    <w:basedOn w:val="Normal"/>
    <w:uiPriority w:val="99"/>
    <w:semiHidden/>
    <w:rsid w:val="00CD5715"/>
  </w:style>
  <w:style w:type="character" w:styleId="Emphasis">
    <w:name w:val="Emphasis"/>
    <w:basedOn w:val="DefaultParagraphFont"/>
    <w:uiPriority w:val="99"/>
    <w:semiHidden/>
    <w:rsid w:val="00CD5715"/>
    <w:rPr>
      <w:i/>
      <w:iCs/>
      <w:lang w:val="en-GB"/>
    </w:rPr>
  </w:style>
  <w:style w:type="paragraph" w:styleId="EnvelopeAddress">
    <w:name w:val="envelope address"/>
    <w:basedOn w:val="Normal"/>
    <w:uiPriority w:val="99"/>
    <w:semiHidden/>
    <w:rsid w:val="00CD5715"/>
    <w:pPr>
      <w:framePr w:w="7920" w:h="1980" w:hRule="exact" w:hSpace="141" w:wrap="auto" w:hAnchor="page" w:xAlign="center" w:yAlign="bottom"/>
      <w:ind w:left="2880"/>
    </w:pPr>
    <w:rPr>
      <w:rFonts w:cs="Arial"/>
      <w:sz w:val="24"/>
    </w:rPr>
  </w:style>
  <w:style w:type="paragraph" w:styleId="EnvelopeReturn">
    <w:name w:val="envelope return"/>
    <w:basedOn w:val="Normal"/>
    <w:uiPriority w:val="99"/>
    <w:semiHidden/>
    <w:rsid w:val="00CD5715"/>
    <w:rPr>
      <w:rFonts w:cs="Arial"/>
    </w:rPr>
  </w:style>
  <w:style w:type="character" w:styleId="HTMLAcronym">
    <w:name w:val="HTML Acronym"/>
    <w:basedOn w:val="DefaultParagraphFont"/>
    <w:uiPriority w:val="99"/>
    <w:semiHidden/>
    <w:rsid w:val="00CD5715"/>
    <w:rPr>
      <w:lang w:val="en-GB"/>
    </w:rPr>
  </w:style>
  <w:style w:type="paragraph" w:styleId="HTMLAddress">
    <w:name w:val="HTML Address"/>
    <w:basedOn w:val="Normal"/>
    <w:uiPriority w:val="99"/>
    <w:semiHidden/>
    <w:rsid w:val="00CD5715"/>
    <w:rPr>
      <w:i/>
      <w:iCs/>
    </w:rPr>
  </w:style>
  <w:style w:type="character" w:styleId="HTMLCite">
    <w:name w:val="HTML Cite"/>
    <w:basedOn w:val="DefaultParagraphFont"/>
    <w:uiPriority w:val="99"/>
    <w:semiHidden/>
    <w:rsid w:val="00CD5715"/>
    <w:rPr>
      <w:i/>
      <w:iCs/>
      <w:lang w:val="en-GB"/>
    </w:rPr>
  </w:style>
  <w:style w:type="character" w:styleId="HTMLCode">
    <w:name w:val="HTML Code"/>
    <w:basedOn w:val="DefaultParagraphFont"/>
    <w:uiPriority w:val="99"/>
    <w:semiHidden/>
    <w:rsid w:val="00CD5715"/>
    <w:rPr>
      <w:rFonts w:ascii="Courier New" w:hAnsi="Courier New" w:cs="Courier New"/>
      <w:sz w:val="20"/>
      <w:szCs w:val="20"/>
      <w:lang w:val="en-GB"/>
    </w:rPr>
  </w:style>
  <w:style w:type="character" w:styleId="HTMLDefinition">
    <w:name w:val="HTML Definition"/>
    <w:basedOn w:val="DefaultParagraphFont"/>
    <w:uiPriority w:val="99"/>
    <w:semiHidden/>
    <w:rsid w:val="00CD5715"/>
    <w:rPr>
      <w:i/>
      <w:iCs/>
      <w:lang w:val="en-GB"/>
    </w:rPr>
  </w:style>
  <w:style w:type="character" w:styleId="HTMLKeyboard">
    <w:name w:val="HTML Keyboard"/>
    <w:basedOn w:val="DefaultParagraphFont"/>
    <w:uiPriority w:val="99"/>
    <w:semiHidden/>
    <w:rsid w:val="00CD5715"/>
    <w:rPr>
      <w:rFonts w:ascii="Courier New" w:hAnsi="Courier New" w:cs="Courier New"/>
      <w:sz w:val="20"/>
      <w:szCs w:val="20"/>
      <w:lang w:val="en-GB"/>
    </w:rPr>
  </w:style>
  <w:style w:type="paragraph" w:styleId="HTMLPreformatted">
    <w:name w:val="HTML Preformatted"/>
    <w:basedOn w:val="Normal"/>
    <w:uiPriority w:val="99"/>
    <w:semiHidden/>
    <w:rsid w:val="00CD5715"/>
    <w:rPr>
      <w:rFonts w:ascii="Courier New" w:hAnsi="Courier New" w:cs="Courier New"/>
    </w:rPr>
  </w:style>
  <w:style w:type="character" w:styleId="HTMLSample">
    <w:name w:val="HTML Sample"/>
    <w:basedOn w:val="DefaultParagraphFont"/>
    <w:uiPriority w:val="99"/>
    <w:semiHidden/>
    <w:rsid w:val="00CD5715"/>
    <w:rPr>
      <w:rFonts w:ascii="Courier New" w:hAnsi="Courier New" w:cs="Courier New"/>
      <w:lang w:val="en-GB"/>
    </w:rPr>
  </w:style>
  <w:style w:type="character" w:styleId="HTMLTypewriter">
    <w:name w:val="HTML Typewriter"/>
    <w:basedOn w:val="DefaultParagraphFont"/>
    <w:uiPriority w:val="99"/>
    <w:semiHidden/>
    <w:rsid w:val="00CD5715"/>
    <w:rPr>
      <w:rFonts w:ascii="Courier New" w:hAnsi="Courier New" w:cs="Courier New"/>
      <w:sz w:val="20"/>
      <w:szCs w:val="20"/>
      <w:lang w:val="en-GB"/>
    </w:rPr>
  </w:style>
  <w:style w:type="character" w:styleId="HTMLVariable">
    <w:name w:val="HTML Variable"/>
    <w:basedOn w:val="DefaultParagraphFont"/>
    <w:uiPriority w:val="99"/>
    <w:semiHidden/>
    <w:rsid w:val="00CD5715"/>
    <w:rPr>
      <w:i/>
      <w:iCs/>
      <w:lang w:val="en-GB"/>
    </w:rPr>
  </w:style>
  <w:style w:type="character" w:styleId="LineNumber">
    <w:name w:val="line number"/>
    <w:basedOn w:val="DefaultParagraphFont"/>
    <w:uiPriority w:val="99"/>
    <w:semiHidden/>
    <w:rsid w:val="00CD5715"/>
    <w:rPr>
      <w:lang w:val="en-GB"/>
    </w:rPr>
  </w:style>
  <w:style w:type="paragraph" w:styleId="List">
    <w:name w:val="List"/>
    <w:basedOn w:val="Normal"/>
    <w:uiPriority w:val="99"/>
    <w:semiHidden/>
    <w:rsid w:val="00CD5715"/>
    <w:pPr>
      <w:ind w:left="283" w:hanging="283"/>
    </w:pPr>
  </w:style>
  <w:style w:type="paragraph" w:styleId="List2">
    <w:name w:val="List 2"/>
    <w:basedOn w:val="Normal"/>
    <w:uiPriority w:val="99"/>
    <w:semiHidden/>
    <w:rsid w:val="00CD5715"/>
    <w:pPr>
      <w:ind w:left="566" w:hanging="283"/>
    </w:pPr>
  </w:style>
  <w:style w:type="paragraph" w:styleId="List3">
    <w:name w:val="List 3"/>
    <w:basedOn w:val="Normal"/>
    <w:uiPriority w:val="99"/>
    <w:semiHidden/>
    <w:rsid w:val="00CD5715"/>
    <w:pPr>
      <w:ind w:left="849" w:hanging="283"/>
    </w:pPr>
  </w:style>
  <w:style w:type="paragraph" w:styleId="List4">
    <w:name w:val="List 4"/>
    <w:basedOn w:val="Normal"/>
    <w:uiPriority w:val="99"/>
    <w:semiHidden/>
    <w:rsid w:val="00CD5715"/>
    <w:pPr>
      <w:ind w:left="1132" w:hanging="283"/>
    </w:pPr>
  </w:style>
  <w:style w:type="paragraph" w:styleId="List5">
    <w:name w:val="List 5"/>
    <w:basedOn w:val="Normal"/>
    <w:uiPriority w:val="99"/>
    <w:semiHidden/>
    <w:rsid w:val="00CD5715"/>
    <w:pPr>
      <w:ind w:left="1415" w:hanging="283"/>
    </w:pPr>
  </w:style>
  <w:style w:type="paragraph" w:styleId="ListBullet">
    <w:name w:val="List Bullet"/>
    <w:basedOn w:val="Normal"/>
    <w:uiPriority w:val="2"/>
    <w:qFormat/>
    <w:rsid w:val="00A3668C"/>
    <w:pPr>
      <w:numPr>
        <w:numId w:val="13"/>
      </w:numPr>
      <w:contextualSpacing/>
    </w:pPr>
  </w:style>
  <w:style w:type="paragraph" w:styleId="ListBullet2">
    <w:name w:val="List Bullet 2"/>
    <w:basedOn w:val="Normal"/>
    <w:uiPriority w:val="99"/>
    <w:semiHidden/>
    <w:rsid w:val="00CD5715"/>
    <w:pPr>
      <w:numPr>
        <w:numId w:val="1"/>
      </w:numPr>
    </w:pPr>
  </w:style>
  <w:style w:type="paragraph" w:styleId="ListBullet3">
    <w:name w:val="List Bullet 3"/>
    <w:basedOn w:val="Normal"/>
    <w:uiPriority w:val="99"/>
    <w:semiHidden/>
    <w:rsid w:val="00CD5715"/>
    <w:pPr>
      <w:numPr>
        <w:numId w:val="2"/>
      </w:numPr>
    </w:pPr>
  </w:style>
  <w:style w:type="paragraph" w:styleId="ListBullet4">
    <w:name w:val="List Bullet 4"/>
    <w:basedOn w:val="Normal"/>
    <w:uiPriority w:val="99"/>
    <w:semiHidden/>
    <w:rsid w:val="00CD5715"/>
    <w:pPr>
      <w:numPr>
        <w:numId w:val="6"/>
      </w:numPr>
    </w:pPr>
  </w:style>
  <w:style w:type="paragraph" w:styleId="ListBullet5">
    <w:name w:val="List Bullet 5"/>
    <w:basedOn w:val="Normal"/>
    <w:uiPriority w:val="99"/>
    <w:semiHidden/>
    <w:rsid w:val="00CD5715"/>
    <w:pPr>
      <w:numPr>
        <w:numId w:val="7"/>
      </w:numPr>
    </w:pPr>
  </w:style>
  <w:style w:type="paragraph" w:styleId="ListContinue">
    <w:name w:val="List Continue"/>
    <w:basedOn w:val="Normal"/>
    <w:uiPriority w:val="99"/>
    <w:semiHidden/>
    <w:rsid w:val="00CD5715"/>
    <w:pPr>
      <w:ind w:left="283"/>
    </w:pPr>
  </w:style>
  <w:style w:type="paragraph" w:styleId="ListContinue2">
    <w:name w:val="List Continue 2"/>
    <w:basedOn w:val="Normal"/>
    <w:uiPriority w:val="99"/>
    <w:semiHidden/>
    <w:rsid w:val="00CD5715"/>
    <w:pPr>
      <w:ind w:left="566"/>
    </w:pPr>
  </w:style>
  <w:style w:type="paragraph" w:styleId="ListContinue3">
    <w:name w:val="List Continue 3"/>
    <w:basedOn w:val="Normal"/>
    <w:uiPriority w:val="99"/>
    <w:semiHidden/>
    <w:rsid w:val="00CD5715"/>
    <w:pPr>
      <w:ind w:left="849"/>
    </w:pPr>
  </w:style>
  <w:style w:type="paragraph" w:styleId="ListContinue4">
    <w:name w:val="List Continue 4"/>
    <w:basedOn w:val="Normal"/>
    <w:uiPriority w:val="99"/>
    <w:semiHidden/>
    <w:rsid w:val="00CD5715"/>
    <w:pPr>
      <w:ind w:left="1132"/>
    </w:pPr>
  </w:style>
  <w:style w:type="paragraph" w:styleId="ListContinue5">
    <w:name w:val="List Continue 5"/>
    <w:basedOn w:val="Normal"/>
    <w:uiPriority w:val="99"/>
    <w:semiHidden/>
    <w:rsid w:val="00CD5715"/>
    <w:pPr>
      <w:ind w:left="1415"/>
    </w:pPr>
  </w:style>
  <w:style w:type="paragraph" w:styleId="ListNumber">
    <w:name w:val="List Number"/>
    <w:basedOn w:val="Normal"/>
    <w:uiPriority w:val="2"/>
    <w:qFormat/>
    <w:rsid w:val="00A3668C"/>
    <w:pPr>
      <w:numPr>
        <w:numId w:val="14"/>
      </w:numPr>
      <w:contextualSpacing/>
    </w:pPr>
  </w:style>
  <w:style w:type="paragraph" w:styleId="ListNumber2">
    <w:name w:val="List Number 2"/>
    <w:basedOn w:val="Normal"/>
    <w:uiPriority w:val="99"/>
    <w:semiHidden/>
    <w:rsid w:val="00CD5715"/>
    <w:pPr>
      <w:numPr>
        <w:numId w:val="8"/>
      </w:numPr>
    </w:pPr>
  </w:style>
  <w:style w:type="paragraph" w:styleId="ListNumber3">
    <w:name w:val="List Number 3"/>
    <w:basedOn w:val="Normal"/>
    <w:uiPriority w:val="99"/>
    <w:semiHidden/>
    <w:rsid w:val="00CD5715"/>
    <w:pPr>
      <w:numPr>
        <w:numId w:val="9"/>
      </w:numPr>
    </w:pPr>
  </w:style>
  <w:style w:type="paragraph" w:styleId="ListNumber4">
    <w:name w:val="List Number 4"/>
    <w:basedOn w:val="Normal"/>
    <w:uiPriority w:val="99"/>
    <w:semiHidden/>
    <w:rsid w:val="00CD5715"/>
    <w:pPr>
      <w:numPr>
        <w:numId w:val="10"/>
      </w:numPr>
    </w:pPr>
  </w:style>
  <w:style w:type="paragraph" w:styleId="ListNumber5">
    <w:name w:val="List Number 5"/>
    <w:basedOn w:val="Normal"/>
    <w:uiPriority w:val="99"/>
    <w:semiHidden/>
    <w:rsid w:val="00CD5715"/>
    <w:pPr>
      <w:numPr>
        <w:numId w:val="11"/>
      </w:numPr>
    </w:pPr>
  </w:style>
  <w:style w:type="paragraph" w:styleId="MessageHeader">
    <w:name w:val="Message Header"/>
    <w:basedOn w:val="Normal"/>
    <w:uiPriority w:val="99"/>
    <w:semiHidden/>
    <w:rsid w:val="00CD5715"/>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rPr>
  </w:style>
  <w:style w:type="paragraph" w:styleId="PlainText">
    <w:name w:val="Plain Text"/>
    <w:basedOn w:val="Normal"/>
    <w:uiPriority w:val="4"/>
    <w:semiHidden/>
    <w:rsid w:val="00CD5715"/>
    <w:rPr>
      <w:rFonts w:ascii="Courier New" w:hAnsi="Courier New" w:cs="Courier New"/>
    </w:rPr>
  </w:style>
  <w:style w:type="paragraph" w:styleId="Salutation">
    <w:name w:val="Salutation"/>
    <w:basedOn w:val="Normal"/>
    <w:next w:val="Normal"/>
    <w:uiPriority w:val="4"/>
    <w:semiHidden/>
    <w:rsid w:val="00CD5715"/>
  </w:style>
  <w:style w:type="paragraph" w:styleId="Signature">
    <w:name w:val="Signature"/>
    <w:basedOn w:val="Normal"/>
    <w:uiPriority w:val="4"/>
    <w:semiHidden/>
    <w:rsid w:val="00CD5715"/>
    <w:pPr>
      <w:ind w:left="4252"/>
    </w:pPr>
  </w:style>
  <w:style w:type="character" w:styleId="Strong">
    <w:name w:val="Strong"/>
    <w:basedOn w:val="DefaultParagraphFont"/>
    <w:uiPriority w:val="4"/>
    <w:semiHidden/>
    <w:qFormat/>
    <w:rsid w:val="00CD5715"/>
    <w:rPr>
      <w:b/>
      <w:bCs/>
      <w:lang w:val="en-GB"/>
    </w:rPr>
  </w:style>
  <w:style w:type="paragraph" w:styleId="Subtitle">
    <w:name w:val="Subtitle"/>
    <w:basedOn w:val="Normal"/>
    <w:uiPriority w:val="99"/>
    <w:semiHidden/>
    <w:qFormat/>
    <w:rsid w:val="000C61EF"/>
    <w:pPr>
      <w:spacing w:after="60"/>
      <w:jc w:val="center"/>
    </w:pPr>
    <w:rPr>
      <w:rFonts w:cs="Arial"/>
      <w:sz w:val="24"/>
    </w:rPr>
  </w:style>
  <w:style w:type="table" w:styleId="Table3Deffects1">
    <w:name w:val="Table 3D effects 1"/>
    <w:basedOn w:val="TableNormal"/>
    <w:uiPriority w:val="99"/>
    <w:semiHidden/>
    <w:rsid w:val="00A3668C"/>
    <w:rPr>
      <w:lang w:val="en-GB"/>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3668C"/>
    <w:rPr>
      <w:lang w:val="en-GB"/>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3668C"/>
    <w:rPr>
      <w:lang w:val="en-GB"/>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3668C"/>
    <w:rPr>
      <w:lang w:val="en-GB"/>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3668C"/>
    <w:rPr>
      <w:lang w:val="en-GB"/>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3668C"/>
    <w:rPr>
      <w:color w:val="000080"/>
      <w:lang w:val="en-GB"/>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3668C"/>
    <w:rPr>
      <w:lang w:val="en-GB"/>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3668C"/>
    <w:rPr>
      <w:color w:val="FFFFFF"/>
      <w:lang w:val="en-GB"/>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3668C"/>
    <w:rPr>
      <w:lang w:val="en-GB"/>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3668C"/>
    <w:rPr>
      <w:lang w:val="en-GB"/>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3668C"/>
    <w:rPr>
      <w:b/>
      <w:bCs/>
      <w:lang w:val="en-GB"/>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3668C"/>
    <w:rPr>
      <w:b/>
      <w:bCs/>
      <w:lang w:val="en-GB"/>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3668C"/>
    <w:rPr>
      <w:b/>
      <w:bCs/>
      <w:lang w:val="en-GB"/>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3668C"/>
    <w:rPr>
      <w:lang w:val="en-GB"/>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rsid w:val="00A3668C"/>
    <w:rPr>
      <w:lang w:val="en-GB"/>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rsid w:val="00A3668C"/>
    <w:rPr>
      <w:lang w:val="en-GB"/>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3668C"/>
    <w:rPr>
      <w:lang w:val="en-GB"/>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rsid w:val="00A3668C"/>
    <w:rPr>
      <w:lang w:val="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3668C"/>
    <w:rPr>
      <w:lang w:val="en-GB"/>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3668C"/>
    <w:rPr>
      <w:lang w:val="en-GB"/>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3668C"/>
    <w:rPr>
      <w:lang w:val="en-GB"/>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3668C"/>
    <w:rPr>
      <w:lang w:val="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rsid w:val="00A3668C"/>
    <w:rPr>
      <w:lang w:val="en-GB"/>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rsid w:val="00A3668C"/>
    <w:rPr>
      <w:b/>
      <w:bCs/>
      <w:lang w:val="en-GB"/>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rsid w:val="00A3668C"/>
    <w:rPr>
      <w:lang w:val="en-GB"/>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3668C"/>
    <w:rPr>
      <w:lang w:val="en-GB"/>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3668C"/>
    <w:rPr>
      <w:lang w:val="en-GB"/>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3668C"/>
    <w:rPr>
      <w:lang w:val="en-GB"/>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3668C"/>
    <w:rPr>
      <w:lang w:val="en-GB"/>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3668C"/>
    <w:rPr>
      <w:lang w:val="en-GB"/>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3668C"/>
    <w:rPr>
      <w:lang w:val="en-GB"/>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3668C"/>
    <w:rPr>
      <w:lang w:val="en-GB"/>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3668C"/>
    <w:rPr>
      <w:lang w:val="en-GB"/>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3668C"/>
    <w:rPr>
      <w:lang w:val="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3668C"/>
    <w:rPr>
      <w:lang w:val="en-GB"/>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3668C"/>
    <w:rPr>
      <w:lang w:val="en-GB"/>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3668C"/>
    <w:rPr>
      <w:lang w:val="en-GB"/>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3668C"/>
    <w:rPr>
      <w:lang w:val="en-GB"/>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3668C"/>
    <w:rPr>
      <w:lang w:val="en-GB"/>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3668C"/>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3668C"/>
    <w:rPr>
      <w:lang w:val="en-GB"/>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3668C"/>
    <w:rPr>
      <w:lang w:val="en-GB"/>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3668C"/>
    <w:rPr>
      <w:lang w:val="en-GB"/>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4"/>
    <w:semiHidden/>
    <w:qFormat/>
    <w:rsid w:val="000C61EF"/>
    <w:pPr>
      <w:spacing w:before="240" w:after="60"/>
      <w:jc w:val="center"/>
    </w:pPr>
    <w:rPr>
      <w:rFonts w:cs="Arial"/>
      <w:b/>
      <w:bCs/>
      <w:kern w:val="28"/>
      <w:sz w:val="32"/>
      <w:szCs w:val="32"/>
    </w:rPr>
  </w:style>
  <w:style w:type="paragraph" w:styleId="NormalWeb">
    <w:name w:val="Normal (Web)"/>
    <w:basedOn w:val="Normal"/>
    <w:uiPriority w:val="4"/>
    <w:semiHidden/>
    <w:rsid w:val="00CD5715"/>
    <w:rPr>
      <w:rFonts w:ascii="Times New Roman" w:hAnsi="Times New Roman"/>
      <w:sz w:val="24"/>
    </w:rPr>
  </w:style>
  <w:style w:type="paragraph" w:styleId="NormalIndent">
    <w:name w:val="Normal Indent"/>
    <w:basedOn w:val="Normal"/>
    <w:uiPriority w:val="4"/>
    <w:semiHidden/>
    <w:rsid w:val="00CD5715"/>
    <w:pPr>
      <w:ind w:left="1304"/>
    </w:pPr>
  </w:style>
  <w:style w:type="paragraph" w:styleId="NoteHeading">
    <w:name w:val="Note Heading"/>
    <w:basedOn w:val="Normal"/>
    <w:next w:val="Normal"/>
    <w:uiPriority w:val="4"/>
    <w:semiHidden/>
    <w:rsid w:val="00CD5715"/>
  </w:style>
  <w:style w:type="paragraph" w:customStyle="1" w:styleId="Template-TOCoverskrift">
    <w:name w:val="Template - TOC overskrift"/>
    <w:basedOn w:val="Template-Forord"/>
    <w:next w:val="Normal"/>
    <w:uiPriority w:val="8"/>
    <w:semiHidden/>
    <w:rsid w:val="003312DB"/>
    <w:pPr>
      <w:pageBreakBefore/>
    </w:pPr>
  </w:style>
  <w:style w:type="paragraph" w:customStyle="1" w:styleId="Reference">
    <w:name w:val="Reference"/>
    <w:basedOn w:val="Template-TOCoverskrift"/>
    <w:next w:val="Normal"/>
    <w:uiPriority w:val="3"/>
    <w:semiHidden/>
    <w:rsid w:val="004539F8"/>
    <w:pPr>
      <w:outlineLvl w:val="4"/>
    </w:pPr>
  </w:style>
  <w:style w:type="paragraph" w:styleId="TOC4">
    <w:name w:val="toc 4"/>
    <w:basedOn w:val="Normal"/>
    <w:next w:val="Normal"/>
    <w:uiPriority w:val="9"/>
    <w:semiHidden/>
    <w:rsid w:val="005B12F8"/>
    <w:pPr>
      <w:tabs>
        <w:tab w:val="right" w:leader="dot" w:pos="8505"/>
      </w:tabs>
      <w:ind w:right="567"/>
    </w:pPr>
    <w:rPr>
      <w:rFonts w:ascii="Neo Sans Std" w:hAnsi="Neo Sans Std"/>
      <w:color w:val="3366CC"/>
    </w:rPr>
  </w:style>
  <w:style w:type="paragraph" w:styleId="TOC5">
    <w:name w:val="toc 5"/>
    <w:basedOn w:val="Normal"/>
    <w:next w:val="Normal"/>
    <w:uiPriority w:val="39"/>
    <w:rsid w:val="00C2470B"/>
    <w:pPr>
      <w:tabs>
        <w:tab w:val="right" w:leader="dot" w:pos="8505"/>
      </w:tabs>
      <w:spacing w:before="280"/>
      <w:ind w:right="567"/>
    </w:pPr>
    <w:rPr>
      <w:rFonts w:ascii="Neo Sans Std" w:hAnsi="Neo Sans Std"/>
      <w:color w:val="3366CC"/>
    </w:rPr>
  </w:style>
  <w:style w:type="paragraph" w:styleId="TOC6">
    <w:name w:val="toc 6"/>
    <w:basedOn w:val="Normal"/>
    <w:next w:val="Normal"/>
    <w:uiPriority w:val="39"/>
    <w:rsid w:val="00D9654C"/>
    <w:pPr>
      <w:tabs>
        <w:tab w:val="left" w:pos="0"/>
        <w:tab w:val="right" w:leader="dot" w:pos="8505"/>
      </w:tabs>
      <w:spacing w:before="280"/>
      <w:ind w:right="567" w:hanging="5670"/>
    </w:pPr>
    <w:rPr>
      <w:rFonts w:ascii="Neo Sans Std" w:hAnsi="Neo Sans Std"/>
      <w:color w:val="3366CC"/>
    </w:rPr>
  </w:style>
  <w:style w:type="paragraph" w:customStyle="1" w:styleId="Summary">
    <w:name w:val="Summary"/>
    <w:basedOn w:val="Reference"/>
    <w:next w:val="Normal"/>
    <w:uiPriority w:val="3"/>
    <w:semiHidden/>
    <w:rsid w:val="00F35B9A"/>
  </w:style>
  <w:style w:type="paragraph" w:customStyle="1" w:styleId="Tabelkolonneoverskrift">
    <w:name w:val="Tabel kolonne overskrift"/>
    <w:basedOn w:val="Normal"/>
    <w:uiPriority w:val="7"/>
    <w:rsid w:val="00FF5020"/>
    <w:pPr>
      <w:spacing w:before="20" w:after="20" w:line="220" w:lineRule="atLeast"/>
      <w:ind w:left="113" w:right="113"/>
    </w:pPr>
    <w:rPr>
      <w:b/>
    </w:rPr>
  </w:style>
  <w:style w:type="paragraph" w:customStyle="1" w:styleId="Refoverskrift">
    <w:name w:val="Ref overskrift"/>
    <w:basedOn w:val="Normal"/>
    <w:uiPriority w:val="3"/>
    <w:rsid w:val="00F76960"/>
    <w:pPr>
      <w:numPr>
        <w:numId w:val="16"/>
      </w:numPr>
    </w:pPr>
    <w:rPr>
      <w:rFonts w:ascii="Neo Sans Std" w:hAnsi="Neo Sans Std"/>
      <w:color w:val="3366CC"/>
      <w:sz w:val="24"/>
    </w:rPr>
  </w:style>
  <w:style w:type="paragraph" w:styleId="TOC8">
    <w:name w:val="toc 8"/>
    <w:basedOn w:val="Normal"/>
    <w:next w:val="Normal"/>
    <w:autoRedefine/>
    <w:uiPriority w:val="9"/>
    <w:semiHidden/>
    <w:rsid w:val="00BB61C3"/>
    <w:pPr>
      <w:ind w:left="1400"/>
    </w:pPr>
  </w:style>
  <w:style w:type="paragraph" w:customStyle="1" w:styleId="Tabeltekst">
    <w:name w:val="Tabel tekst"/>
    <w:basedOn w:val="Normal"/>
    <w:uiPriority w:val="7"/>
    <w:rsid w:val="00FF5020"/>
    <w:pPr>
      <w:spacing w:after="20"/>
      <w:ind w:left="113" w:right="113"/>
    </w:pPr>
    <w:rPr>
      <w:sz w:val="16"/>
    </w:rPr>
  </w:style>
  <w:style w:type="paragraph" w:customStyle="1" w:styleId="Tabelnumre">
    <w:name w:val="Tabel numre"/>
    <w:basedOn w:val="Tabeltekst"/>
    <w:uiPriority w:val="7"/>
    <w:rsid w:val="00FF5020"/>
    <w:pPr>
      <w:spacing w:before="20"/>
      <w:jc w:val="right"/>
    </w:pPr>
  </w:style>
  <w:style w:type="paragraph" w:customStyle="1" w:styleId="TabelTotal">
    <w:name w:val="Tabel Total"/>
    <w:basedOn w:val="Tabelnumre"/>
    <w:uiPriority w:val="7"/>
    <w:rsid w:val="00FF5020"/>
    <w:rPr>
      <w:b/>
    </w:rPr>
  </w:style>
  <w:style w:type="paragraph" w:customStyle="1" w:styleId="TabelToprkke">
    <w:name w:val="Tabel Top række"/>
    <w:basedOn w:val="Normal"/>
    <w:uiPriority w:val="7"/>
    <w:rsid w:val="00FF5020"/>
    <w:pPr>
      <w:spacing w:before="20" w:after="20"/>
      <w:ind w:left="113" w:right="113"/>
    </w:pPr>
    <w:rPr>
      <w:b/>
      <w:sz w:val="16"/>
    </w:rPr>
  </w:style>
  <w:style w:type="table" w:customStyle="1" w:styleId="Table-Normal">
    <w:name w:val="Table - Normal"/>
    <w:basedOn w:val="TableNormal"/>
    <w:uiPriority w:val="99"/>
    <w:semiHidden/>
    <w:rsid w:val="006F3131"/>
    <w:pPr>
      <w:spacing w:line="220" w:lineRule="atLeast"/>
    </w:pPr>
    <w:rPr>
      <w:sz w:val="16"/>
      <w:lang w:val="en-GB"/>
    </w:rPr>
    <w:tblPr>
      <w:tblStyleRowBandSize w:val="1"/>
      <w:tblInd w:w="125" w:type="dxa"/>
      <w:tblBorders>
        <w:bottom w:val="single" w:sz="8" w:space="0" w:color="5A5099"/>
        <w:insideH w:val="single" w:sz="8" w:space="0" w:color="FFFFFF"/>
      </w:tblBorders>
      <w:tblCellMar>
        <w:left w:w="125" w:type="dxa"/>
        <w:right w:w="125" w:type="dxa"/>
      </w:tblCellMar>
    </w:tblPr>
    <w:tcPr>
      <w:shd w:val="clear" w:color="auto" w:fill="D9D9D9"/>
    </w:tcPr>
    <w:tblStylePr w:type="firstRow">
      <w:pPr>
        <w:wordWrap/>
        <w:spacing w:beforeLines="0" w:before="0" w:beforeAutospacing="0" w:afterLines="0" w:after="60" w:afterAutospacing="0" w:line="280" w:lineRule="atLeast"/>
        <w:ind w:leftChars="0" w:left="0" w:rightChars="0" w:right="0" w:firstLineChars="0" w:firstLine="0"/>
        <w:contextualSpacing w:val="0"/>
        <w:outlineLvl w:val="9"/>
      </w:pPr>
      <w:rPr>
        <w:rFonts w:ascii="Arial" w:hAnsi="Arial"/>
        <w:b/>
        <w:color w:val="FFFFFF"/>
        <w:sz w:val="16"/>
      </w:rPr>
      <w:tblPr/>
      <w:tcPr>
        <w:shd w:val="clear" w:color="auto" w:fill="5A5099"/>
      </w:tcPr>
    </w:tblStylePr>
    <w:tblStylePr w:type="lastRow">
      <w:rPr>
        <w:rFonts w:ascii="Arial" w:hAnsi="Arial"/>
        <w:b w:val="0"/>
        <w:sz w:val="16"/>
      </w:rPr>
    </w:tblStylePr>
    <w:tblStylePr w:type="firstCol">
      <w:pPr>
        <w:wordWrap/>
        <w:spacing w:line="220" w:lineRule="atLeast"/>
      </w:pPr>
      <w:rPr>
        <w:rFonts w:ascii="Arial" w:hAnsi="Arial"/>
        <w:b w:val="0"/>
        <w:sz w:val="16"/>
      </w:rPr>
    </w:tblStylePr>
    <w:tblStylePr w:type="lastCol">
      <w:rPr>
        <w:rFonts w:ascii="Arial" w:hAnsi="Arial"/>
        <w:sz w:val="16"/>
      </w:rPr>
    </w:tblStylePr>
  </w:style>
  <w:style w:type="paragraph" w:customStyle="1" w:styleId="TabelOverskrift">
    <w:name w:val="Tabel Overskrift"/>
    <w:basedOn w:val="Normal"/>
    <w:uiPriority w:val="7"/>
    <w:rsid w:val="00FF5020"/>
    <w:pPr>
      <w:numPr>
        <w:ilvl w:val="1"/>
        <w:numId w:val="12"/>
      </w:numPr>
      <w:spacing w:before="20" w:after="20"/>
      <w:ind w:left="595" w:right="113"/>
      <w:outlineLvl w:val="1"/>
    </w:pPr>
    <w:rPr>
      <w:b/>
      <w:color w:val="FFFFFF"/>
      <w:sz w:val="16"/>
    </w:rPr>
  </w:style>
  <w:style w:type="paragraph" w:customStyle="1" w:styleId="Note">
    <w:name w:val="Note"/>
    <w:basedOn w:val="Normal"/>
    <w:link w:val="NoteChar"/>
    <w:uiPriority w:val="3"/>
    <w:rsid w:val="00361E50"/>
    <w:pPr>
      <w:spacing w:before="60" w:after="60"/>
    </w:pPr>
    <w:rPr>
      <w:i/>
      <w:sz w:val="16"/>
    </w:rPr>
  </w:style>
  <w:style w:type="character" w:customStyle="1" w:styleId="FooterChar">
    <w:name w:val="Footer Char"/>
    <w:basedOn w:val="DefaultParagraphFont"/>
    <w:link w:val="Footer"/>
    <w:uiPriority w:val="10"/>
    <w:semiHidden/>
    <w:locked/>
    <w:rsid w:val="00D6451B"/>
    <w:rPr>
      <w:rFonts w:ascii="Arial" w:hAnsi="Arial"/>
      <w:sz w:val="16"/>
      <w:lang w:val="en-GB"/>
    </w:rPr>
  </w:style>
  <w:style w:type="paragraph" w:customStyle="1" w:styleId="Graf">
    <w:name w:val="Graf"/>
    <w:basedOn w:val="Normal"/>
    <w:uiPriority w:val="99"/>
    <w:semiHidden/>
    <w:rsid w:val="004B0940"/>
    <w:pPr>
      <w:ind w:left="-57"/>
    </w:pPr>
  </w:style>
  <w:style w:type="paragraph" w:customStyle="1" w:styleId="Billedtekst1">
    <w:name w:val="Billedtekst1"/>
    <w:basedOn w:val="Note"/>
    <w:next w:val="Normal"/>
    <w:uiPriority w:val="3"/>
    <w:rsid w:val="00B064CB"/>
    <w:pPr>
      <w:spacing w:after="192"/>
      <w:contextualSpacing/>
    </w:pPr>
  </w:style>
  <w:style w:type="character" w:customStyle="1" w:styleId="NoteChar">
    <w:name w:val="Note Char"/>
    <w:basedOn w:val="DefaultParagraphFont"/>
    <w:link w:val="Note"/>
    <w:uiPriority w:val="3"/>
    <w:rsid w:val="00D6451B"/>
    <w:rPr>
      <w:rFonts w:ascii="Arial" w:hAnsi="Arial"/>
      <w:i/>
      <w:sz w:val="16"/>
      <w:lang w:val="en-GB"/>
    </w:rPr>
  </w:style>
  <w:style w:type="paragraph" w:customStyle="1" w:styleId="BilagOverskrift1">
    <w:name w:val="Bilag Overskrift 1"/>
    <w:basedOn w:val="Normal"/>
    <w:next w:val="Normal"/>
    <w:uiPriority w:val="4"/>
    <w:rsid w:val="00D3066F"/>
    <w:pPr>
      <w:keepNext/>
      <w:keepLines/>
      <w:pageBreakBefore/>
      <w:numPr>
        <w:numId w:val="17"/>
      </w:numPr>
      <w:tabs>
        <w:tab w:val="left" w:pos="1474"/>
      </w:tabs>
      <w:spacing w:after="500" w:line="400" w:lineRule="atLeast"/>
    </w:pPr>
    <w:rPr>
      <w:rFonts w:ascii="Neo Sans Std" w:hAnsi="Neo Sans Std"/>
      <w:color w:val="3366CC"/>
      <w:sz w:val="36"/>
    </w:rPr>
  </w:style>
  <w:style w:type="paragraph" w:customStyle="1" w:styleId="Bilagoverskrift2">
    <w:name w:val="Bilag overskrift 2"/>
    <w:basedOn w:val="Normal"/>
    <w:next w:val="Normal"/>
    <w:uiPriority w:val="4"/>
    <w:rsid w:val="00D3066F"/>
    <w:pPr>
      <w:numPr>
        <w:ilvl w:val="1"/>
        <w:numId w:val="17"/>
      </w:numPr>
      <w:spacing w:before="280"/>
    </w:pPr>
    <w:rPr>
      <w:rFonts w:ascii="Neo Sans Std" w:hAnsi="Neo Sans Std"/>
      <w:color w:val="3366CC"/>
      <w:sz w:val="24"/>
    </w:rPr>
  </w:style>
  <w:style w:type="paragraph" w:customStyle="1" w:styleId="Taktil">
    <w:name w:val="Tak til"/>
    <w:basedOn w:val="Taktil-Navn"/>
    <w:uiPriority w:val="3"/>
    <w:semiHidden/>
    <w:rsid w:val="00F65C81"/>
    <w:pPr>
      <w:pageBreakBefore/>
      <w:spacing w:after="500" w:line="400" w:lineRule="atLeast"/>
      <w:outlineLvl w:val="4"/>
    </w:pPr>
    <w:rPr>
      <w:color w:val="3366CC"/>
      <w:sz w:val="36"/>
    </w:rPr>
  </w:style>
  <w:style w:type="paragraph" w:styleId="Date">
    <w:name w:val="Date"/>
    <w:basedOn w:val="Normal"/>
    <w:next w:val="Normal"/>
    <w:uiPriority w:val="99"/>
    <w:semiHidden/>
    <w:rsid w:val="00BF3E89"/>
  </w:style>
  <w:style w:type="paragraph" w:customStyle="1" w:styleId="Afsendertitel">
    <w:name w:val="Afsender titel"/>
    <w:basedOn w:val="Normal"/>
    <w:uiPriority w:val="3"/>
    <w:semiHidden/>
    <w:qFormat/>
    <w:rsid w:val="00A3668C"/>
    <w:rPr>
      <w:i/>
    </w:rPr>
  </w:style>
  <w:style w:type="paragraph" w:customStyle="1" w:styleId="Udvalg">
    <w:name w:val="Udvalg"/>
    <w:basedOn w:val="Normal"/>
    <w:next w:val="Normal"/>
    <w:uiPriority w:val="3"/>
    <w:semiHidden/>
    <w:rsid w:val="00A3668C"/>
    <w:rPr>
      <w:b/>
      <w:sz w:val="24"/>
    </w:rPr>
  </w:style>
  <w:style w:type="paragraph" w:customStyle="1" w:styleId="BilagDagsorden">
    <w:name w:val="Bilag/Dagsorden"/>
    <w:basedOn w:val="Udvalg"/>
    <w:next w:val="Normal"/>
    <w:uiPriority w:val="3"/>
    <w:semiHidden/>
    <w:rsid w:val="00A3668C"/>
    <w:rPr>
      <w:sz w:val="20"/>
    </w:rPr>
  </w:style>
  <w:style w:type="character" w:customStyle="1" w:styleId="EndnoteTextChar">
    <w:name w:val="Endnote Text Char"/>
    <w:basedOn w:val="DefaultParagraphFont"/>
    <w:link w:val="EndnoteText"/>
    <w:uiPriority w:val="10"/>
    <w:rsid w:val="00D6451B"/>
    <w:rPr>
      <w:rFonts w:ascii="Arial" w:hAnsi="Arial"/>
      <w:sz w:val="16"/>
      <w:lang w:val="en-GB"/>
    </w:rPr>
  </w:style>
  <w:style w:type="paragraph" w:customStyle="1" w:styleId="Faxinfo">
    <w:name w:val="Fax info"/>
    <w:basedOn w:val="Normal"/>
    <w:next w:val="Normal"/>
    <w:uiPriority w:val="9"/>
    <w:semiHidden/>
    <w:rsid w:val="00A3668C"/>
    <w:rPr>
      <w:b/>
    </w:rPr>
  </w:style>
  <w:style w:type="character" w:customStyle="1" w:styleId="FootnoteTextChar">
    <w:name w:val="Footnote Text Char"/>
    <w:basedOn w:val="DefaultParagraphFont"/>
    <w:link w:val="FootnoteText"/>
    <w:uiPriority w:val="10"/>
    <w:rsid w:val="00D6451B"/>
    <w:rPr>
      <w:rFonts w:ascii="Arial" w:hAnsi="Arial"/>
      <w:sz w:val="16"/>
      <w:lang w:val="en-GB"/>
    </w:rPr>
  </w:style>
  <w:style w:type="character" w:customStyle="1" w:styleId="HeaderChar">
    <w:name w:val="Header Char"/>
    <w:basedOn w:val="DefaultParagraphFont"/>
    <w:link w:val="Header"/>
    <w:uiPriority w:val="99"/>
    <w:semiHidden/>
    <w:rsid w:val="00D6451B"/>
    <w:rPr>
      <w:rFonts w:ascii="Arial" w:hAnsi="Arial"/>
      <w:lang w:val="en-GB"/>
    </w:rPr>
  </w:style>
  <w:style w:type="character" w:customStyle="1" w:styleId="Heading1Char">
    <w:name w:val="Heading 1 Char"/>
    <w:basedOn w:val="DefaultParagraphFont"/>
    <w:link w:val="Heading1"/>
    <w:uiPriority w:val="1"/>
    <w:rsid w:val="00563DD8"/>
    <w:rPr>
      <w:rFonts w:ascii="Neo Sans Std" w:hAnsi="Neo Sans Std" w:cs="Arial"/>
      <w:bCs/>
      <w:sz w:val="24"/>
      <w:szCs w:val="32"/>
      <w:lang w:val="en-GB"/>
    </w:rPr>
  </w:style>
  <w:style w:type="character" w:customStyle="1" w:styleId="Heading2Char">
    <w:name w:val="Heading 2 Char"/>
    <w:basedOn w:val="DefaultParagraphFont"/>
    <w:link w:val="Heading2"/>
    <w:uiPriority w:val="1"/>
    <w:rsid w:val="009D02AB"/>
    <w:rPr>
      <w:rFonts w:ascii="Neo Sans Std" w:hAnsi="Neo Sans Std" w:cs="Arial"/>
      <w:bCs/>
      <w:iCs/>
      <w:color w:val="000000" w:themeColor="text1"/>
      <w:szCs w:val="28"/>
      <w:lang w:val="en-GB"/>
    </w:rPr>
  </w:style>
  <w:style w:type="character" w:customStyle="1" w:styleId="Heading3Char">
    <w:name w:val="Heading 3 Char"/>
    <w:basedOn w:val="DefaultParagraphFont"/>
    <w:link w:val="Heading3"/>
    <w:uiPriority w:val="1"/>
    <w:rsid w:val="00A02006"/>
    <w:rPr>
      <w:rFonts w:ascii="Neo Sans Std" w:hAnsi="Neo Sans Std" w:cs="Arial"/>
      <w:bCs/>
      <w:iCs/>
      <w:color w:val="000000" w:themeColor="text1"/>
      <w:szCs w:val="28"/>
      <w:lang w:val="en-GB"/>
    </w:rPr>
  </w:style>
  <w:style w:type="character" w:customStyle="1" w:styleId="Heading4Char">
    <w:name w:val="Heading 4 Char"/>
    <w:basedOn w:val="DefaultParagraphFont"/>
    <w:link w:val="Heading4"/>
    <w:uiPriority w:val="1"/>
    <w:rsid w:val="00F739B9"/>
    <w:rPr>
      <w:rFonts w:ascii="Neo Sans Std" w:hAnsi="Neo Sans Std"/>
      <w:b/>
      <w:sz w:val="18"/>
      <w:szCs w:val="24"/>
      <w:lang w:val="en-GB"/>
    </w:rPr>
  </w:style>
  <w:style w:type="character" w:customStyle="1" w:styleId="Heading5Char">
    <w:name w:val="Heading 5 Char"/>
    <w:basedOn w:val="DefaultParagraphFont"/>
    <w:link w:val="Heading5"/>
    <w:uiPriority w:val="1"/>
    <w:semiHidden/>
    <w:rsid w:val="00A3668C"/>
    <w:rPr>
      <w:b/>
      <w:sz w:val="18"/>
      <w:szCs w:val="24"/>
      <w:lang w:val="en-GB"/>
    </w:rPr>
  </w:style>
  <w:style w:type="character" w:customStyle="1" w:styleId="Heading6Char">
    <w:name w:val="Heading 6 Char"/>
    <w:basedOn w:val="DefaultParagraphFont"/>
    <w:link w:val="Heading6"/>
    <w:uiPriority w:val="1"/>
    <w:semiHidden/>
    <w:rsid w:val="00A3668C"/>
    <w:rPr>
      <w:b/>
      <w:sz w:val="18"/>
      <w:szCs w:val="24"/>
      <w:lang w:val="en-GB"/>
    </w:rPr>
  </w:style>
  <w:style w:type="character" w:customStyle="1" w:styleId="Heading7Char">
    <w:name w:val="Heading 7 Char"/>
    <w:basedOn w:val="DefaultParagraphFont"/>
    <w:link w:val="Heading7"/>
    <w:uiPriority w:val="1"/>
    <w:semiHidden/>
    <w:rsid w:val="00A3668C"/>
    <w:rPr>
      <w:b/>
      <w:sz w:val="18"/>
      <w:szCs w:val="24"/>
      <w:lang w:val="en-GB"/>
    </w:rPr>
  </w:style>
  <w:style w:type="character" w:customStyle="1" w:styleId="Heading8Char">
    <w:name w:val="Heading 8 Char"/>
    <w:basedOn w:val="DefaultParagraphFont"/>
    <w:link w:val="Heading8"/>
    <w:uiPriority w:val="1"/>
    <w:semiHidden/>
    <w:rsid w:val="00A3668C"/>
    <w:rPr>
      <w:b/>
      <w:sz w:val="18"/>
      <w:szCs w:val="24"/>
      <w:lang w:val="en-GB"/>
    </w:rPr>
  </w:style>
  <w:style w:type="character" w:customStyle="1" w:styleId="Heading9Char">
    <w:name w:val="Heading 9 Char"/>
    <w:basedOn w:val="DefaultParagraphFont"/>
    <w:link w:val="Heading9"/>
    <w:uiPriority w:val="1"/>
    <w:semiHidden/>
    <w:rsid w:val="00A3668C"/>
    <w:rPr>
      <w:b/>
      <w:sz w:val="18"/>
      <w:szCs w:val="24"/>
      <w:lang w:val="en-GB"/>
    </w:rPr>
  </w:style>
  <w:style w:type="paragraph" w:customStyle="1" w:styleId="Info">
    <w:name w:val="Info"/>
    <w:basedOn w:val="Normal"/>
    <w:uiPriority w:val="3"/>
    <w:semiHidden/>
    <w:rsid w:val="00A3668C"/>
    <w:pPr>
      <w:jc w:val="right"/>
    </w:pPr>
  </w:style>
  <w:style w:type="paragraph" w:styleId="TableofAuthorities">
    <w:name w:val="table of authorities"/>
    <w:basedOn w:val="Normal"/>
    <w:next w:val="Normal"/>
    <w:uiPriority w:val="99"/>
    <w:semiHidden/>
    <w:rsid w:val="00A3668C"/>
    <w:pPr>
      <w:ind w:left="200" w:hanging="200"/>
    </w:pPr>
  </w:style>
  <w:style w:type="paragraph" w:styleId="TableofFigures">
    <w:name w:val="table of figures"/>
    <w:basedOn w:val="Normal"/>
    <w:next w:val="Normal"/>
    <w:uiPriority w:val="99"/>
    <w:semiHidden/>
    <w:rsid w:val="00A3668C"/>
  </w:style>
  <w:style w:type="paragraph" w:customStyle="1" w:styleId="Tilstedefravrende">
    <w:name w:val="Tilstede/fraværende"/>
    <w:basedOn w:val="Normal"/>
    <w:next w:val="Normal"/>
    <w:uiPriority w:val="3"/>
    <w:semiHidden/>
    <w:rsid w:val="00A3668C"/>
    <w:rPr>
      <w:b/>
    </w:rPr>
  </w:style>
  <w:style w:type="paragraph" w:styleId="BalloonText">
    <w:name w:val="Balloon Text"/>
    <w:basedOn w:val="Normal"/>
    <w:link w:val="BalloonTextChar"/>
    <w:uiPriority w:val="99"/>
    <w:semiHidden/>
    <w:rsid w:val="006B74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451B"/>
    <w:rPr>
      <w:rFonts w:ascii="Tahoma" w:hAnsi="Tahoma" w:cs="Tahoma"/>
      <w:sz w:val="16"/>
      <w:szCs w:val="16"/>
      <w:lang w:val="en-GB"/>
    </w:rPr>
  </w:style>
  <w:style w:type="paragraph" w:styleId="ListParagraph">
    <w:name w:val="List Paragraph"/>
    <w:basedOn w:val="Normal"/>
    <w:uiPriority w:val="99"/>
    <w:semiHidden/>
    <w:rsid w:val="00AF5514"/>
    <w:pPr>
      <w:ind w:left="720"/>
      <w:contextualSpacing/>
    </w:pPr>
  </w:style>
  <w:style w:type="character" w:styleId="CommentReference">
    <w:name w:val="annotation reference"/>
    <w:basedOn w:val="DefaultParagraphFont"/>
    <w:uiPriority w:val="99"/>
    <w:semiHidden/>
    <w:unhideWhenUsed/>
    <w:rsid w:val="00AE104B"/>
    <w:rPr>
      <w:sz w:val="16"/>
      <w:szCs w:val="16"/>
    </w:rPr>
  </w:style>
  <w:style w:type="paragraph" w:styleId="CommentText">
    <w:name w:val="annotation text"/>
    <w:basedOn w:val="Normal"/>
    <w:link w:val="CommentTextChar"/>
    <w:uiPriority w:val="99"/>
    <w:semiHidden/>
    <w:unhideWhenUsed/>
    <w:rsid w:val="00AE104B"/>
    <w:pPr>
      <w:spacing w:line="240" w:lineRule="auto"/>
    </w:pPr>
    <w:rPr>
      <w:sz w:val="20"/>
    </w:rPr>
  </w:style>
  <w:style w:type="character" w:customStyle="1" w:styleId="CommentTextChar">
    <w:name w:val="Comment Text Char"/>
    <w:basedOn w:val="DefaultParagraphFont"/>
    <w:link w:val="CommentText"/>
    <w:uiPriority w:val="99"/>
    <w:semiHidden/>
    <w:rsid w:val="00AE104B"/>
    <w:rPr>
      <w:lang w:val="en-GB"/>
    </w:rPr>
  </w:style>
  <w:style w:type="paragraph" w:styleId="CommentSubject">
    <w:name w:val="annotation subject"/>
    <w:basedOn w:val="CommentText"/>
    <w:next w:val="CommentText"/>
    <w:link w:val="CommentSubjectChar"/>
    <w:uiPriority w:val="99"/>
    <w:semiHidden/>
    <w:unhideWhenUsed/>
    <w:rsid w:val="00AE104B"/>
    <w:rPr>
      <w:b/>
      <w:bCs/>
    </w:rPr>
  </w:style>
  <w:style w:type="character" w:customStyle="1" w:styleId="CommentSubjectChar">
    <w:name w:val="Comment Subject Char"/>
    <w:basedOn w:val="CommentTextChar"/>
    <w:link w:val="CommentSubject"/>
    <w:uiPriority w:val="99"/>
    <w:semiHidden/>
    <w:rsid w:val="00AE104B"/>
    <w:rPr>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706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header" Target="header3.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_rels/header3.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image" Target="media/image1.emf"/><Relationship Id="rId1" Type="http://schemas.openxmlformats.org/officeDocument/2006/relationships/image" Target="media/image5.emf"/></Relationships>
</file>

<file path=word/theme/theme1.xml><?xml version="1.0" encoding="utf-8"?>
<a:theme xmlns:a="http://schemas.openxmlformats.org/drawingml/2006/main" name="Office Theme">
  <a:themeElements>
    <a:clrScheme name="DTU">
      <a:dk1>
        <a:srgbClr val="000000"/>
      </a:dk1>
      <a:lt1>
        <a:srgbClr val="FFFFFF"/>
      </a:lt1>
      <a:dk2>
        <a:srgbClr val="990000"/>
      </a:dk2>
      <a:lt2>
        <a:srgbClr val="999999"/>
      </a:lt2>
      <a:accent1>
        <a:srgbClr val="FF9900"/>
      </a:accent1>
      <a:accent2>
        <a:srgbClr val="99CC33"/>
      </a:accent2>
      <a:accent3>
        <a:srgbClr val="990066"/>
      </a:accent3>
      <a:accent4>
        <a:srgbClr val="3366CC"/>
      </a:accent4>
      <a:accent5>
        <a:srgbClr val="990000"/>
      </a:accent5>
      <a:accent6>
        <a:srgbClr val="999999"/>
      </a:accent6>
      <a:hlink>
        <a:srgbClr val="3366CC"/>
      </a:hlink>
      <a:folHlink>
        <a:srgbClr val="99999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74B2E-5920-40D1-8078-77574F16A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13</Pages>
  <Words>4207</Words>
  <Characters>101129</Characters>
  <Application>Microsoft Office Word</Application>
  <DocSecurity>0</DocSecurity>
  <Lines>842</Lines>
  <Paragraphs>210</Paragraphs>
  <ScaleCrop>false</ScaleCrop>
  <HeadingPairs>
    <vt:vector size="2" baseType="variant">
      <vt:variant>
        <vt:lpstr>Title</vt:lpstr>
      </vt:variant>
      <vt:variant>
        <vt:i4>1</vt:i4>
      </vt:variant>
    </vt:vector>
  </HeadingPairs>
  <TitlesOfParts>
    <vt:vector size="1" baseType="lpstr">
      <vt:lpstr>Rapport</vt:lpstr>
    </vt:vector>
  </TitlesOfParts>
  <Company>DTU</Company>
  <LinksUpToDate>false</LinksUpToDate>
  <CharactersWithSpaces>105126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creator>%displayname%</dc:creator>
  <cp:lastModifiedBy>Julia Rosemary Thorpe</cp:lastModifiedBy>
  <cp:revision>11</cp:revision>
  <cp:lastPrinted>2018-07-10T10:32:00Z</cp:lastPrinted>
  <dcterms:created xsi:type="dcterms:W3CDTF">2018-07-16T14:12:00Z</dcterms:created>
  <dcterms:modified xsi:type="dcterms:W3CDTF">2018-07-20T08:47:00Z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
    <vt:lpwstr>true</vt:lpwstr>
  </property>
  <property fmtid="{D5CDD505-2E9C-101B-9397-08002B2CF9AE}" pid="3" name="CustomerId">
    <vt:lpwstr>dtu</vt:lpwstr>
  </property>
  <property fmtid="{D5CDD505-2E9C-101B-9397-08002B2CF9AE}" pid="4" name="TemplateId">
    <vt:lpwstr>636354426883674709</vt:lpwstr>
  </property>
  <property fmtid="{D5CDD505-2E9C-101B-9397-08002B2CF9AE}" pid="5" name="UserProfileId">
    <vt:lpwstr>636471255529361599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http://csl.mendeley.com/styles/241076221/apa</vt:lpwstr>
  </property>
  <property fmtid="{D5CDD505-2E9C-101B-9397-08002B2CF9AE}" pid="13" name="Mendeley Recent Style Name 3_1">
    <vt:lpwstr>American Psychological Association 6th edition - Julia Thorpe</vt:lpwstr>
  </property>
  <property fmtid="{D5CDD505-2E9C-101B-9397-08002B2CF9AE}" pid="14" name="Mendeley Recent Style Id 4_1">
    <vt:lpwstr>http://csl.mendeley.com/styles/241076221/chicago-author-date-JRT</vt:lpwstr>
  </property>
  <property fmtid="{D5CDD505-2E9C-101B-9397-08002B2CF9AE}" pid="15" name="Mendeley Recent Style Name 4_1">
    <vt:lpwstr>Chicago Manual of Style 16th edition (author-date) - Julia Thorpe</vt:lpwstr>
  </property>
  <property fmtid="{D5CDD505-2E9C-101B-9397-08002B2CF9AE}" pid="16" name="Mendeley Recent Style Id 5_1">
    <vt:lpwstr>http://www.zotero.org/styles/emerald-harvard</vt:lpwstr>
  </property>
  <property fmtid="{D5CDD505-2E9C-101B-9397-08002B2CF9AE}" pid="17" name="Mendeley Recent Style Name 5_1">
    <vt:lpwstr>Emerald journals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http://www.zotero.org/styles/nature</vt:lpwstr>
  </property>
  <property fmtid="{D5CDD505-2E9C-101B-9397-08002B2CF9AE}" pid="21" name="Mendeley Recent Style Name 7_1">
    <vt:lpwstr>Nature</vt:lpwstr>
  </property>
  <property fmtid="{D5CDD505-2E9C-101B-9397-08002B2CF9AE}" pid="22" name="Mendeley Recent Style Id 8_1">
    <vt:lpwstr>http://www.zotero.org/styles/universite-de-montreal-apa</vt:lpwstr>
  </property>
  <property fmtid="{D5CDD505-2E9C-101B-9397-08002B2CF9AE}" pid="23" name="Mendeley Recent Style Name 8_1">
    <vt:lpwstr>Université de Montréal - APA (French - Canada)</vt:lpwstr>
  </property>
  <property fmtid="{D5CDD505-2E9C-101B-9397-08002B2CF9AE}" pid="24" name="Mendeley Recent Style Id 9_1">
    <vt:lpwstr>http://www.zotero.org/styles/vancouver</vt:lpwstr>
  </property>
  <property fmtid="{D5CDD505-2E9C-101B-9397-08002B2CF9AE}" pid="25" name="Mendeley Recent Style Name 9_1">
    <vt:lpwstr>Vancouver</vt:lpwstr>
  </property>
  <property fmtid="{D5CDD505-2E9C-101B-9397-08002B2CF9AE}" pid="26" name="Mendeley Document_1">
    <vt:lpwstr>True</vt:lpwstr>
  </property>
  <property fmtid="{D5CDD505-2E9C-101B-9397-08002B2CF9AE}" pid="27" name="Mendeley Unique User Id_1">
    <vt:lpwstr>8c66cfc1-72b9-3505-81d1-3254a25555f9</vt:lpwstr>
  </property>
  <property fmtid="{D5CDD505-2E9C-101B-9397-08002B2CF9AE}" pid="28" name="Mendeley Citation Style_1">
    <vt:lpwstr>http://csl.mendeley.com/styles/241076221/apa</vt:lpwstr>
  </property>
</Properties>
</file>