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color w:val="1F4E79"/>
          <w:sz w:val="56"/>
        </w:rPr>
        <w:t>System Security Plan (SSP)</w:t>
      </w:r>
    </w:p>
    <w:p>
      <w:pPr>
        <w:jc w:val="center"/>
      </w:pPr>
      <w:r>
        <w:rPr>
          <w:rFonts w:ascii="Calibri" w:hAnsi="Calibri"/>
          <w:b w:val="0"/>
          <w:i/>
          <w:color w:val="2E75B6"/>
          <w:sz w:val="28"/>
        </w:rPr>
        <w:t>Rent a Dog Enterprise Network</w:t>
      </w:r>
    </w:p>
    <w:p>
      <w:pPr>
        <w:spacing w:after="120"/>
        <w:jc w:val="center"/>
      </w:pPr>
      <w:r>
        <w:rPr>
          <w:rFonts w:ascii="Calibri" w:hAnsi="Calibri"/>
          <w:b w:val="0"/>
          <w:i w:val="0"/>
          <w:color w:val="2E75B6"/>
          <w:sz w:val="20"/>
        </w:rPr>
        <w:t>──────────────────────────────</w:t>
      </w:r>
    </w:p>
    <w:p>
      <w:pPr>
        <w:spacing w:after="120"/>
      </w:pPr>
      <w:r>
        <w:rPr>
          <w:rFonts w:ascii="Calibri" w:hAnsi="Calibri"/>
          <w:b w:val="0"/>
          <w:i/>
          <w:color w:val="333333"/>
          <w:sz w:val="22"/>
        </w:rPr>
        <w:t>IST 4910 — Enterprise System Administration</w:t>
      </w:r>
    </w:p>
    <w:p>
      <w:pPr>
        <w:spacing w:after="120"/>
      </w:pPr>
      <w:r>
        <w:rPr>
          <w:rFonts w:ascii="Calibri" w:hAnsi="Calibri"/>
          <w:b w:val="0"/>
          <w:i/>
          <w:color w:val="333333"/>
          <w:sz w:val="22"/>
        </w:rPr>
        <w:t>California State University, San Bernardino</w:t>
      </w:r>
    </w:p>
    <w:p>
      <w:pPr>
        <w:spacing w:after="120"/>
      </w:pPr>
      <w:r>
        <w:rPr>
          <w:rFonts w:ascii="Calibri" w:hAnsi="Calibri"/>
          <w:b w:val="0"/>
          <w:i/>
          <w:color w:val="333333"/>
          <w:sz w:val="22"/>
        </w:rPr>
        <w:t>Spring 2026</w:t>
      </w:r>
    </w:p>
    <w:p>
      <w:pPr>
        <w:spacing w:after="120"/>
      </w:pPr>
      <w:r>
        <w:rPr>
          <w:rFonts w:ascii="Calibri" w:hAnsi="Calibri"/>
          <w:b w:val="0"/>
          <w:i w:val="0"/>
          <w:color w:val="333333"/>
          <w:sz w:val="22"/>
        </w:rPr>
      </w:r>
    </w:p>
    <w:p>
      <w:pPr>
        <w:spacing w:after="120"/>
      </w:pPr>
      <w:r>
        <w:rPr>
          <w:rFonts w:ascii="Calibri" w:hAnsi="Calibri"/>
          <w:b w:val="0"/>
          <w:i/>
          <w:color w:val="333333"/>
          <w:sz w:val="22"/>
        </w:rPr>
        <w:t>James Ruggles  ·  Jason Cortez-Robles  ·  Oscar Ponce  ·  Allegra Ramirez</w:t>
      </w:r>
    </w:p>
    <w:p>
      <w:pPr>
        <w:spacing w:after="120"/>
      </w:pPr>
      <w:r>
        <w:rPr>
          <w:rFonts w:ascii="Calibri" w:hAnsi="Calibri"/>
          <w:b w:val="0"/>
          <w:i w:val="0"/>
          <w:color w:val="333333"/>
          <w:sz w:val="22"/>
        </w:rPr>
      </w:r>
    </w:p>
    <w:tbl>
      <w:tblPr>
        <w:tblW w:type="auto" w:w="0"/>
        <w:jc w:val="center"/>
        <w:tblLayout w:type="fixed"/>
        <w:tblLook w:firstColumn="1" w:firstRow="1" w:lastColumn="0" w:lastRow="0" w:noHBand="0" w:noVBand="1" w:val="04A0"/>
      </w:tblPr>
      <w:tblGrid>
        <w:gridCol w:w="4873"/>
        <w:gridCol w:w="4873"/>
      </w:tblGrid>
      <w:tr>
        <w:tc>
          <w:tcPr>
            <w:tcW w:type="dxa" w:w="2880"/>
            <w:shd w:val="clear" w:color="auto" w:fill="1F4E79"/>
            <w:tcBorders>
              <w:top w:val="single" w:sz="4" w:color="1F4E79"/>
              <w:left w:val="single" w:sz="4" w:color="1F4E79"/>
              <w:bottom w:val="single" w:sz="4" w:color="1F4E79"/>
              <w:right w:val="single" w:sz="4" w:color="1F4E79"/>
            </w:tcBorders>
            <w:vAlign w:val="center"/>
          </w:tcPr>
          <w:p>
            <w:pPr>
              <w:spacing w:after="0"/>
            </w:pPr>
            <w:r/>
            <w:r>
              <w:rPr>
                <w:rFonts w:ascii="Calibri" w:hAnsi="Calibri"/>
                <w:b/>
                <w:i w:val="0"/>
                <w:color w:val="FFFFFF"/>
                <w:sz w:val="22"/>
              </w:rPr>
              <w:t>Field</w:t>
            </w:r>
          </w:p>
        </w:tc>
        <w:tc>
          <w:tcPr>
            <w:tcW w:type="dxa" w:w="6480"/>
            <w:shd w:val="clear" w:color="auto" w:fill="1F4E79"/>
            <w:tcBorders>
              <w:top w:val="single" w:sz="4" w:color="1F4E79"/>
              <w:left w:val="single" w:sz="4" w:color="1F4E79"/>
              <w:bottom w:val="single" w:sz="4" w:color="1F4E79"/>
              <w:right w:val="single" w:sz="4" w:color="1F4E79"/>
            </w:tcBorders>
            <w:vAlign w:val="center"/>
          </w:tcPr>
          <w:p>
            <w:pPr>
              <w:spacing w:after="0"/>
            </w:pPr>
            <w:r/>
            <w:r>
              <w:rPr>
                <w:rFonts w:ascii="Calibri" w:hAnsi="Calibri"/>
                <w:b/>
                <w:i w:val="0"/>
                <w:color w:val="FFFFFF"/>
                <w:sz w:val="22"/>
              </w:rPr>
              <w:t>Details</w:t>
            </w:r>
          </w:p>
        </w:tc>
      </w:tr>
      <w:tr>
        <w:tc>
          <w:tcPr>
            <w:tcW w:type="dxa" w:w="288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Document Title</w:t>
            </w:r>
          </w:p>
        </w:tc>
        <w:tc>
          <w:tcPr>
            <w:tcW w:type="dxa" w:w="648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System Security Plan (SSP) — Rent a Dog</w:t>
            </w:r>
          </w:p>
        </w:tc>
      </w:tr>
      <w:tr>
        <w:tc>
          <w:tcPr>
            <w:tcW w:type="dxa" w:w="288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Team</w:t>
            </w:r>
          </w:p>
        </w:tc>
        <w:tc>
          <w:tcPr>
            <w:tcW w:type="dxa" w:w="648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Team 6</w:t>
            </w:r>
          </w:p>
        </w:tc>
      </w:tr>
      <w:tr>
        <w:tc>
          <w:tcPr>
            <w:tcW w:type="dxa" w:w="288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Team Members</w:t>
            </w:r>
          </w:p>
        </w:tc>
        <w:tc>
          <w:tcPr>
            <w:tcW w:type="dxa" w:w="648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Allegra Ramirez · James Ruggles · Oscar Ponce · Jason Cortez-Robles</w:t>
            </w:r>
          </w:p>
        </w:tc>
      </w:tr>
      <w:tr>
        <w:tc>
          <w:tcPr>
            <w:tcW w:type="dxa" w:w="288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Instructor</w:t>
            </w:r>
          </w:p>
        </w:tc>
        <w:tc>
          <w:tcPr>
            <w:tcW w:type="dxa" w:w="648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Dr. Vincent Nestler</w:t>
            </w:r>
          </w:p>
        </w:tc>
      </w:tr>
      <w:tr>
        <w:tc>
          <w:tcPr>
            <w:tcW w:type="dxa" w:w="288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Course</w:t>
            </w:r>
          </w:p>
        </w:tc>
        <w:tc>
          <w:tcPr>
            <w:tcW w:type="dxa" w:w="648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IST 4910 — Enterprise System Administration</w:t>
            </w:r>
          </w:p>
        </w:tc>
      </w:tr>
      <w:tr>
        <w:tc>
          <w:tcPr>
            <w:tcW w:type="dxa" w:w="288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Institution</w:t>
            </w:r>
          </w:p>
        </w:tc>
        <w:tc>
          <w:tcPr>
            <w:tcW w:type="dxa" w:w="648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California State University, San Bernardino</w:t>
            </w:r>
          </w:p>
        </w:tc>
      </w:tr>
      <w:tr>
        <w:tc>
          <w:tcPr>
            <w:tcW w:type="dxa" w:w="288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Date</w:t>
            </w:r>
          </w:p>
        </w:tc>
        <w:tc>
          <w:tcPr>
            <w:tcW w:type="dxa" w:w="648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April 27, 2026</w:t>
            </w:r>
          </w:p>
        </w:tc>
      </w:tr>
      <w:tr>
        <w:tc>
          <w:tcPr>
            <w:tcW w:type="dxa" w:w="288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Version</w:t>
            </w:r>
          </w:p>
        </w:tc>
        <w:tc>
          <w:tcPr>
            <w:tcW w:type="dxa" w:w="648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2.0 — Post-Pentest Final</w:t>
            </w:r>
          </w:p>
        </w:tc>
      </w:tr>
      <w:tr>
        <w:tc>
          <w:tcPr>
            <w:tcW w:type="dxa" w:w="288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Classification</w:t>
            </w:r>
          </w:p>
        </w:tc>
        <w:tc>
          <w:tcPr>
            <w:tcW w:type="dxa" w:w="648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Confidential — For Academic Use Only</w:t>
            </w:r>
          </w:p>
        </w:tc>
      </w:tr>
    </w:tbl>
    <w:p>
      <w:r>
        <w:br w:type="page"/>
      </w:r>
    </w:p>
    <w:p>
      <w:pPr>
        <w:spacing w:before="360" w:after="120"/>
        <w:pBdr>
          <w:bottom w:val="single" w:sz="6" w:color="2E75B6"/>
        </w:pBdr>
      </w:pPr>
      <w:r>
        <w:rPr>
          <w:rFonts w:ascii="Calibri" w:hAnsi="Calibri"/>
          <w:b/>
          <w:i w:val="0"/>
          <w:color w:val="1F4E79"/>
          <w:sz w:val="36"/>
        </w:rPr>
        <w:t>1. System Overview</w:t>
      </w:r>
    </w:p>
    <w:p>
      <w:pPr>
        <w:spacing w:before="240" w:after="80"/>
      </w:pPr>
      <w:r>
        <w:rPr>
          <w:rFonts w:ascii="Calibri" w:hAnsi="Calibri"/>
          <w:b/>
          <w:i w:val="0"/>
          <w:color w:val="1F4E79"/>
          <w:sz w:val="28"/>
        </w:rPr>
        <w:t>1.1 System Name and Purpose</w:t>
      </w:r>
    </w:p>
    <w:p>
      <w:pPr>
        <w:spacing w:after="120"/>
      </w:pPr>
      <w:r>
        <w:rPr>
          <w:rFonts w:ascii="Calibri" w:hAnsi="Calibri"/>
          <w:b w:val="0"/>
          <w:i w:val="0"/>
          <w:color w:val="333333"/>
          <w:sz w:val="22"/>
        </w:rPr>
        <w:t>The Rent a Dog enterprise network is a fully simulated small business network designed and deployed by Team 6 as part of IST 4910 at California State University, San Bernardino. The system supports all operations for Rent a Dog, a fictional dog rental business offering dog breed tiers, experience packages (Dog Cafe, Dog Yoga, Dog Garden), e-commerce checkout, internal email, AI-assisted customer service, and IT monitoring.</w:t>
      </w:r>
    </w:p>
    <w:p>
      <w:pPr>
        <w:spacing w:after="120"/>
      </w:pPr>
      <w:r>
        <w:rPr>
          <w:rFonts w:ascii="Calibri" w:hAnsi="Calibri"/>
          <w:b w:val="0"/>
          <w:i w:val="0"/>
          <w:color w:val="333333"/>
          <w:sz w:val="22"/>
        </w:rPr>
        <w:t>The network provides web presence, database services, internal communications, centralized user authentication, and security monitoring in a multi-zone enterprise architecture.</w:t>
      </w:r>
    </w:p>
    <w:p>
      <w:pPr>
        <w:spacing w:before="240" w:after="80"/>
      </w:pPr>
      <w:r>
        <w:rPr>
          <w:rFonts w:ascii="Calibri" w:hAnsi="Calibri"/>
          <w:b/>
          <w:i w:val="0"/>
          <w:color w:val="1F4E79"/>
          <w:sz w:val="28"/>
        </w:rPr>
        <w:t>1.2 System Boundaries</w:t>
      </w:r>
    </w:p>
    <w:p>
      <w:pPr>
        <w:spacing w:after="120"/>
      </w:pPr>
      <w:r>
        <w:rPr>
          <w:rFonts w:ascii="Calibri" w:hAnsi="Calibri"/>
          <w:b w:val="0"/>
          <w:i w:val="0"/>
          <w:color w:val="333333"/>
          <w:sz w:val="22"/>
        </w:rPr>
        <w:t>The system consists of nine production virtual machines organized into three network zones, all hosted on the CSUSB Cyberlab Proxmox environment (pve.cyberlab.csusb.edu). The three zones are:</w:t>
      </w:r>
    </w:p>
    <w:p>
      <w:pPr>
        <w:pStyle w:val="ListBullet"/>
        <w:spacing w:after="40"/>
        <w:ind w:left="340"/>
      </w:pPr>
      <w:r>
        <w:rPr>
          <w:rFonts w:ascii="Calibri" w:hAnsi="Calibri"/>
          <w:b w:val="0"/>
          <w:i w:val="0"/>
          <w:color w:val="333333"/>
          <w:sz w:val="22"/>
        </w:rPr>
        <w:t>WAN Zone (172.31.0.0/24) — External-facing, internet-connected segment</w:t>
      </w:r>
    </w:p>
    <w:p>
      <w:pPr>
        <w:pStyle w:val="ListBullet"/>
        <w:spacing w:after="40"/>
        <w:ind w:left="340"/>
      </w:pPr>
      <w:r>
        <w:rPr>
          <w:rFonts w:ascii="Calibri" w:hAnsi="Calibri"/>
          <w:b w:val="0"/>
          <w:i w:val="0"/>
          <w:color w:val="333333"/>
          <w:sz w:val="22"/>
        </w:rPr>
        <w:t>DMZ Zone (10.0.1.0/24) — Web server, database, and application services</w:t>
      </w:r>
    </w:p>
    <w:p>
      <w:pPr>
        <w:pStyle w:val="ListBullet"/>
        <w:spacing w:after="40"/>
        <w:ind w:left="340"/>
      </w:pPr>
      <w:r>
        <w:rPr>
          <w:rFonts w:ascii="Calibri" w:hAnsi="Calibri"/>
          <w:b w:val="0"/>
          <w:i w:val="0"/>
          <w:color w:val="333333"/>
          <w:sz w:val="22"/>
        </w:rPr>
        <w:t>Internal LAN Zone (192.168.1.0/24) — Staff workstations, AD/DNS, and monitoring</w:t>
      </w:r>
    </w:p>
    <w:p>
      <w:pPr>
        <w:spacing w:before="240" w:after="80"/>
      </w:pPr>
      <w:r>
        <w:rPr>
          <w:rFonts w:ascii="Calibri" w:hAnsi="Calibri"/>
          <w:b/>
          <w:i w:val="0"/>
          <w:color w:val="1F4E79"/>
          <w:sz w:val="28"/>
        </w:rPr>
        <w:t>1.3 Network Topology Summary</w:t>
      </w:r>
    </w:p>
    <w:p>
      <w:pPr>
        <w:spacing w:after="120"/>
      </w:pPr>
      <w:r>
        <w:rPr>
          <w:rFonts w:ascii="Calibri" w:hAnsi="Calibri"/>
          <w:b w:val="0"/>
          <w:i w:val="0"/>
          <w:color w:val="333333"/>
          <w:sz w:val="22"/>
        </w:rPr>
        <w:t>Three security zones separated by an OPNsense firewall, with VyOS routers at zone edges. Default-deny pf rules; explicit allowlists for legitimate cross-zone flows.</w:t>
      </w:r>
    </w:p>
    <w:p>
      <w:pPr>
        <w:spacing w:before="240" w:after="80"/>
      </w:pPr>
      <w:r>
        <w:rPr>
          <w:rFonts w:ascii="Calibri" w:hAnsi="Calibri"/>
          <w:b/>
          <w:i w:val="0"/>
          <w:color w:val="1F4E79"/>
          <w:sz w:val="28"/>
        </w:rPr>
        <w:t>1.4 Domain and DNS</w:t>
      </w:r>
    </w:p>
    <w:p>
      <w:pPr>
        <w:pStyle w:val="ListBullet"/>
        <w:spacing w:after="40"/>
        <w:ind w:left="340"/>
      </w:pPr>
      <w:r>
        <w:rPr>
          <w:rFonts w:ascii="Calibri" w:hAnsi="Calibri"/>
          <w:b w:val="0"/>
          <w:i w:val="0"/>
          <w:color w:val="333333"/>
          <w:sz w:val="22"/>
        </w:rPr>
        <w:t>Active Directory Domain: nestlerteam6.local</w:t>
      </w:r>
    </w:p>
    <w:p>
      <w:pPr>
        <w:pStyle w:val="ListBullet"/>
        <w:spacing w:after="40"/>
        <w:ind w:left="340"/>
      </w:pPr>
      <w:r>
        <w:rPr>
          <w:rFonts w:ascii="Calibri" w:hAnsi="Calibri"/>
          <w:b w:val="0"/>
          <w:i w:val="0"/>
          <w:color w:val="333333"/>
          <w:sz w:val="22"/>
        </w:rPr>
        <w:t>Website DNS Zone: rentadog.local (www.rentadog.local and mail.rentadog.local resolve to 10.0.1.100)</w:t>
      </w:r>
    </w:p>
    <w:p>
      <w:pPr>
        <w:pStyle w:val="ListBullet"/>
        <w:spacing w:after="40"/>
        <w:ind w:left="340"/>
      </w:pPr>
      <w:r>
        <w:rPr>
          <w:rFonts w:ascii="Calibri" w:hAnsi="Calibri"/>
          <w:b w:val="0"/>
          <w:i w:val="0"/>
          <w:color w:val="333333"/>
          <w:sz w:val="22"/>
        </w:rPr>
        <w:t>DNS Forwarders: 8.8.8.8 and 1.1.1.1</w:t>
      </w:r>
    </w:p>
    <w:p>
      <w:pPr>
        <w:pStyle w:val="ListBullet"/>
        <w:spacing w:after="40"/>
        <w:ind w:left="340"/>
      </w:pPr>
      <w:r>
        <w:rPr>
          <w:rFonts w:ascii="Calibri" w:hAnsi="Calibri"/>
          <w:b w:val="0"/>
          <w:i w:val="0"/>
          <w:color w:val="333333"/>
          <w:sz w:val="22"/>
        </w:rPr>
        <w:t>Reverse lookup zones configured for 192.168.1.x (LAN) and 10.0.1.x (DMZ)</w:t>
      </w:r>
    </w:p>
    <w:p>
      <w:r>
        <w:br w:type="page"/>
      </w:r>
    </w:p>
    <w:p>
      <w:pPr>
        <w:spacing w:before="360" w:after="120"/>
        <w:pBdr>
          <w:bottom w:val="single" w:sz="6" w:color="2E75B6"/>
        </w:pBdr>
      </w:pPr>
      <w:r>
        <w:rPr>
          <w:rFonts w:ascii="Calibri" w:hAnsi="Calibri"/>
          <w:b/>
          <w:i w:val="0"/>
          <w:color w:val="1F4E79"/>
          <w:sz w:val="36"/>
        </w:rPr>
        <w:t>2. System Roles and Responsibilities</w:t>
      </w:r>
    </w:p>
    <w:tbl>
      <w:tblPr>
        <w:tblW w:type="auto" w:w="0"/>
        <w:jc w:val="center"/>
        <w:tblLayout w:type="fixed"/>
        <w:tblLook w:firstColumn="1" w:firstRow="1" w:lastColumn="0" w:lastRow="0" w:noHBand="0" w:noVBand="1" w:val="04A0"/>
      </w:tblPr>
      <w:tblGrid>
        <w:gridCol w:w="3249"/>
        <w:gridCol w:w="3249"/>
        <w:gridCol w:w="3249"/>
      </w:tblGrid>
      <w:tr>
        <w:tc>
          <w:tcPr>
            <w:tcW w:type="dxa" w:w="2304"/>
            <w:shd w:val="clear" w:color="auto" w:fill="1F4E79"/>
            <w:tcBorders>
              <w:top w:val="single" w:sz="4" w:color="1F4E79"/>
              <w:left w:val="single" w:sz="4" w:color="1F4E79"/>
              <w:bottom w:val="single" w:sz="4" w:color="1F4E79"/>
              <w:right w:val="single" w:sz="4" w:color="1F4E79"/>
            </w:tcBorders>
            <w:vAlign w:val="center"/>
          </w:tcPr>
          <w:p>
            <w:pPr>
              <w:spacing w:after="0"/>
            </w:pPr>
            <w:r/>
            <w:r>
              <w:rPr>
                <w:rFonts w:ascii="Calibri" w:hAnsi="Calibri"/>
                <w:b/>
                <w:i w:val="0"/>
                <w:color w:val="FFFFFF"/>
                <w:sz w:val="22"/>
              </w:rPr>
              <w:t>Name</w:t>
            </w:r>
          </w:p>
        </w:tc>
        <w:tc>
          <w:tcPr>
            <w:tcW w:type="dxa" w:w="2880"/>
            <w:shd w:val="clear" w:color="auto" w:fill="1F4E79"/>
            <w:tcBorders>
              <w:top w:val="single" w:sz="4" w:color="1F4E79"/>
              <w:left w:val="single" w:sz="4" w:color="1F4E79"/>
              <w:bottom w:val="single" w:sz="4" w:color="1F4E79"/>
              <w:right w:val="single" w:sz="4" w:color="1F4E79"/>
            </w:tcBorders>
            <w:vAlign w:val="center"/>
          </w:tcPr>
          <w:p>
            <w:pPr>
              <w:spacing w:after="0"/>
            </w:pPr>
            <w:r/>
            <w:r>
              <w:rPr>
                <w:rFonts w:ascii="Calibri" w:hAnsi="Calibri"/>
                <w:b/>
                <w:i w:val="0"/>
                <w:color w:val="FFFFFF"/>
                <w:sz w:val="22"/>
              </w:rPr>
              <w:t>Role</w:t>
            </w:r>
          </w:p>
        </w:tc>
        <w:tc>
          <w:tcPr>
            <w:tcW w:type="dxa" w:w="5760"/>
            <w:shd w:val="clear" w:color="auto" w:fill="1F4E79"/>
            <w:tcBorders>
              <w:top w:val="single" w:sz="4" w:color="1F4E79"/>
              <w:left w:val="single" w:sz="4" w:color="1F4E79"/>
              <w:bottom w:val="single" w:sz="4" w:color="1F4E79"/>
              <w:right w:val="single" w:sz="4" w:color="1F4E79"/>
            </w:tcBorders>
            <w:vAlign w:val="center"/>
          </w:tcPr>
          <w:p>
            <w:pPr>
              <w:spacing w:after="0"/>
            </w:pPr>
            <w:r/>
            <w:r>
              <w:rPr>
                <w:rFonts w:ascii="Calibri" w:hAnsi="Calibri"/>
                <w:b/>
                <w:i w:val="0"/>
                <w:color w:val="FFFFFF"/>
                <w:sz w:val="22"/>
              </w:rPr>
              <w:t>Responsibilities</w:t>
            </w:r>
          </w:p>
        </w:tc>
      </w:tr>
      <w:tr>
        <w:tc>
          <w:tcPr>
            <w:tcW w:type="dxa" w:w="2304"/>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Allegra Ramirez</w:t>
            </w:r>
          </w:p>
        </w:tc>
        <w:tc>
          <w:tcPr>
            <w:tcW w:type="dxa" w:w="288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AD/DNS Administrator</w:t>
            </w:r>
          </w:p>
        </w:tc>
        <w:tc>
          <w:tcPr>
            <w:tcW w:type="dxa" w:w="576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Active Directory setup, DNS zones, Group Policy, user accounts, account baseline cleanup, AD security audit, email mailbox provisioning, LDAP signing enforcement</w:t>
            </w:r>
          </w:p>
        </w:tc>
      </w:tr>
      <w:tr>
        <w:tc>
          <w:tcPr>
            <w:tcW w:type="dxa" w:w="2304"/>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James Ruggles</w:t>
            </w:r>
          </w:p>
        </w:tc>
        <w:tc>
          <w:tcPr>
            <w:tcW w:type="dxa" w:w="288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Web/Security Administrator + IR Coordinator</w:t>
            </w:r>
          </w:p>
        </w:tc>
        <w:tc>
          <w:tcPr>
            <w:tcW w:type="dxa" w:w="576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WebServer, website development, email server, Bark Bot AI, Apache hardening, web app A1–A4 closures, autoblock pipeline, honeypot layer, Day 7 forensic review, IR coordination</w:t>
            </w:r>
          </w:p>
        </w:tc>
      </w:tr>
      <w:tr>
        <w:tc>
          <w:tcPr>
            <w:tcW w:type="dxa" w:w="2304"/>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Oscar Ponce</w:t>
            </w:r>
          </w:p>
        </w:tc>
        <w:tc>
          <w:tcPr>
            <w:tcW w:type="dxa" w:w="288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Database Administrator</w:t>
            </w:r>
          </w:p>
        </w:tc>
        <w:tc>
          <w:tcPr>
            <w:tcW w:type="dxa" w:w="576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PostgreSQL database, Zabbix server, Python automation scripts, database backups, Linux Tier 2 firewalld, ClientDesktop2 RHEL, DB cred audit</w:t>
            </w:r>
          </w:p>
        </w:tc>
      </w:tr>
      <w:tr>
        <w:tc>
          <w:tcPr>
            <w:tcW w:type="dxa" w:w="2304"/>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Jason Cortez-Robles</w:t>
            </w:r>
          </w:p>
        </w:tc>
        <w:tc>
          <w:tcPr>
            <w:tcW w:type="dxa" w:w="288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Network Administrator</w:t>
            </w:r>
          </w:p>
        </w:tc>
        <w:tc>
          <w:tcPr>
            <w:tcW w:type="dxa" w:w="576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VyOS routers (WAN and LAN), OPNsense firewall rules, NAT configuration, network segmentation, Suricata deployment, pf scope and DMZ perimeter (FIND-014, 015, 016)</w:t>
            </w:r>
          </w:p>
        </w:tc>
      </w:tr>
      <w:tr>
        <w:tc>
          <w:tcPr>
            <w:tcW w:type="dxa" w:w="2304"/>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Dr. Vincent Nestler</w:t>
            </w:r>
          </w:p>
        </w:tc>
        <w:tc>
          <w:tcPr>
            <w:tcW w:type="dxa" w:w="288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Instructor / Authorizing Official</w:t>
            </w:r>
          </w:p>
        </w:tc>
        <w:tc>
          <w:tcPr>
            <w:tcW w:type="dxa" w:w="576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Project oversight, final authorization, pentest coordination</w:t>
            </w:r>
          </w:p>
        </w:tc>
      </w:tr>
    </w:tbl>
    <w:p>
      <w:r>
        <w:br w:type="page"/>
      </w:r>
    </w:p>
    <w:p>
      <w:pPr>
        <w:spacing w:before="360" w:after="120"/>
        <w:pBdr>
          <w:bottom w:val="single" w:sz="6" w:color="2E75B6"/>
        </w:pBdr>
      </w:pPr>
      <w:r>
        <w:rPr>
          <w:rFonts w:ascii="Calibri" w:hAnsi="Calibri"/>
          <w:b/>
          <w:i w:val="0"/>
          <w:color w:val="1F4E79"/>
          <w:sz w:val="36"/>
        </w:rPr>
        <w:t>3. Information Types and Data Classification</w:t>
      </w:r>
    </w:p>
    <w:p>
      <w:pPr>
        <w:spacing w:before="240" w:after="80"/>
      </w:pPr>
      <w:r>
        <w:rPr>
          <w:rFonts w:ascii="Calibri" w:hAnsi="Calibri"/>
          <w:b/>
          <w:i w:val="0"/>
          <w:color w:val="1F4E79"/>
          <w:sz w:val="28"/>
        </w:rPr>
        <w:t>3.1 Data Types</w:t>
      </w:r>
    </w:p>
    <w:tbl>
      <w:tblPr>
        <w:tblW w:type="auto" w:w="0"/>
        <w:jc w:val="center"/>
        <w:tblLayout w:type="fixed"/>
        <w:tblLook w:firstColumn="1" w:firstRow="1" w:lastColumn="0" w:lastRow="0" w:noHBand="0" w:noVBand="1" w:val="04A0"/>
      </w:tblPr>
      <w:tblGrid>
        <w:gridCol w:w="2436"/>
        <w:gridCol w:w="2436"/>
        <w:gridCol w:w="2436"/>
        <w:gridCol w:w="2436"/>
      </w:tblGrid>
      <w:tr>
        <w:tc>
          <w:tcPr>
            <w:tcW w:type="dxa" w:w="2160"/>
            <w:shd w:val="clear" w:color="auto" w:fill="1F4E79"/>
            <w:tcBorders>
              <w:top w:val="single" w:sz="4" w:color="1F4E79"/>
              <w:left w:val="single" w:sz="4" w:color="1F4E79"/>
              <w:bottom w:val="single" w:sz="4" w:color="1F4E79"/>
              <w:right w:val="single" w:sz="4" w:color="1F4E79"/>
            </w:tcBorders>
            <w:vAlign w:val="center"/>
          </w:tcPr>
          <w:p>
            <w:pPr>
              <w:spacing w:after="0"/>
            </w:pPr>
            <w:r/>
            <w:r>
              <w:rPr>
                <w:rFonts w:ascii="Calibri" w:hAnsi="Calibri"/>
                <w:b/>
                <w:i w:val="0"/>
                <w:color w:val="FFFFFF"/>
                <w:sz w:val="22"/>
              </w:rPr>
              <w:t>Data Type</w:t>
            </w:r>
          </w:p>
        </w:tc>
        <w:tc>
          <w:tcPr>
            <w:tcW w:type="dxa" w:w="3456"/>
            <w:shd w:val="clear" w:color="auto" w:fill="1F4E79"/>
            <w:tcBorders>
              <w:top w:val="single" w:sz="4" w:color="1F4E79"/>
              <w:left w:val="single" w:sz="4" w:color="1F4E79"/>
              <w:bottom w:val="single" w:sz="4" w:color="1F4E79"/>
              <w:right w:val="single" w:sz="4" w:color="1F4E79"/>
            </w:tcBorders>
            <w:vAlign w:val="center"/>
          </w:tcPr>
          <w:p>
            <w:pPr>
              <w:spacing w:after="0"/>
            </w:pPr>
            <w:r/>
            <w:r>
              <w:rPr>
                <w:rFonts w:ascii="Calibri" w:hAnsi="Calibri"/>
                <w:b/>
                <w:i w:val="0"/>
                <w:color w:val="FFFFFF"/>
                <w:sz w:val="22"/>
              </w:rPr>
              <w:t>Description</w:t>
            </w:r>
          </w:p>
        </w:tc>
        <w:tc>
          <w:tcPr>
            <w:tcW w:type="dxa" w:w="1872"/>
            <w:shd w:val="clear" w:color="auto" w:fill="1F4E79"/>
            <w:tcBorders>
              <w:top w:val="single" w:sz="4" w:color="1F4E79"/>
              <w:left w:val="single" w:sz="4" w:color="1F4E79"/>
              <w:bottom w:val="single" w:sz="4" w:color="1F4E79"/>
              <w:right w:val="single" w:sz="4" w:color="1F4E79"/>
            </w:tcBorders>
            <w:vAlign w:val="center"/>
          </w:tcPr>
          <w:p>
            <w:pPr>
              <w:spacing w:after="0"/>
            </w:pPr>
            <w:r/>
            <w:r>
              <w:rPr>
                <w:rFonts w:ascii="Calibri" w:hAnsi="Calibri"/>
                <w:b/>
                <w:i w:val="0"/>
                <w:color w:val="FFFFFF"/>
                <w:sz w:val="22"/>
              </w:rPr>
              <w:t>Classification</w:t>
            </w:r>
          </w:p>
        </w:tc>
        <w:tc>
          <w:tcPr>
            <w:tcW w:type="dxa" w:w="3456"/>
            <w:shd w:val="clear" w:color="auto" w:fill="1F4E79"/>
            <w:tcBorders>
              <w:top w:val="single" w:sz="4" w:color="1F4E79"/>
              <w:left w:val="single" w:sz="4" w:color="1F4E79"/>
              <w:bottom w:val="single" w:sz="4" w:color="1F4E79"/>
              <w:right w:val="single" w:sz="4" w:color="1F4E79"/>
            </w:tcBorders>
            <w:vAlign w:val="center"/>
          </w:tcPr>
          <w:p>
            <w:pPr>
              <w:spacing w:after="0"/>
            </w:pPr>
            <w:r/>
            <w:r>
              <w:rPr>
                <w:rFonts w:ascii="Calibri" w:hAnsi="Calibri"/>
                <w:b/>
                <w:i w:val="0"/>
                <w:color w:val="FFFFFF"/>
                <w:sz w:val="22"/>
              </w:rPr>
              <w:t>Location</w:t>
            </w:r>
          </w:p>
        </w:tc>
      </w:tr>
      <w:tr>
        <w:tc>
          <w:tcPr>
            <w:tcW w:type="dxa" w:w="216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Customer Records</w:t>
            </w:r>
          </w:p>
        </w:tc>
        <w:tc>
          <w:tcPr>
            <w:tcW w:type="dxa" w:w="3456"/>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Guest names, phone numbers, PayPal sandbox credentials</w:t>
            </w:r>
          </w:p>
        </w:tc>
        <w:tc>
          <w:tcPr>
            <w:tcW w:type="dxa" w:w="1872"/>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Confidential</w:t>
            </w:r>
          </w:p>
        </w:tc>
        <w:tc>
          <w:tcPr>
            <w:tcW w:type="dxa" w:w="3456"/>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PostgreSQL DB (10.0.1.200)</w:t>
            </w:r>
          </w:p>
        </w:tc>
      </w:tr>
      <w:tr>
        <w:tc>
          <w:tcPr>
            <w:tcW w:type="dxa" w:w="216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User Credentials</w:t>
            </w:r>
          </w:p>
        </w:tc>
        <w:tc>
          <w:tcPr>
            <w:tcW w:type="dxa" w:w="3456"/>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AD user accounts, SSH keys, service passwords</w:t>
            </w:r>
          </w:p>
        </w:tc>
        <w:tc>
          <w:tcPr>
            <w:tcW w:type="dxa" w:w="1872"/>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Highly Confidential</w:t>
            </w:r>
          </w:p>
        </w:tc>
        <w:tc>
          <w:tcPr>
            <w:tcW w:type="dxa" w:w="3456"/>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AD Server (192.168.1.5)</w:t>
            </w:r>
          </w:p>
        </w:tc>
      </w:tr>
      <w:tr>
        <w:tc>
          <w:tcPr>
            <w:tcW w:type="dxa" w:w="216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Website Content</w:t>
            </w:r>
          </w:p>
        </w:tc>
        <w:tc>
          <w:tcPr>
            <w:tcW w:type="dxa" w:w="3456"/>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Dog breed listings, experience packages, shopping cart</w:t>
            </w:r>
          </w:p>
        </w:tc>
        <w:tc>
          <w:tcPr>
            <w:tcW w:type="dxa" w:w="1872"/>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Public</w:t>
            </w:r>
          </w:p>
        </w:tc>
        <w:tc>
          <w:tcPr>
            <w:tcW w:type="dxa" w:w="3456"/>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WebServer (10.0.1.100)</w:t>
            </w:r>
          </w:p>
        </w:tc>
      </w:tr>
      <w:tr>
        <w:tc>
          <w:tcPr>
            <w:tcW w:type="dxa" w:w="216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Email Communications</w:t>
            </w:r>
          </w:p>
        </w:tc>
        <w:tc>
          <w:tcPr>
            <w:tcW w:type="dxa" w:w="3456"/>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Internal staff email via MailEnable</w:t>
            </w:r>
          </w:p>
        </w:tc>
        <w:tc>
          <w:tcPr>
            <w:tcW w:type="dxa" w:w="1872"/>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Internal</w:t>
            </w:r>
          </w:p>
        </w:tc>
        <w:tc>
          <w:tcPr>
            <w:tcW w:type="dxa" w:w="3456"/>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WebServer (10.0.1.100)</w:t>
            </w:r>
          </w:p>
        </w:tc>
      </w:tr>
      <w:tr>
        <w:tc>
          <w:tcPr>
            <w:tcW w:type="dxa" w:w="216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Help Desk Tickets</w:t>
            </w:r>
          </w:p>
        </w:tc>
        <w:tc>
          <w:tcPr>
            <w:tcW w:type="dxa" w:w="3456"/>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Support requests submitted via helpdesk.php</w:t>
            </w:r>
          </w:p>
        </w:tc>
        <w:tc>
          <w:tcPr>
            <w:tcW w:type="dxa" w:w="1872"/>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Internal</w:t>
            </w:r>
          </w:p>
        </w:tc>
        <w:tc>
          <w:tcPr>
            <w:tcW w:type="dxa" w:w="3456"/>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PostgreSQL DB (10.0.1.200)</w:t>
            </w:r>
          </w:p>
        </w:tc>
      </w:tr>
      <w:tr>
        <w:tc>
          <w:tcPr>
            <w:tcW w:type="dxa" w:w="216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Network Logs</w:t>
            </w:r>
          </w:p>
        </w:tc>
        <w:tc>
          <w:tcPr>
            <w:tcW w:type="dxa" w:w="3456"/>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Zabbix metrics, Suricata IDS alerts, rsyslog entries</w:t>
            </w:r>
          </w:p>
        </w:tc>
        <w:tc>
          <w:tcPr>
            <w:tcW w:type="dxa" w:w="1872"/>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Internal</w:t>
            </w:r>
          </w:p>
        </w:tc>
        <w:tc>
          <w:tcPr>
            <w:tcW w:type="dxa" w:w="3456"/>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DatabaseServer (10.0.1.200)</w:t>
            </w:r>
          </w:p>
        </w:tc>
      </w:tr>
      <w:tr>
        <w:tc>
          <w:tcPr>
            <w:tcW w:type="dxa" w:w="216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Database Backups</w:t>
            </w:r>
          </w:p>
        </w:tc>
        <w:tc>
          <w:tcPr>
            <w:tcW w:type="dxa" w:w="3456"/>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Automated pg_dump backups via Python cron</w:t>
            </w:r>
          </w:p>
        </w:tc>
        <w:tc>
          <w:tcPr>
            <w:tcW w:type="dxa" w:w="1872"/>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Confidential</w:t>
            </w:r>
          </w:p>
        </w:tc>
        <w:tc>
          <w:tcPr>
            <w:tcW w:type="dxa" w:w="3456"/>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DatabaseServer (10.0.1.200)</w:t>
            </w:r>
          </w:p>
        </w:tc>
      </w:tr>
      <w:tr>
        <w:tc>
          <w:tcPr>
            <w:tcW w:type="dxa" w:w="216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Configuration Files</w:t>
            </w:r>
          </w:p>
        </w:tc>
        <w:tc>
          <w:tcPr>
            <w:tcW w:type="dxa" w:w="3456"/>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VM configurations, firewall rules, AD GPOs</w:t>
            </w:r>
          </w:p>
        </w:tc>
        <w:tc>
          <w:tcPr>
            <w:tcW w:type="dxa" w:w="1872"/>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Highly Confidential</w:t>
            </w:r>
          </w:p>
        </w:tc>
        <w:tc>
          <w:tcPr>
            <w:tcW w:type="dxa" w:w="3456"/>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Distributed across VMs</w:t>
            </w:r>
          </w:p>
        </w:tc>
      </w:tr>
    </w:tbl>
    <w:p>
      <w:r>
        <w:br w:type="page"/>
      </w:r>
    </w:p>
    <w:p>
      <w:pPr>
        <w:spacing w:before="360" w:after="120"/>
        <w:pBdr>
          <w:bottom w:val="single" w:sz="6" w:color="2E75B6"/>
        </w:pBdr>
      </w:pPr>
      <w:r>
        <w:rPr>
          <w:rFonts w:ascii="Calibri" w:hAnsi="Calibri"/>
          <w:b/>
          <w:i w:val="0"/>
          <w:color w:val="1F4E79"/>
          <w:sz w:val="36"/>
        </w:rPr>
        <w:t>4. Operational Environment</w:t>
      </w:r>
    </w:p>
    <w:p>
      <w:pPr>
        <w:spacing w:before="240" w:after="80"/>
      </w:pPr>
      <w:r>
        <w:rPr>
          <w:rFonts w:ascii="Calibri" w:hAnsi="Calibri"/>
          <w:b/>
          <w:i w:val="0"/>
          <w:color w:val="1F4E79"/>
          <w:sz w:val="28"/>
        </w:rPr>
        <w:t>4.1 Hardware and Virtualization</w:t>
      </w:r>
    </w:p>
    <w:p>
      <w:pPr>
        <w:spacing w:after="120"/>
      </w:pPr>
      <w:r>
        <w:rPr>
          <w:rFonts w:ascii="Calibri" w:hAnsi="Calibri"/>
          <w:b w:val="0"/>
          <w:i w:val="0"/>
          <w:color w:val="333333"/>
          <w:sz w:val="22"/>
        </w:rPr>
        <w:t>All virtual machines are hosted on the CSUSB Cyberlab Proxmox VE 9.1.7 cluster. The team's VMs are assigned to node ncl4 under the nestlerteam6 resource pool. All networking is manually configured — no DHCP is used anywhere on the network. IP addresses are statically assigned.</w:t>
      </w:r>
    </w:p>
    <w:p>
      <w:pPr>
        <w:spacing w:before="240" w:after="80"/>
      </w:pPr>
      <w:r>
        <w:rPr>
          <w:rFonts w:ascii="Calibri" w:hAnsi="Calibri"/>
          <w:b/>
          <w:i w:val="0"/>
          <w:color w:val="1F4E79"/>
          <w:sz w:val="28"/>
        </w:rPr>
        <w:t>4.2 Software Inventory</w:t>
      </w:r>
    </w:p>
    <w:tbl>
      <w:tblPr>
        <w:tblW w:type="auto" w:w="0"/>
        <w:jc w:val="center"/>
        <w:tblLayout w:type="fixed"/>
        <w:tblLook w:firstColumn="1" w:firstRow="1" w:lastColumn="0" w:lastRow="0" w:noHBand="0" w:noVBand="1" w:val="04A0"/>
      </w:tblPr>
      <w:tblGrid>
        <w:gridCol w:w="2436"/>
        <w:gridCol w:w="2436"/>
        <w:gridCol w:w="2436"/>
        <w:gridCol w:w="2436"/>
      </w:tblGrid>
      <w:tr>
        <w:tc>
          <w:tcPr>
            <w:tcW w:type="dxa" w:w="3024"/>
            <w:shd w:val="clear" w:color="auto" w:fill="1F4E79"/>
            <w:tcBorders>
              <w:top w:val="single" w:sz="4" w:color="1F4E79"/>
              <w:left w:val="single" w:sz="4" w:color="1F4E79"/>
              <w:bottom w:val="single" w:sz="4" w:color="1F4E79"/>
              <w:right w:val="single" w:sz="4" w:color="1F4E79"/>
            </w:tcBorders>
            <w:vAlign w:val="center"/>
          </w:tcPr>
          <w:p>
            <w:pPr>
              <w:spacing w:after="0"/>
            </w:pPr>
            <w:r/>
            <w:r>
              <w:rPr>
                <w:rFonts w:ascii="Calibri" w:hAnsi="Calibri"/>
                <w:b/>
                <w:i w:val="0"/>
                <w:color w:val="FFFFFF"/>
                <w:sz w:val="22"/>
              </w:rPr>
              <w:t>VM</w:t>
            </w:r>
          </w:p>
        </w:tc>
        <w:tc>
          <w:tcPr>
            <w:tcW w:type="dxa" w:w="3600"/>
            <w:shd w:val="clear" w:color="auto" w:fill="1F4E79"/>
            <w:tcBorders>
              <w:top w:val="single" w:sz="4" w:color="1F4E79"/>
              <w:left w:val="single" w:sz="4" w:color="1F4E79"/>
              <w:bottom w:val="single" w:sz="4" w:color="1F4E79"/>
              <w:right w:val="single" w:sz="4" w:color="1F4E79"/>
            </w:tcBorders>
            <w:vAlign w:val="center"/>
          </w:tcPr>
          <w:p>
            <w:pPr>
              <w:spacing w:after="0"/>
            </w:pPr>
            <w:r/>
            <w:r>
              <w:rPr>
                <w:rFonts w:ascii="Calibri" w:hAnsi="Calibri"/>
                <w:b/>
                <w:i w:val="0"/>
                <w:color w:val="FFFFFF"/>
                <w:sz w:val="22"/>
              </w:rPr>
              <w:t>Key Software</w:t>
            </w:r>
          </w:p>
        </w:tc>
        <w:tc>
          <w:tcPr>
            <w:tcW w:type="dxa" w:w="2736"/>
            <w:shd w:val="clear" w:color="auto" w:fill="1F4E79"/>
            <w:tcBorders>
              <w:top w:val="single" w:sz="4" w:color="1F4E79"/>
              <w:left w:val="single" w:sz="4" w:color="1F4E79"/>
              <w:bottom w:val="single" w:sz="4" w:color="1F4E79"/>
              <w:right w:val="single" w:sz="4" w:color="1F4E79"/>
            </w:tcBorders>
            <w:vAlign w:val="center"/>
          </w:tcPr>
          <w:p>
            <w:pPr>
              <w:spacing w:after="0"/>
            </w:pPr>
            <w:r/>
            <w:r>
              <w:rPr>
                <w:rFonts w:ascii="Calibri" w:hAnsi="Calibri"/>
                <w:b/>
                <w:i w:val="0"/>
                <w:color w:val="FFFFFF"/>
                <w:sz w:val="22"/>
              </w:rPr>
              <w:t>Version</w:t>
            </w:r>
          </w:p>
        </w:tc>
        <w:tc>
          <w:tcPr>
            <w:tcW w:type="dxa" w:w="1296"/>
            <w:shd w:val="clear" w:color="auto" w:fill="1F4E79"/>
            <w:tcBorders>
              <w:top w:val="single" w:sz="4" w:color="1F4E79"/>
              <w:left w:val="single" w:sz="4" w:color="1F4E79"/>
              <w:bottom w:val="single" w:sz="4" w:color="1F4E79"/>
              <w:right w:val="single" w:sz="4" w:color="1F4E79"/>
            </w:tcBorders>
            <w:vAlign w:val="center"/>
          </w:tcPr>
          <w:p>
            <w:pPr>
              <w:spacing w:after="0"/>
            </w:pPr>
            <w:r/>
            <w:r>
              <w:rPr>
                <w:rFonts w:ascii="Calibri" w:hAnsi="Calibri"/>
                <w:b/>
                <w:i w:val="0"/>
                <w:color w:val="FFFFFF"/>
                <w:sz w:val="22"/>
              </w:rPr>
              <w:t>Owner</w:t>
            </w:r>
          </w:p>
        </w:tc>
      </w:tr>
      <w:tr>
        <w:tc>
          <w:tcPr>
            <w:tcW w:type="dxa" w:w="3024"/>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WebServer (10.0.1.100)</w:t>
            </w:r>
          </w:p>
        </w:tc>
        <w:tc>
          <w:tcPr>
            <w:tcW w:type="dxa" w:w="360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Apache (XAMPP), PHP, MailEnable, OpenSSH, Zabbix Agent</w:t>
            </w:r>
          </w:p>
        </w:tc>
        <w:tc>
          <w:tcPr>
            <w:tcW w:type="dxa" w:w="2736"/>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Apache 2.4.58, PHP 8.2.12, MailEnable 10.56</w:t>
            </w:r>
          </w:p>
        </w:tc>
        <w:tc>
          <w:tcPr>
            <w:tcW w:type="dxa" w:w="1296"/>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James</w:t>
            </w:r>
          </w:p>
        </w:tc>
      </w:tr>
      <w:tr>
        <w:tc>
          <w:tcPr>
            <w:tcW w:type="dxa" w:w="3024"/>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DatabaseServer (10.0.1.200)</w:t>
            </w:r>
          </w:p>
        </w:tc>
        <w:tc>
          <w:tcPr>
            <w:tcW w:type="dxa" w:w="360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PostgreSQL, Zabbix Server, Python, SSSD, firewalld</w:t>
            </w:r>
          </w:p>
        </w:tc>
        <w:tc>
          <w:tcPr>
            <w:tcW w:type="dxa" w:w="2736"/>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PostgreSQL 17.9, Zabbix 7.0.25</w:t>
            </w:r>
          </w:p>
        </w:tc>
        <w:tc>
          <w:tcPr>
            <w:tcW w:type="dxa" w:w="1296"/>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Oscar</w:t>
            </w:r>
          </w:p>
        </w:tc>
      </w:tr>
      <w:tr>
        <w:tc>
          <w:tcPr>
            <w:tcW w:type="dxa" w:w="3024"/>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AD/DNS Server (192.168.1.5)</w:t>
            </w:r>
          </w:p>
        </w:tc>
        <w:tc>
          <w:tcPr>
            <w:tcW w:type="dxa" w:w="360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Active Directory, DNS Server, OpenSSH, Zabbix Agent</w:t>
            </w:r>
          </w:p>
        </w:tc>
        <w:tc>
          <w:tcPr>
            <w:tcW w:type="dxa" w:w="2736"/>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Windows Server 2025, FSMO all roles</w:t>
            </w:r>
          </w:p>
        </w:tc>
        <w:tc>
          <w:tcPr>
            <w:tcW w:type="dxa" w:w="1296"/>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Allegra</w:t>
            </w:r>
          </w:p>
        </w:tc>
      </w:tr>
      <w:tr>
        <w:tc>
          <w:tcPr>
            <w:tcW w:type="dxa" w:w="3024"/>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OPNsense Firewall</w:t>
            </w:r>
          </w:p>
        </w:tc>
        <w:tc>
          <w:tcPr>
            <w:tcW w:type="dxa" w:w="360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OPNsense, Suricata IDS/IPS, SNMP, bsnmpd</w:t>
            </w:r>
          </w:p>
        </w:tc>
        <w:tc>
          <w:tcPr>
            <w:tcW w:type="dxa" w:w="2736"/>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OPNsense 25.1, Suricata 7.0.8</w:t>
            </w:r>
          </w:p>
        </w:tc>
        <w:tc>
          <w:tcPr>
            <w:tcW w:type="dxa" w:w="1296"/>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Jason</w:t>
            </w:r>
          </w:p>
        </w:tc>
      </w:tr>
      <w:tr>
        <w:tc>
          <w:tcPr>
            <w:tcW w:type="dxa" w:w="3024"/>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Router-WAN / Router-LAN</w:t>
            </w:r>
          </w:p>
        </w:tc>
        <w:tc>
          <w:tcPr>
            <w:tcW w:type="dxa" w:w="360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VyOS, SNMP, SSH</w:t>
            </w:r>
          </w:p>
        </w:tc>
        <w:tc>
          <w:tcPr>
            <w:tcW w:type="dxa" w:w="2736"/>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VyOS (current)</w:t>
            </w:r>
          </w:p>
        </w:tc>
        <w:tc>
          <w:tcPr>
            <w:tcW w:type="dxa" w:w="1296"/>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Jason</w:t>
            </w:r>
          </w:p>
        </w:tc>
      </w:tr>
      <w:tr>
        <w:tc>
          <w:tcPr>
            <w:tcW w:type="dxa" w:w="3024"/>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Kali SecurityDesktop (172.31.0.100)</w:t>
            </w:r>
          </w:p>
        </w:tc>
        <w:tc>
          <w:tcPr>
            <w:tcW w:type="dxa" w:w="360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Nmap, OpenVAS, Metasploit, iptables, Tailscale</w:t>
            </w:r>
          </w:p>
        </w:tc>
        <w:tc>
          <w:tcPr>
            <w:tcW w:type="dxa" w:w="2736"/>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Kali Linux (current)</w:t>
            </w:r>
          </w:p>
        </w:tc>
        <w:tc>
          <w:tcPr>
            <w:tcW w:type="dxa" w:w="1296"/>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James</w:t>
            </w:r>
          </w:p>
        </w:tc>
      </w:tr>
      <w:tr>
        <w:tc>
          <w:tcPr>
            <w:tcW w:type="dxa" w:w="3024"/>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ClientDesktop1 (192.168.1.100)</w:t>
            </w:r>
          </w:p>
        </w:tc>
        <w:tc>
          <w:tcPr>
            <w:tcW w:type="dxa" w:w="360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Windows 11, OpenSSH, Zabbix Agent</w:t>
            </w:r>
          </w:p>
        </w:tc>
        <w:tc>
          <w:tcPr>
            <w:tcW w:type="dxa" w:w="2736"/>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Windows 11</w:t>
            </w:r>
          </w:p>
        </w:tc>
        <w:tc>
          <w:tcPr>
            <w:tcW w:type="dxa" w:w="1296"/>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James</w:t>
            </w:r>
          </w:p>
        </w:tc>
      </w:tr>
      <w:tr>
        <w:tc>
          <w:tcPr>
            <w:tcW w:type="dxa" w:w="3024"/>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ClientDesktop2 (192.168.1.51)</w:t>
            </w:r>
          </w:p>
        </w:tc>
        <w:tc>
          <w:tcPr>
            <w:tcW w:type="dxa" w:w="360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RHEL 10, SSSD, Zabbix Agent, Python</w:t>
            </w:r>
          </w:p>
        </w:tc>
        <w:tc>
          <w:tcPr>
            <w:tcW w:type="dxa" w:w="2736"/>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RHEL 10</w:t>
            </w:r>
          </w:p>
        </w:tc>
        <w:tc>
          <w:tcPr>
            <w:tcW w:type="dxa" w:w="1296"/>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Oscar</w:t>
            </w:r>
          </w:p>
        </w:tc>
      </w:tr>
    </w:tbl>
    <w:p>
      <w:r>
        <w:br w:type="page"/>
      </w:r>
    </w:p>
    <w:p>
      <w:pPr>
        <w:spacing w:before="360" w:after="120"/>
        <w:pBdr>
          <w:bottom w:val="single" w:sz="6" w:color="2E75B6"/>
        </w:pBdr>
      </w:pPr>
      <w:r>
        <w:rPr>
          <w:rFonts w:ascii="Calibri" w:hAnsi="Calibri"/>
          <w:b/>
          <w:i w:val="0"/>
          <w:color w:val="1F4E79"/>
          <w:sz w:val="36"/>
        </w:rPr>
        <w:t>5. Firewall and Network Security Architecture</w:t>
      </w:r>
    </w:p>
    <w:p>
      <w:pPr>
        <w:spacing w:before="240" w:after="80"/>
      </w:pPr>
      <w:r>
        <w:rPr>
          <w:rFonts w:ascii="Calibri" w:hAnsi="Calibri"/>
          <w:b/>
          <w:i w:val="0"/>
          <w:color w:val="1F4E79"/>
          <w:sz w:val="28"/>
        </w:rPr>
        <w:t>5.1 OPNsense Firewall Rules</w:t>
      </w:r>
    </w:p>
    <w:p>
      <w:pPr>
        <w:spacing w:after="120"/>
      </w:pPr>
      <w:r>
        <w:rPr>
          <w:rFonts w:ascii="Calibri" w:hAnsi="Calibri"/>
          <w:b w:val="0"/>
          <w:i w:val="0"/>
          <w:color w:val="333333"/>
          <w:sz w:val="22"/>
        </w:rPr>
        <w:t>The OPNsense firewall (172.31.0.2) enforces zone isolation between WAN, DMZ, and LAN. Owner: Jason. Pf rules are default-deny with explicit allowlists for legitimate cross-zone flows. Key configured rules:</w:t>
      </w:r>
    </w:p>
    <w:tbl>
      <w:tblPr>
        <w:tblW w:type="auto" w:w="0"/>
        <w:jc w:val="center"/>
        <w:tblLayout w:type="fixed"/>
        <w:tblLook w:firstColumn="1" w:firstRow="1" w:lastColumn="0" w:lastRow="0" w:noHBand="0" w:noVBand="1" w:val="04A0"/>
      </w:tblPr>
      <w:tblGrid>
        <w:gridCol w:w="1949"/>
        <w:gridCol w:w="1949"/>
        <w:gridCol w:w="1949"/>
        <w:gridCol w:w="1949"/>
        <w:gridCol w:w="1949"/>
      </w:tblGrid>
      <w:tr>
        <w:tc>
          <w:tcPr>
            <w:tcW w:type="dxa" w:w="1872"/>
            <w:shd w:val="clear" w:color="auto" w:fill="1F4E79"/>
            <w:tcBorders>
              <w:top w:val="single" w:sz="4" w:color="1F4E79"/>
              <w:left w:val="single" w:sz="4" w:color="1F4E79"/>
              <w:bottom w:val="single" w:sz="4" w:color="1F4E79"/>
              <w:right w:val="single" w:sz="4" w:color="1F4E79"/>
            </w:tcBorders>
            <w:vAlign w:val="center"/>
          </w:tcPr>
          <w:p>
            <w:pPr>
              <w:spacing w:after="0"/>
            </w:pPr>
            <w:r/>
            <w:r>
              <w:rPr>
                <w:rFonts w:ascii="Calibri" w:hAnsi="Calibri"/>
                <w:b/>
                <w:i w:val="0"/>
                <w:color w:val="FFFFFF"/>
                <w:sz w:val="22"/>
              </w:rPr>
              <w:t>Source</w:t>
            </w:r>
          </w:p>
        </w:tc>
        <w:tc>
          <w:tcPr>
            <w:tcW w:type="dxa" w:w="2448"/>
            <w:shd w:val="clear" w:color="auto" w:fill="1F4E79"/>
            <w:tcBorders>
              <w:top w:val="single" w:sz="4" w:color="1F4E79"/>
              <w:left w:val="single" w:sz="4" w:color="1F4E79"/>
              <w:bottom w:val="single" w:sz="4" w:color="1F4E79"/>
              <w:right w:val="single" w:sz="4" w:color="1F4E79"/>
            </w:tcBorders>
            <w:vAlign w:val="center"/>
          </w:tcPr>
          <w:p>
            <w:pPr>
              <w:spacing w:after="0"/>
            </w:pPr>
            <w:r/>
            <w:r>
              <w:rPr>
                <w:rFonts w:ascii="Calibri" w:hAnsi="Calibri"/>
                <w:b/>
                <w:i w:val="0"/>
                <w:color w:val="FFFFFF"/>
                <w:sz w:val="22"/>
              </w:rPr>
              <w:t>Destination</w:t>
            </w:r>
          </w:p>
        </w:tc>
        <w:tc>
          <w:tcPr>
            <w:tcW w:type="dxa" w:w="1872"/>
            <w:shd w:val="clear" w:color="auto" w:fill="1F4E79"/>
            <w:tcBorders>
              <w:top w:val="single" w:sz="4" w:color="1F4E79"/>
              <w:left w:val="single" w:sz="4" w:color="1F4E79"/>
              <w:bottom w:val="single" w:sz="4" w:color="1F4E79"/>
              <w:right w:val="single" w:sz="4" w:color="1F4E79"/>
            </w:tcBorders>
            <w:vAlign w:val="center"/>
          </w:tcPr>
          <w:p>
            <w:pPr>
              <w:spacing w:after="0"/>
            </w:pPr>
            <w:r/>
            <w:r>
              <w:rPr>
                <w:rFonts w:ascii="Calibri" w:hAnsi="Calibri"/>
                <w:b/>
                <w:i w:val="0"/>
                <w:color w:val="FFFFFF"/>
                <w:sz w:val="22"/>
              </w:rPr>
              <w:t>Ports</w:t>
            </w:r>
          </w:p>
        </w:tc>
        <w:tc>
          <w:tcPr>
            <w:tcW w:type="dxa" w:w="1152"/>
            <w:shd w:val="clear" w:color="auto" w:fill="1F4E79"/>
            <w:tcBorders>
              <w:top w:val="single" w:sz="4" w:color="1F4E79"/>
              <w:left w:val="single" w:sz="4" w:color="1F4E79"/>
              <w:bottom w:val="single" w:sz="4" w:color="1F4E79"/>
              <w:right w:val="single" w:sz="4" w:color="1F4E79"/>
            </w:tcBorders>
            <w:vAlign w:val="center"/>
          </w:tcPr>
          <w:p>
            <w:pPr>
              <w:spacing w:after="0"/>
            </w:pPr>
            <w:r/>
            <w:r>
              <w:rPr>
                <w:rFonts w:ascii="Calibri" w:hAnsi="Calibri"/>
                <w:b/>
                <w:i w:val="0"/>
                <w:color w:val="FFFFFF"/>
                <w:sz w:val="22"/>
              </w:rPr>
              <w:t>Action</w:t>
            </w:r>
          </w:p>
        </w:tc>
        <w:tc>
          <w:tcPr>
            <w:tcW w:type="dxa" w:w="2448"/>
            <w:shd w:val="clear" w:color="auto" w:fill="1F4E79"/>
            <w:tcBorders>
              <w:top w:val="single" w:sz="4" w:color="1F4E79"/>
              <w:left w:val="single" w:sz="4" w:color="1F4E79"/>
              <w:bottom w:val="single" w:sz="4" w:color="1F4E79"/>
              <w:right w:val="single" w:sz="4" w:color="1F4E79"/>
            </w:tcBorders>
            <w:vAlign w:val="center"/>
          </w:tcPr>
          <w:p>
            <w:pPr>
              <w:spacing w:after="0"/>
            </w:pPr>
            <w:r/>
            <w:r>
              <w:rPr>
                <w:rFonts w:ascii="Calibri" w:hAnsi="Calibri"/>
                <w:b/>
                <w:i w:val="0"/>
                <w:color w:val="FFFFFF"/>
                <w:sz w:val="22"/>
              </w:rPr>
              <w:t>Purpose</w:t>
            </w:r>
          </w:p>
        </w:tc>
      </w:tr>
      <w:tr>
        <w:tc>
          <w:tcPr>
            <w:tcW w:type="dxa" w:w="1872"/>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WAN (172.31.0.0/24)</w:t>
            </w:r>
          </w:p>
        </w:tc>
        <w:tc>
          <w:tcPr>
            <w:tcW w:type="dxa" w:w="2448"/>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DMZ (10.0.1.100)</w:t>
            </w:r>
          </w:p>
        </w:tc>
        <w:tc>
          <w:tcPr>
            <w:tcW w:type="dxa" w:w="1872"/>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TCP 80, 443</w:t>
            </w:r>
          </w:p>
        </w:tc>
        <w:tc>
          <w:tcPr>
            <w:tcW w:type="dxa" w:w="1152"/>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ALLOW</w:t>
            </w:r>
          </w:p>
        </w:tc>
        <w:tc>
          <w:tcPr>
            <w:tcW w:type="dxa" w:w="2448"/>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External web access</w:t>
            </w:r>
          </w:p>
        </w:tc>
      </w:tr>
      <w:tr>
        <w:tc>
          <w:tcPr>
            <w:tcW w:type="dxa" w:w="1872"/>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LAN (192.168.1.0/24)</w:t>
            </w:r>
          </w:p>
        </w:tc>
        <w:tc>
          <w:tcPr>
            <w:tcW w:type="dxa" w:w="2448"/>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DMZ (10.0.1.0/24)</w:t>
            </w:r>
          </w:p>
        </w:tc>
        <w:tc>
          <w:tcPr>
            <w:tcW w:type="dxa" w:w="1872"/>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TCP 80, 443</w:t>
            </w:r>
          </w:p>
        </w:tc>
        <w:tc>
          <w:tcPr>
            <w:tcW w:type="dxa" w:w="1152"/>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ALLOW</w:t>
            </w:r>
          </w:p>
        </w:tc>
        <w:tc>
          <w:tcPr>
            <w:tcW w:type="dxa" w:w="2448"/>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Internal web access</w:t>
            </w:r>
          </w:p>
        </w:tc>
      </w:tr>
      <w:tr>
        <w:tc>
          <w:tcPr>
            <w:tcW w:type="dxa" w:w="1872"/>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LAN</w:t>
            </w:r>
          </w:p>
        </w:tc>
        <w:tc>
          <w:tcPr>
            <w:tcW w:type="dxa" w:w="2448"/>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DMZ</w:t>
            </w:r>
          </w:p>
        </w:tc>
        <w:tc>
          <w:tcPr>
            <w:tcW w:type="dxa" w:w="1872"/>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TCP 25, 587, 143, 110</w:t>
            </w:r>
          </w:p>
        </w:tc>
        <w:tc>
          <w:tcPr>
            <w:tcW w:type="dxa" w:w="1152"/>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ALLOW</w:t>
            </w:r>
          </w:p>
        </w:tc>
        <w:tc>
          <w:tcPr>
            <w:tcW w:type="dxa" w:w="2448"/>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Staff email access</w:t>
            </w:r>
          </w:p>
        </w:tc>
      </w:tr>
      <w:tr>
        <w:tc>
          <w:tcPr>
            <w:tcW w:type="dxa" w:w="1872"/>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DMZ</w:t>
            </w:r>
          </w:p>
        </w:tc>
        <w:tc>
          <w:tcPr>
            <w:tcW w:type="dxa" w:w="2448"/>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LAN</w:t>
            </w:r>
          </w:p>
        </w:tc>
        <w:tc>
          <w:tcPr>
            <w:tcW w:type="dxa" w:w="1872"/>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TCP 53</w:t>
            </w:r>
          </w:p>
        </w:tc>
        <w:tc>
          <w:tcPr>
            <w:tcW w:type="dxa" w:w="1152"/>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ALLOW</w:t>
            </w:r>
          </w:p>
        </w:tc>
        <w:tc>
          <w:tcPr>
            <w:tcW w:type="dxa" w:w="2448"/>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DNS resolution via AD</w:t>
            </w:r>
          </w:p>
        </w:tc>
      </w:tr>
      <w:tr>
        <w:tc>
          <w:tcPr>
            <w:tcW w:type="dxa" w:w="1872"/>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DMZ</w:t>
            </w:r>
          </w:p>
        </w:tc>
        <w:tc>
          <w:tcPr>
            <w:tcW w:type="dxa" w:w="2448"/>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LAN</w:t>
            </w:r>
          </w:p>
        </w:tc>
        <w:tc>
          <w:tcPr>
            <w:tcW w:type="dxa" w:w="1872"/>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TCP 389, 636</w:t>
            </w:r>
          </w:p>
        </w:tc>
        <w:tc>
          <w:tcPr>
            <w:tcW w:type="dxa" w:w="1152"/>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ALLOW</w:t>
            </w:r>
          </w:p>
        </w:tc>
        <w:tc>
          <w:tcPr>
            <w:tcW w:type="dxa" w:w="2448"/>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LDAP authentication</w:t>
            </w:r>
          </w:p>
        </w:tc>
      </w:tr>
      <w:tr>
        <w:tc>
          <w:tcPr>
            <w:tcW w:type="dxa" w:w="1872"/>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DMZ WebServer</w:t>
            </w:r>
          </w:p>
        </w:tc>
        <w:tc>
          <w:tcPr>
            <w:tcW w:type="dxa" w:w="2448"/>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DMZ Database</w:t>
            </w:r>
          </w:p>
        </w:tc>
        <w:tc>
          <w:tcPr>
            <w:tcW w:type="dxa" w:w="1872"/>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TCP 5432</w:t>
            </w:r>
          </w:p>
        </w:tc>
        <w:tc>
          <w:tcPr>
            <w:tcW w:type="dxa" w:w="1152"/>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ALLOW</w:t>
            </w:r>
          </w:p>
        </w:tc>
        <w:tc>
          <w:tcPr>
            <w:tcW w:type="dxa" w:w="2448"/>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PostgreSQL queries</w:t>
            </w:r>
          </w:p>
        </w:tc>
      </w:tr>
      <w:tr>
        <w:tc>
          <w:tcPr>
            <w:tcW w:type="dxa" w:w="1872"/>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All VMs</w:t>
            </w:r>
          </w:p>
        </w:tc>
        <w:tc>
          <w:tcPr>
            <w:tcW w:type="dxa" w:w="2448"/>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DatabaseServer (10.0.1.200)</w:t>
            </w:r>
          </w:p>
        </w:tc>
        <w:tc>
          <w:tcPr>
            <w:tcW w:type="dxa" w:w="1872"/>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TCP 10050, 10051</w:t>
            </w:r>
          </w:p>
        </w:tc>
        <w:tc>
          <w:tcPr>
            <w:tcW w:type="dxa" w:w="1152"/>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ALLOW</w:t>
            </w:r>
          </w:p>
        </w:tc>
        <w:tc>
          <w:tcPr>
            <w:tcW w:type="dxa" w:w="2448"/>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Zabbix monitoring</w:t>
            </w:r>
          </w:p>
        </w:tc>
      </w:tr>
      <w:tr>
        <w:tc>
          <w:tcPr>
            <w:tcW w:type="dxa" w:w="1872"/>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WAN</w:t>
            </w:r>
          </w:p>
        </w:tc>
        <w:tc>
          <w:tcPr>
            <w:tcW w:type="dxa" w:w="2448"/>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LAN</w:t>
            </w:r>
          </w:p>
        </w:tc>
        <w:tc>
          <w:tcPr>
            <w:tcW w:type="dxa" w:w="1872"/>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ALL</w:t>
            </w:r>
          </w:p>
        </w:tc>
        <w:tc>
          <w:tcPr>
            <w:tcW w:type="dxa" w:w="1152"/>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DENY</w:t>
            </w:r>
          </w:p>
        </w:tc>
        <w:tc>
          <w:tcPr>
            <w:tcW w:type="dxa" w:w="2448"/>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No direct WAN→LAN access</w:t>
            </w:r>
          </w:p>
        </w:tc>
      </w:tr>
      <w:tr>
        <w:tc>
          <w:tcPr>
            <w:tcW w:type="dxa" w:w="1872"/>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DMZ DB</w:t>
            </w:r>
          </w:p>
        </w:tc>
        <w:tc>
          <w:tcPr>
            <w:tcW w:type="dxa" w:w="2448"/>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ANY untrusted</w:t>
            </w:r>
          </w:p>
        </w:tc>
        <w:tc>
          <w:tcPr>
            <w:tcW w:type="dxa" w:w="1872"/>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all except firewalld-allowlisted</w:t>
            </w:r>
          </w:p>
        </w:tc>
        <w:tc>
          <w:tcPr>
            <w:tcW w:type="dxa" w:w="1152"/>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DROP (host-fw)</w:t>
            </w:r>
          </w:p>
        </w:tc>
        <w:tc>
          <w:tcPr>
            <w:tcW w:type="dxa" w:w="2448"/>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Tier 2 firewalld (Oscar, S21)</w:t>
            </w:r>
          </w:p>
        </w:tc>
      </w:tr>
      <w:tr>
        <w:tc>
          <w:tcPr>
            <w:tcW w:type="dxa" w:w="1872"/>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ANY</w:t>
            </w:r>
          </w:p>
        </w:tc>
        <w:tc>
          <w:tcPr>
            <w:tcW w:type="dxa" w:w="2448"/>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ANY</w:t>
            </w:r>
          </w:p>
        </w:tc>
        <w:tc>
          <w:tcPr>
            <w:tcW w:type="dxa" w:w="1872"/>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ALL</w:t>
            </w:r>
          </w:p>
        </w:tc>
        <w:tc>
          <w:tcPr>
            <w:tcW w:type="dxa" w:w="1152"/>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DENY</w:t>
            </w:r>
          </w:p>
        </w:tc>
        <w:tc>
          <w:tcPr>
            <w:tcW w:type="dxa" w:w="2448"/>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Default deny rule</w:t>
            </w:r>
          </w:p>
        </w:tc>
      </w:tr>
    </w:tbl>
    <w:p>
      <w:pPr>
        <w:spacing w:before="240" w:after="80"/>
      </w:pPr>
      <w:r>
        <w:rPr>
          <w:rFonts w:ascii="Calibri" w:hAnsi="Calibri"/>
          <w:b/>
          <w:i w:val="0"/>
          <w:color w:val="1F4E79"/>
          <w:sz w:val="28"/>
        </w:rPr>
        <w:t>5.2 NAT Port Forwards</w:t>
      </w:r>
    </w:p>
    <w:p>
      <w:pPr>
        <w:pStyle w:val="ListBullet"/>
        <w:spacing w:after="40"/>
        <w:ind w:left="340"/>
      </w:pPr>
      <w:r>
        <w:rPr>
          <w:rFonts w:ascii="Calibri" w:hAnsi="Calibri"/>
          <w:b w:val="0"/>
          <w:i w:val="0"/>
          <w:color w:val="333333"/>
          <w:sz w:val="22"/>
        </w:rPr>
        <w:t>WAN port 80 forwarded to 10.0.1.100:80 (HTTP)</w:t>
      </w:r>
    </w:p>
    <w:p>
      <w:pPr>
        <w:pStyle w:val="ListBullet"/>
        <w:spacing w:after="40"/>
        <w:ind w:left="340"/>
      </w:pPr>
      <w:r>
        <w:rPr>
          <w:rFonts w:ascii="Calibri" w:hAnsi="Calibri"/>
          <w:b w:val="0"/>
          <w:i w:val="0"/>
          <w:color w:val="333333"/>
          <w:sz w:val="22"/>
        </w:rPr>
        <w:t>WAN port 443 forwarded to 10.0.1.100:443 (HTTPS)</w:t>
      </w:r>
    </w:p>
    <w:p>
      <w:pPr>
        <w:spacing w:before="240" w:after="80"/>
      </w:pPr>
      <w:r>
        <w:rPr>
          <w:rFonts w:ascii="Calibri" w:hAnsi="Calibri"/>
          <w:b/>
          <w:i w:val="0"/>
          <w:color w:val="1F4E79"/>
          <w:sz w:val="28"/>
        </w:rPr>
        <w:t>5.3 Suricata IDS/IPS</w:t>
      </w:r>
    </w:p>
    <w:p>
      <w:pPr>
        <w:spacing w:after="120"/>
      </w:pPr>
      <w:r>
        <w:rPr>
          <w:rFonts w:ascii="Calibri" w:hAnsi="Calibri"/>
          <w:b w:val="0"/>
          <w:i w:val="0"/>
          <w:color w:val="333333"/>
          <w:sz w:val="22"/>
        </w:rPr>
        <w:t>Suricata v7.0.8 runs on OPNsense in IPS mode, monitoring all three interfaces (WAN, LAN, DMZ). Owner: Jason. As of Session 21c (2026-04-19), 15 rulesets are loaded (12 ET Open + 3 abuse.ch, 34,353 total alert signatures) covering malware C2, exploit attempts, scan signatures, AD/SMB attacks, SQL injection, shellcode patterns, and IOC feeds. All rules in alert-only mode for pentest-week evidence collection; transition to drop-mode for high-confidence rules is a post-pentest decision.</w:t>
      </w:r>
    </w:p>
    <w:p>
      <w:pPr>
        <w:spacing w:before="240" w:after="80"/>
      </w:pPr>
      <w:r>
        <w:rPr>
          <w:rFonts w:ascii="Calibri" w:hAnsi="Calibri"/>
          <w:b/>
          <w:i w:val="0"/>
          <w:color w:val="1F4E79"/>
          <w:sz w:val="28"/>
        </w:rPr>
        <w:t>5.4 VyOS Router Configuration</w:t>
      </w:r>
    </w:p>
    <w:p>
      <w:pPr>
        <w:spacing w:after="120"/>
      </w:pPr>
      <w:r>
        <w:rPr>
          <w:rFonts w:ascii="Calibri" w:hAnsi="Calibri"/>
          <w:b w:val="0"/>
          <w:i w:val="0"/>
          <w:color w:val="333333"/>
          <w:sz w:val="22"/>
        </w:rPr>
        <w:t>Two VyOS routers handle routing between zones (Jason). Router-WAN (172.31.0.1) connects to the internet, Router-LAN (192.168.1.1) handles internal LAN routing. Both have SSH enabled with RSA key-based authentication. SNMP community 'team6lab2026' configured for Zabbix monitoring. Tier 3 SSH-ACL bound to both 'in' and 'local' chains on eth4 + eth5 (FIND-014 closure).</w:t>
      </w:r>
    </w:p>
    <w:p>
      <w:pPr>
        <w:spacing w:before="240" w:after="80"/>
      </w:pPr>
      <w:r>
        <w:rPr>
          <w:rFonts w:ascii="Calibri" w:hAnsi="Calibri"/>
          <w:b/>
          <w:i w:val="0"/>
          <w:color w:val="1F4E79"/>
          <w:sz w:val="28"/>
        </w:rPr>
        <w:t>5.5 Kali Security Desktop</w:t>
      </w:r>
    </w:p>
    <w:p>
      <w:pPr>
        <w:spacing w:after="120"/>
      </w:pPr>
      <w:r>
        <w:rPr>
          <w:rFonts w:ascii="Calibri" w:hAnsi="Calibri"/>
          <w:b w:val="0"/>
          <w:i w:val="0"/>
          <w:color w:val="333333"/>
          <w:sz w:val="22"/>
        </w:rPr>
        <w:t>Kali Linux security desktop (172.31.0.100) — penetration testing and vulnerability scanning platform. Owner: James. iptables configured with DROP policy on INPUT, allowing only loopback, established connections, Tailscale VPN (100.66.45.46), and ICMP. iptables-persistent ensures rules survive reboots. SSH key pairs (ed25519 and RSA 4096) configured for passwordless access to all VMs.</w:t>
      </w:r>
    </w:p>
    <w:p>
      <w:r>
        <w:br w:type="page"/>
      </w:r>
    </w:p>
    <w:p>
      <w:pPr>
        <w:spacing w:before="360" w:after="120"/>
        <w:pBdr>
          <w:bottom w:val="single" w:sz="6" w:color="2E75B6"/>
        </w:pBdr>
      </w:pPr>
      <w:r>
        <w:rPr>
          <w:rFonts w:ascii="Calibri" w:hAnsi="Calibri"/>
          <w:b/>
          <w:i w:val="0"/>
          <w:color w:val="1F4E79"/>
          <w:sz w:val="36"/>
        </w:rPr>
        <w:t>6. Access Control and Identity Management</w:t>
      </w:r>
    </w:p>
    <w:p>
      <w:pPr>
        <w:spacing w:before="240" w:after="80"/>
      </w:pPr>
      <w:r>
        <w:rPr>
          <w:rFonts w:ascii="Calibri" w:hAnsi="Calibri"/>
          <w:b/>
          <w:i w:val="0"/>
          <w:color w:val="1F4E79"/>
          <w:sz w:val="28"/>
        </w:rPr>
        <w:t>6.1 Active Directory</w:t>
      </w:r>
    </w:p>
    <w:p>
      <w:pPr>
        <w:spacing w:after="120"/>
      </w:pPr>
      <w:r>
        <w:rPr>
          <w:rFonts w:ascii="Calibri" w:hAnsi="Calibri"/>
          <w:b w:val="0"/>
          <w:i w:val="0"/>
          <w:color w:val="333333"/>
          <w:sz w:val="22"/>
        </w:rPr>
        <w:t>AD domain nestlerteam6.local hosted on Windows Server 2025 at 192.168.1.5. Owner: Allegra. All five FSMO roles held by this single domain controller. Domain-joined machines:</w:t>
      </w:r>
    </w:p>
    <w:tbl>
      <w:tblPr>
        <w:tblW w:type="auto" w:w="0"/>
        <w:jc w:val="center"/>
        <w:tblLayout w:type="fixed"/>
        <w:tblLook w:firstColumn="1" w:firstRow="1" w:lastColumn="0" w:lastRow="0" w:noHBand="0" w:noVBand="1" w:val="04A0"/>
      </w:tblPr>
      <w:tblGrid>
        <w:gridCol w:w="2436"/>
        <w:gridCol w:w="2436"/>
        <w:gridCol w:w="2436"/>
        <w:gridCol w:w="2436"/>
      </w:tblGrid>
      <w:tr>
        <w:tc>
          <w:tcPr>
            <w:tcW w:type="dxa" w:w="3600"/>
            <w:shd w:val="clear" w:color="auto" w:fill="1F4E79"/>
            <w:tcBorders>
              <w:top w:val="single" w:sz="4" w:color="1F4E79"/>
              <w:left w:val="single" w:sz="4" w:color="1F4E79"/>
              <w:bottom w:val="single" w:sz="4" w:color="1F4E79"/>
              <w:right w:val="single" w:sz="4" w:color="1F4E79"/>
            </w:tcBorders>
            <w:vAlign w:val="center"/>
          </w:tcPr>
          <w:p>
            <w:pPr>
              <w:spacing w:after="0"/>
            </w:pPr>
            <w:r/>
            <w:r>
              <w:rPr>
                <w:rFonts w:ascii="Calibri" w:hAnsi="Calibri"/>
                <w:b/>
                <w:i w:val="0"/>
                <w:color w:val="FFFFFF"/>
                <w:sz w:val="22"/>
              </w:rPr>
              <w:t>Computer Name</w:t>
            </w:r>
          </w:p>
        </w:tc>
        <w:tc>
          <w:tcPr>
            <w:tcW w:type="dxa" w:w="2592"/>
            <w:shd w:val="clear" w:color="auto" w:fill="1F4E79"/>
            <w:tcBorders>
              <w:top w:val="single" w:sz="4" w:color="1F4E79"/>
              <w:left w:val="single" w:sz="4" w:color="1F4E79"/>
              <w:bottom w:val="single" w:sz="4" w:color="1F4E79"/>
              <w:right w:val="single" w:sz="4" w:color="1F4E79"/>
            </w:tcBorders>
            <w:vAlign w:val="center"/>
          </w:tcPr>
          <w:p>
            <w:pPr>
              <w:spacing w:after="0"/>
            </w:pPr>
            <w:r/>
            <w:r>
              <w:rPr>
                <w:rFonts w:ascii="Calibri" w:hAnsi="Calibri"/>
                <w:b/>
                <w:i w:val="0"/>
                <w:color w:val="FFFFFF"/>
                <w:sz w:val="22"/>
              </w:rPr>
              <w:t>OS</w:t>
            </w:r>
          </w:p>
        </w:tc>
        <w:tc>
          <w:tcPr>
            <w:tcW w:type="dxa" w:w="2016"/>
            <w:shd w:val="clear" w:color="auto" w:fill="1F4E79"/>
            <w:tcBorders>
              <w:top w:val="single" w:sz="4" w:color="1F4E79"/>
              <w:left w:val="single" w:sz="4" w:color="1F4E79"/>
              <w:bottom w:val="single" w:sz="4" w:color="1F4E79"/>
              <w:right w:val="single" w:sz="4" w:color="1F4E79"/>
            </w:tcBorders>
            <w:vAlign w:val="center"/>
          </w:tcPr>
          <w:p>
            <w:pPr>
              <w:spacing w:after="0"/>
            </w:pPr>
            <w:r/>
            <w:r>
              <w:rPr>
                <w:rFonts w:ascii="Calibri" w:hAnsi="Calibri"/>
                <w:b/>
                <w:i w:val="0"/>
                <w:color w:val="FFFFFF"/>
                <w:sz w:val="22"/>
              </w:rPr>
              <w:t>IP</w:t>
            </w:r>
          </w:p>
        </w:tc>
        <w:tc>
          <w:tcPr>
            <w:tcW w:type="dxa" w:w="2592"/>
            <w:shd w:val="clear" w:color="auto" w:fill="1F4E79"/>
            <w:tcBorders>
              <w:top w:val="single" w:sz="4" w:color="1F4E79"/>
              <w:left w:val="single" w:sz="4" w:color="1F4E79"/>
              <w:bottom w:val="single" w:sz="4" w:color="1F4E79"/>
              <w:right w:val="single" w:sz="4" w:color="1F4E79"/>
            </w:tcBorders>
            <w:vAlign w:val="center"/>
          </w:tcPr>
          <w:p>
            <w:pPr>
              <w:spacing w:after="0"/>
            </w:pPr>
            <w:r/>
            <w:r>
              <w:rPr>
                <w:rFonts w:ascii="Calibri" w:hAnsi="Calibri"/>
                <w:b/>
                <w:i w:val="0"/>
                <w:color w:val="FFFFFF"/>
                <w:sz w:val="22"/>
              </w:rPr>
              <w:t>Join Method</w:t>
            </w:r>
          </w:p>
        </w:tc>
      </w:tr>
      <w:tr>
        <w:tc>
          <w:tcPr>
            <w:tcW w:type="dxa" w:w="360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WIN-LLE76FGA4UL (DC)</w:t>
            </w:r>
          </w:p>
        </w:tc>
        <w:tc>
          <w:tcPr>
            <w:tcW w:type="dxa" w:w="2592"/>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Windows Server 2025</w:t>
            </w:r>
          </w:p>
        </w:tc>
        <w:tc>
          <w:tcPr>
            <w:tcW w:type="dxa" w:w="2016"/>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192.168.1.5</w:t>
            </w:r>
          </w:p>
        </w:tc>
        <w:tc>
          <w:tcPr>
            <w:tcW w:type="dxa" w:w="2592"/>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Primary DC</w:t>
            </w:r>
          </w:p>
        </w:tc>
      </w:tr>
      <w:tr>
        <w:tc>
          <w:tcPr>
            <w:tcW w:type="dxa" w:w="360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DESKTOP-HJEAFGC</w:t>
            </w:r>
          </w:p>
        </w:tc>
        <w:tc>
          <w:tcPr>
            <w:tcW w:type="dxa" w:w="2592"/>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Windows 11</w:t>
            </w:r>
          </w:p>
        </w:tc>
        <w:tc>
          <w:tcPr>
            <w:tcW w:type="dxa" w:w="2016"/>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192.168.1.100</w:t>
            </w:r>
          </w:p>
        </w:tc>
        <w:tc>
          <w:tcPr>
            <w:tcW w:type="dxa" w:w="2592"/>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Standard domain join</w:t>
            </w:r>
          </w:p>
        </w:tc>
      </w:tr>
      <w:tr>
        <w:tc>
          <w:tcPr>
            <w:tcW w:type="dxa" w:w="360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DATABASE</w:t>
            </w:r>
          </w:p>
        </w:tc>
        <w:tc>
          <w:tcPr>
            <w:tcW w:type="dxa" w:w="2592"/>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RHEL 10</w:t>
            </w:r>
          </w:p>
        </w:tc>
        <w:tc>
          <w:tcPr>
            <w:tcW w:type="dxa" w:w="2016"/>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10.0.1.200</w:t>
            </w:r>
          </w:p>
        </w:tc>
        <w:tc>
          <w:tcPr>
            <w:tcW w:type="dxa" w:w="2592"/>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adcli + SSSD</w:t>
            </w:r>
          </w:p>
        </w:tc>
      </w:tr>
      <w:tr>
        <w:tc>
          <w:tcPr>
            <w:tcW w:type="dxa" w:w="360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WEBSERVER</w:t>
            </w:r>
          </w:p>
        </w:tc>
        <w:tc>
          <w:tcPr>
            <w:tcW w:type="dxa" w:w="2592"/>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Windows Server 2025</w:t>
            </w:r>
          </w:p>
        </w:tc>
        <w:tc>
          <w:tcPr>
            <w:tcW w:type="dxa" w:w="2016"/>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10.0.1.100</w:t>
            </w:r>
          </w:p>
        </w:tc>
        <w:tc>
          <w:tcPr>
            <w:tcW w:type="dxa" w:w="2592"/>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Offline djoin</w:t>
            </w:r>
          </w:p>
        </w:tc>
      </w:tr>
      <w:tr>
        <w:tc>
          <w:tcPr>
            <w:tcW w:type="dxa" w:w="360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CLIENT-LINUX</w:t>
            </w:r>
          </w:p>
        </w:tc>
        <w:tc>
          <w:tcPr>
            <w:tcW w:type="dxa" w:w="2592"/>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RHEL 10</w:t>
            </w:r>
          </w:p>
        </w:tc>
        <w:tc>
          <w:tcPr>
            <w:tcW w:type="dxa" w:w="2016"/>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192.168.1.51</w:t>
            </w:r>
          </w:p>
        </w:tc>
        <w:tc>
          <w:tcPr>
            <w:tcW w:type="dxa" w:w="2592"/>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adcli + SSSD (realm joined)</w:t>
            </w:r>
          </w:p>
        </w:tc>
      </w:tr>
    </w:tbl>
    <w:p>
      <w:pPr>
        <w:spacing w:before="240" w:after="80"/>
      </w:pPr>
      <w:r>
        <w:rPr>
          <w:rFonts w:ascii="Calibri" w:hAnsi="Calibri"/>
          <w:b/>
          <w:i w:val="0"/>
          <w:color w:val="1F4E79"/>
          <w:sz w:val="28"/>
        </w:rPr>
        <w:t>6.2 User Accounts</w:t>
      </w:r>
    </w:p>
    <w:tbl>
      <w:tblPr>
        <w:tblW w:type="auto" w:w="0"/>
        <w:jc w:val="center"/>
        <w:tblLayout w:type="fixed"/>
        <w:tblLook w:firstColumn="1" w:firstRow="1" w:lastColumn="0" w:lastRow="0" w:noHBand="0" w:noVBand="1" w:val="04A0"/>
      </w:tblPr>
      <w:tblGrid>
        <w:gridCol w:w="2436"/>
        <w:gridCol w:w="2436"/>
        <w:gridCol w:w="2436"/>
        <w:gridCol w:w="2436"/>
      </w:tblGrid>
      <w:tr>
        <w:tc>
          <w:tcPr>
            <w:tcW w:type="dxa" w:w="2016"/>
            <w:shd w:val="clear" w:color="auto" w:fill="1F4E79"/>
            <w:tcBorders>
              <w:top w:val="single" w:sz="4" w:color="1F4E79"/>
              <w:left w:val="single" w:sz="4" w:color="1F4E79"/>
              <w:bottom w:val="single" w:sz="4" w:color="1F4E79"/>
              <w:right w:val="single" w:sz="4" w:color="1F4E79"/>
            </w:tcBorders>
            <w:vAlign w:val="center"/>
          </w:tcPr>
          <w:p>
            <w:pPr>
              <w:spacing w:after="0"/>
            </w:pPr>
            <w:r/>
            <w:r>
              <w:rPr>
                <w:rFonts w:ascii="Calibri" w:hAnsi="Calibri"/>
                <w:b/>
                <w:i w:val="0"/>
                <w:color w:val="FFFFFF"/>
                <w:sz w:val="22"/>
              </w:rPr>
              <w:t>Username</w:t>
            </w:r>
          </w:p>
        </w:tc>
        <w:tc>
          <w:tcPr>
            <w:tcW w:type="dxa" w:w="2304"/>
            <w:shd w:val="clear" w:color="auto" w:fill="1F4E79"/>
            <w:tcBorders>
              <w:top w:val="single" w:sz="4" w:color="1F4E79"/>
              <w:left w:val="single" w:sz="4" w:color="1F4E79"/>
              <w:bottom w:val="single" w:sz="4" w:color="1F4E79"/>
              <w:right w:val="single" w:sz="4" w:color="1F4E79"/>
            </w:tcBorders>
            <w:vAlign w:val="center"/>
          </w:tcPr>
          <w:p>
            <w:pPr>
              <w:spacing w:after="0"/>
            </w:pPr>
            <w:r/>
            <w:r>
              <w:rPr>
                <w:rFonts w:ascii="Calibri" w:hAnsi="Calibri"/>
                <w:b/>
                <w:i w:val="0"/>
                <w:color w:val="FFFFFF"/>
                <w:sz w:val="22"/>
              </w:rPr>
              <w:t>Full Name</w:t>
            </w:r>
          </w:p>
        </w:tc>
        <w:tc>
          <w:tcPr>
            <w:tcW w:type="dxa" w:w="1152"/>
            <w:shd w:val="clear" w:color="auto" w:fill="1F4E79"/>
            <w:tcBorders>
              <w:top w:val="single" w:sz="4" w:color="1F4E79"/>
              <w:left w:val="single" w:sz="4" w:color="1F4E79"/>
              <w:bottom w:val="single" w:sz="4" w:color="1F4E79"/>
              <w:right w:val="single" w:sz="4" w:color="1F4E79"/>
            </w:tcBorders>
            <w:vAlign w:val="center"/>
          </w:tcPr>
          <w:p>
            <w:pPr>
              <w:spacing w:after="0"/>
            </w:pPr>
            <w:r/>
            <w:r>
              <w:rPr>
                <w:rFonts w:ascii="Calibri" w:hAnsi="Calibri"/>
                <w:b/>
                <w:i w:val="0"/>
                <w:color w:val="FFFFFF"/>
                <w:sz w:val="22"/>
              </w:rPr>
              <w:t>Status</w:t>
            </w:r>
          </w:p>
        </w:tc>
        <w:tc>
          <w:tcPr>
            <w:tcW w:type="dxa" w:w="4320"/>
            <w:shd w:val="clear" w:color="auto" w:fill="1F4E79"/>
            <w:tcBorders>
              <w:top w:val="single" w:sz="4" w:color="1F4E79"/>
              <w:left w:val="single" w:sz="4" w:color="1F4E79"/>
              <w:bottom w:val="single" w:sz="4" w:color="1F4E79"/>
              <w:right w:val="single" w:sz="4" w:color="1F4E79"/>
            </w:tcBorders>
            <w:vAlign w:val="center"/>
          </w:tcPr>
          <w:p>
            <w:pPr>
              <w:spacing w:after="0"/>
            </w:pPr>
            <w:r/>
            <w:r>
              <w:rPr>
                <w:rFonts w:ascii="Calibri" w:hAnsi="Calibri"/>
                <w:b/>
                <w:i w:val="0"/>
                <w:color w:val="FFFFFF"/>
                <w:sz w:val="22"/>
              </w:rPr>
              <w:t>Role</w:t>
            </w:r>
          </w:p>
        </w:tc>
      </w:tr>
      <w:tr>
        <w:tc>
          <w:tcPr>
            <w:tcW w:type="dxa" w:w="2016"/>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Administrator</w:t>
            </w:r>
          </w:p>
        </w:tc>
        <w:tc>
          <w:tcPr>
            <w:tcW w:type="dxa" w:w="2304"/>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Domain Administrator</w:t>
            </w:r>
          </w:p>
        </w:tc>
        <w:tc>
          <w:tcPr>
            <w:tcW w:type="dxa" w:w="1152"/>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Enabled</w:t>
            </w:r>
          </w:p>
        </w:tc>
        <w:tc>
          <w:tcPr>
            <w:tcW w:type="dxa" w:w="432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Full domain admin — sole member of Domain/Enterprise/Schema Admins</w:t>
            </w:r>
          </w:p>
        </w:tc>
      </w:tr>
      <w:tr>
        <w:tc>
          <w:tcPr>
            <w:tcW w:type="dxa" w:w="2016"/>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allegra</w:t>
            </w:r>
          </w:p>
        </w:tc>
        <w:tc>
          <w:tcPr>
            <w:tcW w:type="dxa" w:w="2304"/>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Allegra Ramirez</w:t>
            </w:r>
          </w:p>
        </w:tc>
        <w:tc>
          <w:tcPr>
            <w:tcW w:type="dxa" w:w="1152"/>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Enabled</w:t>
            </w:r>
          </w:p>
        </w:tc>
        <w:tc>
          <w:tcPr>
            <w:tcW w:type="dxa" w:w="432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Staff user — DogStaff group (21-char password, S20)</w:t>
            </w:r>
          </w:p>
        </w:tc>
      </w:tr>
      <w:tr>
        <w:tc>
          <w:tcPr>
            <w:tcW w:type="dxa" w:w="2016"/>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james</w:t>
            </w:r>
          </w:p>
        </w:tc>
        <w:tc>
          <w:tcPr>
            <w:tcW w:type="dxa" w:w="2304"/>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James Ruggles</w:t>
            </w:r>
          </w:p>
        </w:tc>
        <w:tc>
          <w:tcPr>
            <w:tcW w:type="dxa" w:w="1152"/>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Enabled</w:t>
            </w:r>
          </w:p>
        </w:tc>
        <w:tc>
          <w:tcPr>
            <w:tcW w:type="dxa" w:w="432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Re-enabled S20 with new 20-char password</w:t>
            </w:r>
          </w:p>
        </w:tc>
      </w:tr>
      <w:tr>
        <w:tc>
          <w:tcPr>
            <w:tcW w:type="dxa" w:w="2016"/>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guest1</w:t>
            </w:r>
          </w:p>
        </w:tc>
        <w:tc>
          <w:tcPr>
            <w:tcW w:type="dxa" w:w="2304"/>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Guest User 1</w:t>
            </w:r>
          </w:p>
        </w:tc>
        <w:tc>
          <w:tcPr>
            <w:tcW w:type="dxa" w:w="1152"/>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Enabled</w:t>
            </w:r>
          </w:p>
        </w:tc>
        <w:tc>
          <w:tcPr>
            <w:tcW w:type="dxa" w:w="432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Guest demo account</w:t>
            </w:r>
          </w:p>
        </w:tc>
      </w:tr>
      <w:tr>
        <w:tc>
          <w:tcPr>
            <w:tcW w:type="dxa" w:w="2016"/>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guest2</w:t>
            </w:r>
          </w:p>
        </w:tc>
        <w:tc>
          <w:tcPr>
            <w:tcW w:type="dxa" w:w="2304"/>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Guest User 2</w:t>
            </w:r>
          </w:p>
        </w:tc>
        <w:tc>
          <w:tcPr>
            <w:tcW w:type="dxa" w:w="1152"/>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Enabled</w:t>
            </w:r>
          </w:p>
        </w:tc>
        <w:tc>
          <w:tcPr>
            <w:tcW w:type="dxa" w:w="432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Guest demo account</w:t>
            </w:r>
          </w:p>
        </w:tc>
      </w:tr>
      <w:tr>
        <w:tc>
          <w:tcPr>
            <w:tcW w:type="dxa" w:w="2016"/>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Guest (built-in)</w:t>
            </w:r>
          </w:p>
        </w:tc>
        <w:tc>
          <w:tcPr>
            <w:tcW w:type="dxa" w:w="2304"/>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Windows built-in Guest</w:t>
            </w:r>
          </w:p>
        </w:tc>
        <w:tc>
          <w:tcPr>
            <w:tcW w:type="dxa" w:w="1152"/>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Disabled</w:t>
            </w:r>
          </w:p>
        </w:tc>
        <w:tc>
          <w:tcPr>
            <w:tcW w:type="dxa" w:w="432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Built-in system account — leave disabled</w:t>
            </w:r>
          </w:p>
        </w:tc>
      </w:tr>
      <w:tr>
        <w:tc>
          <w:tcPr>
            <w:tcW w:type="dxa" w:w="2016"/>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krbtgt</w:t>
            </w:r>
          </w:p>
        </w:tc>
        <w:tc>
          <w:tcPr>
            <w:tcW w:type="dxa" w:w="2304"/>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Kerberos service account</w:t>
            </w:r>
          </w:p>
        </w:tc>
        <w:tc>
          <w:tcPr>
            <w:tcW w:type="dxa" w:w="1152"/>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Disabled</w:t>
            </w:r>
          </w:p>
        </w:tc>
        <w:tc>
          <w:tcPr>
            <w:tcW w:type="dxa" w:w="432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System-managed KDC account</w:t>
            </w:r>
          </w:p>
        </w:tc>
      </w:tr>
    </w:tbl>
    <w:p>
      <w:pPr>
        <w:spacing w:before="240" w:after="80"/>
      </w:pPr>
      <w:r>
        <w:rPr>
          <w:rFonts w:ascii="Calibri" w:hAnsi="Calibri"/>
          <w:b/>
          <w:i w:val="0"/>
          <w:color w:val="1F4E79"/>
          <w:sz w:val="28"/>
        </w:rPr>
        <w:t>6.3 Organizational Units and Group Policy</w:t>
      </w:r>
    </w:p>
    <w:p>
      <w:pPr>
        <w:spacing w:after="120"/>
      </w:pPr>
      <w:r>
        <w:rPr>
          <w:rFonts w:ascii="Calibri" w:hAnsi="Calibri"/>
          <w:b w:val="0"/>
          <w:i w:val="0"/>
          <w:color w:val="333333"/>
          <w:sz w:val="22"/>
        </w:rPr>
        <w:t>Three OUs configured: Domain Controllers (system-managed), Allegra (for Allegra's account and objects), and Staff (for staff accounts). The DogStaff security group is used for centralized permission management. Group Policy Objects: Default Domain Policy, Default Domain Controllers Policy, Staff Policy (Staff OU), Manager Policy. Domain policy: MinPasswordLength 14, complexity on, lockout 5/30 min, password history 10, max age 90 days.</w:t>
      </w:r>
    </w:p>
    <w:p>
      <w:pPr>
        <w:spacing w:before="240" w:after="80"/>
      </w:pPr>
      <w:r>
        <w:rPr>
          <w:rFonts w:ascii="Calibri" w:hAnsi="Calibri"/>
          <w:b/>
          <w:i w:val="0"/>
          <w:color w:val="1F4E79"/>
          <w:sz w:val="28"/>
        </w:rPr>
        <w:t>6.4 SSH Key-Based Authentication</w:t>
      </w:r>
    </w:p>
    <w:p>
      <w:pPr>
        <w:spacing w:after="120"/>
      </w:pPr>
      <w:r>
        <w:rPr>
          <w:rFonts w:ascii="Calibri" w:hAnsi="Calibri"/>
          <w:b w:val="0"/>
          <w:i w:val="0"/>
          <w:color w:val="333333"/>
          <w:sz w:val="22"/>
        </w:rPr>
        <w:t>All VMs configured for SSH key-based authentication. Password authentication disabled on RHEL systems (Oscar). Kali holds ed25519 and RSA 4096-bit key pairs for accessing all VMs (James). Root login via SSH disabled on all RHEL systems.</w:t>
      </w:r>
    </w:p>
    <w:p>
      <w:r>
        <w:br w:type="page"/>
      </w:r>
    </w:p>
    <w:p>
      <w:pPr>
        <w:spacing w:before="360" w:after="120"/>
        <w:pBdr>
          <w:bottom w:val="single" w:sz="6" w:color="2E75B6"/>
        </w:pBdr>
      </w:pPr>
      <w:r>
        <w:rPr>
          <w:rFonts w:ascii="Calibri" w:hAnsi="Calibri"/>
          <w:b/>
          <w:i w:val="0"/>
          <w:color w:val="1F4E79"/>
          <w:sz w:val="36"/>
        </w:rPr>
        <w:t>7. Application Security</w:t>
      </w:r>
    </w:p>
    <w:p>
      <w:pPr>
        <w:spacing w:before="240" w:after="80"/>
      </w:pPr>
      <w:r>
        <w:rPr>
          <w:rFonts w:ascii="Calibri" w:hAnsi="Calibri"/>
          <w:b/>
          <w:i w:val="0"/>
          <w:color w:val="1F4E79"/>
          <w:sz w:val="28"/>
        </w:rPr>
        <w:t>7.1 Rent a Dog Website</w:t>
      </w:r>
    </w:p>
    <w:p>
      <w:pPr>
        <w:spacing w:after="120"/>
      </w:pPr>
      <w:r>
        <w:rPr>
          <w:rFonts w:ascii="Calibri" w:hAnsi="Calibri"/>
          <w:b w:val="0"/>
          <w:i w:val="0"/>
          <w:color w:val="333333"/>
          <w:sz w:val="22"/>
        </w:rPr>
        <w:t>Rent a Dog website runs on XAMPP with Apache 2.4.58 and PHP 8.2.12 on the WebServer (10.0.1.100). Owner: James. Hardened during pentest week (FIND-008, 009, 012, 013, 018):</w:t>
      </w:r>
    </w:p>
    <w:p>
      <w:pPr>
        <w:pStyle w:val="ListBullet"/>
        <w:spacing w:after="40"/>
        <w:ind w:left="340"/>
      </w:pPr>
      <w:r>
        <w:rPr>
          <w:rFonts w:ascii="Calibri" w:hAnsi="Calibri"/>
          <w:b w:val="0"/>
          <w:i w:val="0"/>
          <w:color w:val="333333"/>
          <w:sz w:val="22"/>
        </w:rPr>
        <w:t>Product listings: 8 dog breeds across 3 tiers (Basic, Premium, VIP)</w:t>
      </w:r>
    </w:p>
    <w:p>
      <w:pPr>
        <w:pStyle w:val="ListBullet"/>
        <w:spacing w:after="40"/>
        <w:ind w:left="340"/>
      </w:pPr>
      <w:r>
        <w:rPr>
          <w:rFonts w:ascii="Calibri" w:hAnsi="Calibri"/>
          <w:b w:val="0"/>
          <w:i w:val="0"/>
          <w:color w:val="333333"/>
          <w:sz w:val="22"/>
        </w:rPr>
        <w:t>Experience packages: Dog Cafe, Dog Yoga, Dog Garden</w:t>
      </w:r>
    </w:p>
    <w:p>
      <w:pPr>
        <w:pStyle w:val="ListBullet"/>
        <w:spacing w:after="40"/>
        <w:ind w:left="340"/>
      </w:pPr>
      <w:r>
        <w:rPr>
          <w:rFonts w:ascii="Calibri" w:hAnsi="Calibri"/>
          <w:b w:val="0"/>
          <w:i w:val="0"/>
          <w:color w:val="333333"/>
          <w:sz w:val="22"/>
        </w:rPr>
        <w:t>Session-based shopping cart with AJAX</w:t>
      </w:r>
    </w:p>
    <w:p>
      <w:pPr>
        <w:pStyle w:val="ListBullet"/>
        <w:spacing w:after="40"/>
        <w:ind w:left="340"/>
      </w:pPr>
      <w:r>
        <w:rPr>
          <w:rFonts w:ascii="Calibri" w:hAnsi="Calibri"/>
          <w:b w:val="0"/>
          <w:i w:val="0"/>
          <w:color w:val="333333"/>
          <w:sz w:val="22"/>
        </w:rPr>
        <w:t>PayPal Sandbox checkout (server-only PAYPAL_DEMO_MODE gate, FIND-009)</w:t>
      </w:r>
    </w:p>
    <w:p>
      <w:pPr>
        <w:pStyle w:val="ListBullet"/>
        <w:spacing w:after="40"/>
        <w:ind w:left="340"/>
      </w:pPr>
      <w:r>
        <w:rPr>
          <w:rFonts w:ascii="Calibri" w:hAnsi="Calibri"/>
          <w:b w:val="0"/>
          <w:i w:val="0"/>
          <w:color w:val="333333"/>
          <w:sz w:val="22"/>
        </w:rPr>
        <w:t>Contact form with agentic AI categorization and auto-response</w:t>
      </w:r>
    </w:p>
    <w:p>
      <w:pPr>
        <w:pStyle w:val="ListBullet"/>
        <w:spacing w:after="40"/>
        <w:ind w:left="340"/>
      </w:pPr>
      <w:r>
        <w:rPr>
          <w:rFonts w:ascii="Calibri" w:hAnsi="Calibri"/>
          <w:b w:val="0"/>
          <w:i w:val="0"/>
          <w:color w:val="333333"/>
          <w:sz w:val="22"/>
        </w:rPr>
        <w:t>Help desk ticket system at /pages/helpdesk.php</w:t>
      </w:r>
    </w:p>
    <w:p>
      <w:pPr>
        <w:pStyle w:val="ListBullet"/>
        <w:spacing w:after="40"/>
        <w:ind w:left="340"/>
      </w:pPr>
      <w:r>
        <w:rPr>
          <w:rFonts w:ascii="Calibri" w:hAnsi="Calibri"/>
          <w:b w:val="0"/>
          <w:i w:val="0"/>
          <w:color w:val="333333"/>
          <w:sz w:val="22"/>
        </w:rPr>
        <w:t>Bark Bot AI chat assistant on every page (FIND-013 prompt-injection guard)</w:t>
      </w:r>
    </w:p>
    <w:p>
      <w:pPr>
        <w:pStyle w:val="ListBullet"/>
        <w:spacing w:after="40"/>
        <w:ind w:left="340"/>
      </w:pPr>
      <w:r>
        <w:rPr>
          <w:rFonts w:ascii="Calibri" w:hAnsi="Calibri"/>
          <w:b w:val="0"/>
          <w:i w:val="0"/>
          <w:color w:val="333333"/>
          <w:sz w:val="22"/>
        </w:rPr>
        <w:t>Apache hardening: TraceEnable Off, ServerTokens Prod, ServerSignature Off, security headers, scanner UA filter (FIND-018)</w:t>
      </w:r>
    </w:p>
    <w:p>
      <w:pPr>
        <w:pStyle w:val="ListBullet"/>
        <w:spacing w:after="40"/>
        <w:ind w:left="340"/>
      </w:pPr>
      <w:r>
        <w:rPr>
          <w:rFonts w:ascii="Calibri" w:hAnsi="Calibri"/>
          <w:b w:val="0"/>
          <w:i w:val="0"/>
          <w:color w:val="333333"/>
          <w:sz w:val="22"/>
        </w:rPr>
        <w:t>Honeypot layer (FIND-018): 5 decoy files + Rick Roll panel + confession-bait login</w:t>
      </w:r>
    </w:p>
    <w:p>
      <w:pPr>
        <w:spacing w:before="240" w:after="80"/>
      </w:pPr>
      <w:r>
        <w:rPr>
          <w:rFonts w:ascii="Calibri" w:hAnsi="Calibri"/>
          <w:b/>
          <w:i w:val="0"/>
          <w:color w:val="1F4E79"/>
          <w:sz w:val="28"/>
        </w:rPr>
        <w:t>7.2 Bark Bot AI Assistant</w:t>
      </w:r>
    </w:p>
    <w:p>
      <w:pPr>
        <w:spacing w:after="120"/>
      </w:pPr>
      <w:r>
        <w:rPr>
          <w:rFonts w:ascii="Calibri" w:hAnsi="Calibri"/>
          <w:b w:val="0"/>
          <w:i w:val="0"/>
          <w:color w:val="333333"/>
          <w:sz w:val="22"/>
        </w:rPr>
        <w:t>Bark Bot is a JavaScript chat widget integrated on every page. Communicates with PHP backend (chat.php) which calls the Cyberlab GPU API (dolphin3:latest model). Agentic workflow (barkbot_process.php) categorizes customer contacts and routes them to admin dashboard. 4-layer prompt-injection defense (FIND-013) — input sanitizer + delimited prompt + SECURITY RULES + output cap.</w:t>
      </w:r>
    </w:p>
    <w:p>
      <w:pPr>
        <w:spacing w:before="240" w:after="80"/>
      </w:pPr>
      <w:r>
        <w:rPr>
          <w:rFonts w:ascii="Calibri" w:hAnsi="Calibri"/>
          <w:b/>
          <w:i w:val="0"/>
          <w:color w:val="1F4E79"/>
          <w:sz w:val="28"/>
        </w:rPr>
        <w:t>7.3 Email Server</w:t>
      </w:r>
    </w:p>
    <w:p>
      <w:pPr>
        <w:spacing w:after="120"/>
      </w:pPr>
      <w:r>
        <w:rPr>
          <w:rFonts w:ascii="Calibri" w:hAnsi="Calibri"/>
          <w:b w:val="0"/>
          <w:i w:val="0"/>
          <w:color w:val="333333"/>
          <w:sz w:val="22"/>
        </w:rPr>
        <w:t>MailEnable Standard 10.56 on WebServer providing SMTP (25 / 587), IMAP (143), POP3 (110). Owner: Allegra. Five email accounts provisioned (james@, jason@, oscar@, allegra@, admin@rentadog.local). Webmail at http://mail.rentadog.local. Cross-network Thunderbird testing verified.</w:t>
      </w:r>
    </w:p>
    <w:p>
      <w:pPr>
        <w:spacing w:before="240" w:after="80"/>
      </w:pPr>
      <w:r>
        <w:rPr>
          <w:rFonts w:ascii="Calibri" w:hAnsi="Calibri"/>
          <w:b/>
          <w:i w:val="0"/>
          <w:color w:val="1F4E79"/>
          <w:sz w:val="28"/>
        </w:rPr>
        <w:t>7.4 Database Security</w:t>
      </w:r>
    </w:p>
    <w:p>
      <w:pPr>
        <w:spacing w:after="120"/>
      </w:pPr>
      <w:r>
        <w:rPr>
          <w:rFonts w:ascii="Calibri" w:hAnsi="Calibri"/>
          <w:b w:val="0"/>
          <w:i w:val="0"/>
          <w:color w:val="333333"/>
          <w:sz w:val="22"/>
        </w:rPr>
        <w:t>PostgreSQL 17.9 hosts the rentadog database (14 tables + seed data) and the zabbix database (203 tables). Owner: Oscar. Restricted application user 'rentadog_app' has only SELECT, INSERT, UPDATE permissions. WebServer connects via PDO with pg_pgsql. SELinux policies httpd_can_network_connect_db and httpd_can_network_connect enabled. Firewalld opens only required ports (80, 5432, 10050, 10051). DB cred audit (FIND-018) confirmed: no MySQL surface, PostgreSQL rejects defaults, port 5432 closed to Kali.</w:t>
      </w:r>
    </w:p>
    <w:p>
      <w:r>
        <w:br w:type="page"/>
      </w:r>
    </w:p>
    <w:p>
      <w:pPr>
        <w:spacing w:before="360" w:after="120"/>
        <w:pBdr>
          <w:bottom w:val="single" w:sz="6" w:color="2E75B6"/>
        </w:pBdr>
      </w:pPr>
      <w:r>
        <w:rPr>
          <w:rFonts w:ascii="Calibri" w:hAnsi="Calibri"/>
          <w:b/>
          <w:i w:val="0"/>
          <w:color w:val="1F4E79"/>
          <w:sz w:val="36"/>
        </w:rPr>
        <w:t>8. Monitoring and Logging</w:t>
      </w:r>
    </w:p>
    <w:p>
      <w:pPr>
        <w:spacing w:before="240" w:after="80"/>
      </w:pPr>
      <w:r>
        <w:rPr>
          <w:rFonts w:ascii="Calibri" w:hAnsi="Calibri"/>
          <w:b/>
          <w:i w:val="0"/>
          <w:color w:val="1F4E79"/>
          <w:sz w:val="28"/>
        </w:rPr>
        <w:t>8.1 Zabbix Monitoring</w:t>
      </w:r>
    </w:p>
    <w:p>
      <w:pPr>
        <w:spacing w:after="120"/>
      </w:pPr>
      <w:r>
        <w:rPr>
          <w:rFonts w:ascii="Calibri" w:hAnsi="Calibri"/>
          <w:b w:val="0"/>
          <w:i w:val="0"/>
          <w:color w:val="333333"/>
          <w:sz w:val="22"/>
        </w:rPr>
        <w:t>Zabbix Server 7.0.25 on DatabaseServer (10.0.1.200) with web frontend hosted via httpd and PHP-FPM. Owner: Oscar. Zabbix Agents on all VMs report to 10.0.1.200:10051. SNMP monitoring on OPNsense and both VyOS routers using community string 'team6lab2026'. Real-time performance metrics, availability monitoring, and alerting across the entire network.</w:t>
      </w:r>
    </w:p>
    <w:p>
      <w:pPr>
        <w:spacing w:before="240" w:after="80"/>
      </w:pPr>
      <w:r>
        <w:rPr>
          <w:rFonts w:ascii="Calibri" w:hAnsi="Calibri"/>
          <w:b/>
          <w:i w:val="0"/>
          <w:color w:val="1F4E79"/>
          <w:sz w:val="28"/>
        </w:rPr>
        <w:t>8.2 Suricata IDS Logging</w:t>
      </w:r>
    </w:p>
    <w:p>
      <w:pPr>
        <w:spacing w:after="120"/>
      </w:pPr>
      <w:r>
        <w:rPr>
          <w:rFonts w:ascii="Calibri" w:hAnsi="Calibri"/>
          <w:b w:val="0"/>
          <w:i w:val="0"/>
          <w:color w:val="333333"/>
          <w:sz w:val="22"/>
        </w:rPr>
        <w:t>Suricata logs all events to eve.json in JSON format. Owner: Jason. All 34K loaded rules in alert mode (not drop) — intentional pentest-week posture to preserve evidence. See Reports/Suricata_Deployment_Report.docx for the manual-install workflow used after the standard OPNsense UI rule-update failed due to upstream cyberlab block on OPNsense WAN TLS to Fastly-hosted rule sources.</w:t>
      </w:r>
    </w:p>
    <w:p>
      <w:pPr>
        <w:spacing w:before="240" w:after="80"/>
      </w:pPr>
      <w:r>
        <w:rPr>
          <w:rFonts w:ascii="Calibri" w:hAnsi="Calibri"/>
          <w:b/>
          <w:i w:val="0"/>
          <w:color w:val="1F4E79"/>
          <w:sz w:val="28"/>
        </w:rPr>
        <w:t>8.3 Python Automation Scripts</w:t>
      </w:r>
    </w:p>
    <w:p>
      <w:pPr>
        <w:spacing w:after="120"/>
      </w:pPr>
      <w:r>
        <w:rPr>
          <w:rFonts w:ascii="Calibri" w:hAnsi="Calibri"/>
          <w:b w:val="0"/>
          <w:i w:val="0"/>
          <w:color w:val="333333"/>
          <w:sz w:val="22"/>
        </w:rPr>
        <w:t>Four Python scripts deployed and running via cron across DatabaseServer and ClientDesktop2 (Oscar):</w:t>
      </w:r>
    </w:p>
    <w:p>
      <w:pPr>
        <w:pStyle w:val="ListBullet"/>
        <w:spacing w:after="40"/>
        <w:ind w:left="340"/>
      </w:pPr>
      <w:r>
        <w:rPr>
          <w:rFonts w:ascii="Calibri" w:hAnsi="Calibri"/>
          <w:b w:val="0"/>
          <w:i w:val="0"/>
          <w:color w:val="333333"/>
          <w:sz w:val="22"/>
        </w:rPr>
        <w:t>Daily backup script (script1) — pg_dump with compression and timestamped storage; daily 2AM cron</w:t>
      </w:r>
    </w:p>
    <w:p>
      <w:pPr>
        <w:pStyle w:val="ListBullet"/>
        <w:spacing w:after="40"/>
        <w:ind w:left="340"/>
      </w:pPr>
      <w:r>
        <w:rPr>
          <w:rFonts w:ascii="Calibri" w:hAnsi="Calibri"/>
          <w:b w:val="0"/>
          <w:i w:val="0"/>
          <w:color w:val="333333"/>
          <w:sz w:val="22"/>
        </w:rPr>
        <w:t>Hourly login monitor (script3) — parses auth.log for failed SSH attempts and sends alerts</w:t>
      </w:r>
    </w:p>
    <w:p>
      <w:pPr>
        <w:pStyle w:val="ListBullet"/>
        <w:spacing w:after="40"/>
        <w:ind w:left="340"/>
      </w:pPr>
      <w:r>
        <w:rPr>
          <w:rFonts w:ascii="Calibri" w:hAnsi="Calibri"/>
          <w:b w:val="0"/>
          <w:i w:val="0"/>
          <w:color w:val="333333"/>
          <w:sz w:val="22"/>
        </w:rPr>
        <w:t>Every 30 minutes (script4) — AI workflow processor for Bark Bot customer service categorization</w:t>
      </w:r>
    </w:p>
    <w:p>
      <w:pPr>
        <w:pStyle w:val="ListBullet"/>
        <w:spacing w:after="40"/>
        <w:ind w:left="340"/>
      </w:pPr>
      <w:r>
        <w:rPr>
          <w:rFonts w:ascii="Calibri" w:hAnsi="Calibri"/>
          <w:b w:val="0"/>
          <w:i w:val="0"/>
          <w:color w:val="333333"/>
          <w:sz w:val="22"/>
        </w:rPr>
        <w:t>Health check (script2) on ClientDesktop2 every 15 minutes verifies VM availability</w:t>
      </w:r>
    </w:p>
    <w:p>
      <w:pPr>
        <w:spacing w:before="240" w:after="80"/>
      </w:pPr>
      <w:r>
        <w:rPr>
          <w:rFonts w:ascii="Calibri" w:hAnsi="Calibri"/>
          <w:b/>
          <w:i w:val="0"/>
          <w:color w:val="1F4E79"/>
          <w:sz w:val="28"/>
        </w:rPr>
        <w:t>8.4 Change Management Log</w:t>
      </w:r>
    </w:p>
    <w:p>
      <w:pPr>
        <w:spacing w:after="120"/>
      </w:pPr>
      <w:r>
        <w:rPr>
          <w:rFonts w:ascii="Calibri" w:hAnsi="Calibri"/>
          <w:b w:val="0"/>
          <w:i w:val="0"/>
          <w:color w:val="333333"/>
          <w:sz w:val="22"/>
        </w:rPr>
        <w:t>All configuration changes documented in Team6_Tracker.xlsx (Change Log sheet) with date, change made, VM/device affected, responsible team member, reason, and completion status. Primary audit trail for all system modifications.</w:t>
      </w:r>
    </w:p>
    <w:p>
      <w:r>
        <w:br w:type="page"/>
      </w:r>
    </w:p>
    <w:p>
      <w:pPr>
        <w:spacing w:before="360" w:after="120"/>
        <w:pBdr>
          <w:bottom w:val="single" w:sz="6" w:color="2E75B6"/>
        </w:pBdr>
      </w:pPr>
      <w:r>
        <w:rPr>
          <w:rFonts w:ascii="Calibri" w:hAnsi="Calibri"/>
          <w:b/>
          <w:i w:val="0"/>
          <w:color w:val="1F4E79"/>
          <w:sz w:val="36"/>
        </w:rPr>
        <w:t>9. Backup and Recovery</w:t>
      </w:r>
    </w:p>
    <w:tbl>
      <w:tblPr>
        <w:tblW w:type="auto" w:w="0"/>
        <w:jc w:val="center"/>
        <w:tblLayout w:type="fixed"/>
        <w:tblLook w:firstColumn="1" w:firstRow="1" w:lastColumn="0" w:lastRow="0" w:noHBand="0" w:noVBand="1" w:val="04A0"/>
      </w:tblPr>
      <w:tblGrid>
        <w:gridCol w:w="4873"/>
        <w:gridCol w:w="4873"/>
      </w:tblGrid>
      <w:tr>
        <w:tc>
          <w:tcPr>
            <w:tcW w:type="dxa" w:w="2592"/>
            <w:shd w:val="clear" w:color="auto" w:fill="1F4E79"/>
            <w:tcBorders>
              <w:top w:val="single" w:sz="4" w:color="1F4E79"/>
              <w:left w:val="single" w:sz="4" w:color="1F4E79"/>
              <w:bottom w:val="single" w:sz="4" w:color="1F4E79"/>
              <w:right w:val="single" w:sz="4" w:color="1F4E79"/>
            </w:tcBorders>
            <w:vAlign w:val="center"/>
          </w:tcPr>
          <w:p>
            <w:pPr>
              <w:spacing w:after="0"/>
            </w:pPr>
            <w:r/>
            <w:r>
              <w:rPr>
                <w:rFonts w:ascii="Calibri" w:hAnsi="Calibri"/>
                <w:b/>
                <w:i w:val="0"/>
                <w:color w:val="FFFFFF"/>
                <w:sz w:val="22"/>
              </w:rPr>
              <w:t>Component</w:t>
            </w:r>
          </w:p>
        </w:tc>
        <w:tc>
          <w:tcPr>
            <w:tcW w:type="dxa" w:w="6768"/>
            <w:shd w:val="clear" w:color="auto" w:fill="1F4E79"/>
            <w:tcBorders>
              <w:top w:val="single" w:sz="4" w:color="1F4E79"/>
              <w:left w:val="single" w:sz="4" w:color="1F4E79"/>
              <w:bottom w:val="single" w:sz="4" w:color="1F4E79"/>
              <w:right w:val="single" w:sz="4" w:color="1F4E79"/>
            </w:tcBorders>
            <w:vAlign w:val="center"/>
          </w:tcPr>
          <w:p>
            <w:pPr>
              <w:spacing w:after="0"/>
            </w:pPr>
            <w:r/>
            <w:r>
              <w:rPr>
                <w:rFonts w:ascii="Calibri" w:hAnsi="Calibri"/>
                <w:b/>
                <w:i w:val="0"/>
                <w:color w:val="FFFFFF"/>
                <w:sz w:val="22"/>
              </w:rPr>
              <w:t>Details</w:t>
            </w:r>
          </w:p>
        </w:tc>
      </w:tr>
      <w:tr>
        <w:tc>
          <w:tcPr>
            <w:tcW w:type="dxa" w:w="2592"/>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What is backed up</w:t>
            </w:r>
          </w:p>
        </w:tc>
        <w:tc>
          <w:tcPr>
            <w:tcW w:type="dxa" w:w="6768"/>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PostgreSQL database (pg_dump), VM configuration files</w:t>
            </w:r>
          </w:p>
        </w:tc>
      </w:tr>
      <w:tr>
        <w:tc>
          <w:tcPr>
            <w:tcW w:type="dxa" w:w="2592"/>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Backup location</w:t>
            </w:r>
          </w:p>
        </w:tc>
        <w:tc>
          <w:tcPr>
            <w:tcW w:type="dxa" w:w="6768"/>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/home/playerone/backups/ on DatabaseServer (local 7-day retention)</w:t>
            </w:r>
          </w:p>
        </w:tc>
      </w:tr>
      <w:tr>
        <w:tc>
          <w:tcPr>
            <w:tcW w:type="dxa" w:w="2592"/>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Backup frequency</w:t>
            </w:r>
          </w:p>
        </w:tc>
        <w:tc>
          <w:tcPr>
            <w:tcW w:type="dxa" w:w="6768"/>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Daily automated via Python cron job (Oscar)</w:t>
            </w:r>
          </w:p>
        </w:tc>
      </w:tr>
      <w:tr>
        <w:tc>
          <w:tcPr>
            <w:tcW w:type="dxa" w:w="2592"/>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Retention policy</w:t>
            </w:r>
          </w:p>
        </w:tc>
        <w:tc>
          <w:tcPr>
            <w:tcW w:type="dxa" w:w="6768"/>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7 daily backups, rotate oldest</w:t>
            </w:r>
          </w:p>
        </w:tc>
      </w:tr>
      <w:tr>
        <w:tc>
          <w:tcPr>
            <w:tcW w:type="dxa" w:w="2592"/>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Restore tested</w:t>
            </w:r>
          </w:p>
        </w:tc>
        <w:tc>
          <w:tcPr>
            <w:tcW w:type="dxa" w:w="6768"/>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Yes — full database restore completed and verified Weeks 10-12</w:t>
            </w:r>
          </w:p>
        </w:tc>
      </w:tr>
      <w:tr>
        <w:tc>
          <w:tcPr>
            <w:tcW w:type="dxa" w:w="2592"/>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Recovery objective</w:t>
            </w:r>
          </w:p>
        </w:tc>
        <w:tc>
          <w:tcPr>
            <w:tcW w:type="dxa" w:w="6768"/>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Database recovery within 24 hours from most recent backup</w:t>
            </w:r>
          </w:p>
        </w:tc>
      </w:tr>
      <w:tr>
        <w:tc>
          <w:tcPr>
            <w:tcW w:type="dxa" w:w="2592"/>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Owner</w:t>
            </w:r>
          </w:p>
        </w:tc>
        <w:tc>
          <w:tcPr>
            <w:tcW w:type="dxa" w:w="6768"/>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Oscar (script1, restore-test, evidence in DB_Restore_Test.docx)</w:t>
            </w:r>
          </w:p>
        </w:tc>
      </w:tr>
    </w:tbl>
    <w:p>
      <w:r>
        <w:br w:type="page"/>
      </w:r>
    </w:p>
    <w:p>
      <w:pPr>
        <w:spacing w:before="360" w:after="120"/>
        <w:pBdr>
          <w:bottom w:val="single" w:sz="6" w:color="2E75B6"/>
        </w:pBdr>
      </w:pPr>
      <w:r>
        <w:rPr>
          <w:rFonts w:ascii="Calibri" w:hAnsi="Calibri"/>
          <w:b/>
          <w:i w:val="0"/>
          <w:color w:val="1F4E79"/>
          <w:sz w:val="36"/>
        </w:rPr>
        <w:t>10. Security Hardening</w:t>
      </w:r>
    </w:p>
    <w:p>
      <w:pPr>
        <w:spacing w:before="240" w:after="80"/>
      </w:pPr>
      <w:r>
        <w:rPr>
          <w:rFonts w:ascii="Calibri" w:hAnsi="Calibri"/>
          <w:b/>
          <w:i w:val="0"/>
          <w:color w:val="1F4E79"/>
          <w:sz w:val="28"/>
        </w:rPr>
        <w:t>10.1 Credential Management</w:t>
      </w:r>
    </w:p>
    <w:p>
      <w:pPr>
        <w:spacing w:after="120"/>
      </w:pPr>
      <w:r>
        <w:rPr>
          <w:rFonts w:ascii="Calibri" w:hAnsi="Calibri"/>
          <w:b w:val="0"/>
          <w:i w:val="0"/>
          <w:color w:val="333333"/>
          <w:sz w:val="22"/>
        </w:rPr>
        <w:t>All default credentials replaced with 30-character randomly generated passwords stored in the team's 1Password vault (Sessions 16–19, all members). Critical Session 21d finding (Jason): OPNsense stored root credentials in two locations (/etc/master.passwd for system auth and /conf/config.xml for OPNsense web-UI auth) — Session 16 rotation used FreeBSD passwd which updated only one. Remediated via OPNsense's local_user_set_password + write_config helpers, which update both stores atomically. Verified: default password, prior rotation, and control bogus password all rejected; new 30-char credential accepted.</w:t>
      </w:r>
    </w:p>
    <w:p>
      <w:pPr>
        <w:spacing w:before="240" w:after="80"/>
      </w:pPr>
      <w:r>
        <w:rPr>
          <w:rFonts w:ascii="Calibri" w:hAnsi="Calibri"/>
          <w:b/>
          <w:i w:val="0"/>
          <w:color w:val="1F4E79"/>
          <w:sz w:val="28"/>
        </w:rPr>
        <w:t>10.2 SSH Hardening</w:t>
      </w:r>
    </w:p>
    <w:tbl>
      <w:tblPr>
        <w:tblW w:type="auto" w:w="0"/>
        <w:jc w:val="center"/>
        <w:tblLayout w:type="fixed"/>
        <w:tblLook w:firstColumn="1" w:firstRow="1" w:lastColumn="0" w:lastRow="0" w:noHBand="0" w:noVBand="1" w:val="04A0"/>
      </w:tblPr>
      <w:tblGrid>
        <w:gridCol w:w="2436"/>
        <w:gridCol w:w="2436"/>
        <w:gridCol w:w="2436"/>
        <w:gridCol w:w="2436"/>
      </w:tblGrid>
      <w:tr>
        <w:tc>
          <w:tcPr>
            <w:tcW w:type="dxa" w:w="3456"/>
            <w:shd w:val="clear" w:color="auto" w:fill="1F4E79"/>
            <w:tcBorders>
              <w:top w:val="single" w:sz="4" w:color="1F4E79"/>
              <w:left w:val="single" w:sz="4" w:color="1F4E79"/>
              <w:bottom w:val="single" w:sz="4" w:color="1F4E79"/>
              <w:right w:val="single" w:sz="4" w:color="1F4E79"/>
            </w:tcBorders>
            <w:vAlign w:val="center"/>
          </w:tcPr>
          <w:p>
            <w:pPr>
              <w:spacing w:after="0"/>
            </w:pPr>
            <w:r/>
            <w:r>
              <w:rPr>
                <w:rFonts w:ascii="Calibri" w:hAnsi="Calibri"/>
                <w:b/>
                <w:i w:val="0"/>
                <w:color w:val="FFFFFF"/>
                <w:sz w:val="22"/>
              </w:rPr>
              <w:t>Control</w:t>
            </w:r>
          </w:p>
        </w:tc>
        <w:tc>
          <w:tcPr>
            <w:tcW w:type="dxa" w:w="1440"/>
            <w:shd w:val="clear" w:color="auto" w:fill="1F4E79"/>
            <w:tcBorders>
              <w:top w:val="single" w:sz="4" w:color="1F4E79"/>
              <w:left w:val="single" w:sz="4" w:color="1F4E79"/>
              <w:bottom w:val="single" w:sz="4" w:color="1F4E79"/>
              <w:right w:val="single" w:sz="4" w:color="1F4E79"/>
            </w:tcBorders>
            <w:vAlign w:val="center"/>
          </w:tcPr>
          <w:p>
            <w:pPr>
              <w:spacing w:after="0"/>
            </w:pPr>
            <w:r/>
            <w:r>
              <w:rPr>
                <w:rFonts w:ascii="Calibri" w:hAnsi="Calibri"/>
                <w:b/>
                <w:i w:val="0"/>
                <w:color w:val="FFFFFF"/>
                <w:sz w:val="22"/>
              </w:rPr>
              <w:t>Status</w:t>
            </w:r>
          </w:p>
        </w:tc>
        <w:tc>
          <w:tcPr>
            <w:tcW w:type="dxa" w:w="2880"/>
            <w:shd w:val="clear" w:color="auto" w:fill="1F4E79"/>
            <w:tcBorders>
              <w:top w:val="single" w:sz="4" w:color="1F4E79"/>
              <w:left w:val="single" w:sz="4" w:color="1F4E79"/>
              <w:bottom w:val="single" w:sz="4" w:color="1F4E79"/>
              <w:right w:val="single" w:sz="4" w:color="1F4E79"/>
            </w:tcBorders>
            <w:vAlign w:val="center"/>
          </w:tcPr>
          <w:p>
            <w:pPr>
              <w:spacing w:after="0"/>
            </w:pPr>
            <w:r/>
            <w:r>
              <w:rPr>
                <w:rFonts w:ascii="Calibri" w:hAnsi="Calibri"/>
                <w:b/>
                <w:i w:val="0"/>
                <w:color w:val="FFFFFF"/>
                <w:sz w:val="22"/>
              </w:rPr>
              <w:t>Systems Applied</w:t>
            </w:r>
          </w:p>
        </w:tc>
        <w:tc>
          <w:tcPr>
            <w:tcW w:type="dxa" w:w="1440"/>
            <w:shd w:val="clear" w:color="auto" w:fill="1F4E79"/>
            <w:tcBorders>
              <w:top w:val="single" w:sz="4" w:color="1F4E79"/>
              <w:left w:val="single" w:sz="4" w:color="1F4E79"/>
              <w:bottom w:val="single" w:sz="4" w:color="1F4E79"/>
              <w:right w:val="single" w:sz="4" w:color="1F4E79"/>
            </w:tcBorders>
            <w:vAlign w:val="center"/>
          </w:tcPr>
          <w:p>
            <w:pPr>
              <w:spacing w:after="0"/>
            </w:pPr>
            <w:r/>
            <w:r>
              <w:rPr>
                <w:rFonts w:ascii="Calibri" w:hAnsi="Calibri"/>
                <w:b/>
                <w:i w:val="0"/>
                <w:color w:val="FFFFFF"/>
                <w:sz w:val="22"/>
              </w:rPr>
              <w:t>Owner</w:t>
            </w:r>
          </w:p>
        </w:tc>
      </w:tr>
      <w:tr>
        <w:tc>
          <w:tcPr>
            <w:tcW w:type="dxa" w:w="3456"/>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PermitRootLogin no</w:t>
            </w:r>
          </w:p>
        </w:tc>
        <w:tc>
          <w:tcPr>
            <w:tcW w:type="dxa" w:w="144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Implemented</w:t>
            </w:r>
          </w:p>
        </w:tc>
        <w:tc>
          <w:tcPr>
            <w:tcW w:type="dxa" w:w="288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All RHEL VMs</w:t>
            </w:r>
          </w:p>
        </w:tc>
        <w:tc>
          <w:tcPr>
            <w:tcW w:type="dxa" w:w="144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Oscar</w:t>
            </w:r>
          </w:p>
        </w:tc>
      </w:tr>
      <w:tr>
        <w:tc>
          <w:tcPr>
            <w:tcW w:type="dxa" w:w="3456"/>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PasswordAuthentication no</w:t>
            </w:r>
          </w:p>
        </w:tc>
        <w:tc>
          <w:tcPr>
            <w:tcW w:type="dxa" w:w="144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Implemented</w:t>
            </w:r>
          </w:p>
        </w:tc>
        <w:tc>
          <w:tcPr>
            <w:tcW w:type="dxa" w:w="288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All RHEL VMs, Kali</w:t>
            </w:r>
          </w:p>
        </w:tc>
        <w:tc>
          <w:tcPr>
            <w:tcW w:type="dxa" w:w="144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Oscar / James</w:t>
            </w:r>
          </w:p>
        </w:tc>
      </w:tr>
      <w:tr>
        <w:tc>
          <w:tcPr>
            <w:tcW w:type="dxa" w:w="3456"/>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Key-based authentication (ed25519)</w:t>
            </w:r>
          </w:p>
        </w:tc>
        <w:tc>
          <w:tcPr>
            <w:tcW w:type="dxa" w:w="144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Implemented</w:t>
            </w:r>
          </w:p>
        </w:tc>
        <w:tc>
          <w:tcPr>
            <w:tcW w:type="dxa" w:w="288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All VMs</w:t>
            </w:r>
          </w:p>
        </w:tc>
        <w:tc>
          <w:tcPr>
            <w:tcW w:type="dxa" w:w="144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James</w:t>
            </w:r>
          </w:p>
        </w:tc>
      </w:tr>
      <w:tr>
        <w:tc>
          <w:tcPr>
            <w:tcW w:type="dxa" w:w="3456"/>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RSA 4096-bit keys (legacy VyOS/OPNsense)</w:t>
            </w:r>
          </w:p>
        </w:tc>
        <w:tc>
          <w:tcPr>
            <w:tcW w:type="dxa" w:w="144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Implemented</w:t>
            </w:r>
          </w:p>
        </w:tc>
        <w:tc>
          <w:tcPr>
            <w:tcW w:type="dxa" w:w="288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VyOS, OPNsense</w:t>
            </w:r>
          </w:p>
        </w:tc>
        <w:tc>
          <w:tcPr>
            <w:tcW w:type="dxa" w:w="144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Jason</w:t>
            </w:r>
          </w:p>
        </w:tc>
      </w:tr>
      <w:tr>
        <w:tc>
          <w:tcPr>
            <w:tcW w:type="dxa" w:w="3456"/>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SSH enabled at boot</w:t>
            </w:r>
          </w:p>
        </w:tc>
        <w:tc>
          <w:tcPr>
            <w:tcW w:type="dxa" w:w="144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Implemented</w:t>
            </w:r>
          </w:p>
        </w:tc>
        <w:tc>
          <w:tcPr>
            <w:tcW w:type="dxa" w:w="288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All VMs via rc.conf / service</w:t>
            </w:r>
          </w:p>
        </w:tc>
        <w:tc>
          <w:tcPr>
            <w:tcW w:type="dxa" w:w="144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Oscar / James</w:t>
            </w:r>
          </w:p>
        </w:tc>
      </w:tr>
      <w:tr>
        <w:tc>
          <w:tcPr>
            <w:tcW w:type="dxa" w:w="3456"/>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Client idle timeout</w:t>
            </w:r>
          </w:p>
        </w:tc>
        <w:tc>
          <w:tcPr>
            <w:tcW w:type="dxa" w:w="144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Implemented</w:t>
            </w:r>
          </w:p>
        </w:tc>
        <w:tc>
          <w:tcPr>
            <w:tcW w:type="dxa" w:w="288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ClientAliveInterval 300, CountMax 2</w:t>
            </w:r>
          </w:p>
        </w:tc>
        <w:tc>
          <w:tcPr>
            <w:tcW w:type="dxa" w:w="144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All</w:t>
            </w:r>
          </w:p>
        </w:tc>
      </w:tr>
    </w:tbl>
    <w:p>
      <w:pPr>
        <w:spacing w:before="240" w:after="80"/>
      </w:pPr>
      <w:r>
        <w:rPr>
          <w:rFonts w:ascii="Calibri" w:hAnsi="Calibri"/>
          <w:b/>
          <w:i w:val="0"/>
          <w:color w:val="1F4E79"/>
          <w:sz w:val="28"/>
        </w:rPr>
        <w:t>10.3 Firewall Hardening</w:t>
      </w:r>
    </w:p>
    <w:p>
      <w:pPr>
        <w:spacing w:after="120"/>
      </w:pPr>
      <w:r>
        <w:rPr>
          <w:rFonts w:ascii="Calibri" w:hAnsi="Calibri"/>
          <w:b w:val="0"/>
          <w:i w:val="0"/>
          <w:color w:val="333333"/>
          <w:sz w:val="22"/>
        </w:rPr>
        <w:t>Kali iptables: default DROP policy on INPUT, explicitly allowing only loopback traffic, established/related connections, Tailscale VPN, and ICMP. Rules persisted via iptables-persistent. Tier 2 firewalld on DB and CD2 (Oscar, Session 21) with source-restricted rich rules. OPNsense pf rules extended to opt1 (DMZ) + lan during engagement (FIND-015, Jason).</w:t>
      </w:r>
    </w:p>
    <w:p>
      <w:pPr>
        <w:spacing w:before="240" w:after="80"/>
      </w:pPr>
      <w:r>
        <w:rPr>
          <w:rFonts w:ascii="Calibri" w:hAnsi="Calibri"/>
          <w:b/>
          <w:i w:val="0"/>
          <w:color w:val="1F4E79"/>
          <w:sz w:val="28"/>
        </w:rPr>
        <w:t>10.4 Vulnerability Assessment</w:t>
      </w:r>
    </w:p>
    <w:p>
      <w:pPr>
        <w:spacing w:after="120"/>
      </w:pPr>
      <w:r>
        <w:rPr>
          <w:rFonts w:ascii="Calibri" w:hAnsi="Calibri"/>
          <w:b w:val="0"/>
          <w:i w:val="0"/>
          <w:color w:val="333333"/>
          <w:sz w:val="22"/>
        </w:rPr>
        <w:t>Pre-engagement: Nmap baseline + Nikto on WebServer (Session 18). OpenVAS scheduled bi-weekly. A1–A5 audit closures (FIND-008, 009, 010, 011, 012, 013, 014) before pentest week. Post-engagement: 21 findings with full remediation evidence in Pentest_Week/findings/. CSET assessment scheduled as final-project deliverable.</w:t>
      </w:r>
    </w:p>
    <w:p>
      <w:r>
        <w:br w:type="page"/>
      </w:r>
    </w:p>
    <w:p>
      <w:pPr>
        <w:spacing w:before="360" w:after="120"/>
        <w:pBdr>
          <w:bottom w:val="single" w:sz="6" w:color="2E75B6"/>
        </w:pBdr>
      </w:pPr>
      <w:r>
        <w:rPr>
          <w:rFonts w:ascii="Calibri" w:hAnsi="Calibri"/>
          <w:b/>
          <w:i w:val="0"/>
          <w:color w:val="1F4E79"/>
          <w:sz w:val="36"/>
        </w:rPr>
        <w:t>11. Penetration Testing</w:t>
      </w:r>
    </w:p>
    <w:p>
      <w:pPr>
        <w:spacing w:after="120"/>
      </w:pPr>
      <w:r>
        <w:rPr>
          <w:rFonts w:ascii="Calibri" w:hAnsi="Calibri"/>
          <w:b w:val="0"/>
          <w:i w:val="0"/>
          <w:color w:val="333333"/>
          <w:sz w:val="22"/>
        </w:rPr>
        <w:t>A structured 7-day penetration test was conducted by Team 8 (IST 4620 red team) against the Rent a Dog enterprise network from April 20 through April 26, 2026, using the OpenClaw + Qwen LLM + ZAP + FFUF toolkit per the DOGPARK Phase 1–3 playbook. Team 6 served as the blue team / defense.</w:t>
      </w:r>
    </w:p>
    <w:p>
      <w:pPr>
        <w:spacing w:before="240" w:after="80"/>
      </w:pPr>
      <w:r>
        <w:rPr>
          <w:rFonts w:ascii="Calibri" w:hAnsi="Calibri"/>
          <w:b/>
          <w:i w:val="0"/>
          <w:color w:val="1F4E79"/>
          <w:sz w:val="28"/>
        </w:rPr>
        <w:t>11.1 Engagement Scope and Prerequisites</w:t>
      </w:r>
    </w:p>
    <w:p>
      <w:pPr>
        <w:spacing w:after="120"/>
      </w:pPr>
      <w:r>
        <w:rPr>
          <w:rFonts w:ascii="Calibri" w:hAnsi="Calibri"/>
          <w:b w:val="0"/>
          <w:i w:val="0"/>
          <w:color w:val="333333"/>
          <w:sz w:val="22"/>
        </w:rPr>
        <w:t>Prerequisites completed before the engagement (collaborative across the team):</w:t>
      </w:r>
    </w:p>
    <w:p>
      <w:pPr>
        <w:pStyle w:val="ListBullet"/>
        <w:spacing w:after="40"/>
        <w:ind w:left="340"/>
      </w:pPr>
      <w:r>
        <w:rPr>
          <w:rFonts w:ascii="Calibri" w:hAnsi="Calibri"/>
          <w:b w:val="0"/>
          <w:i w:val="0"/>
          <w:color w:val="333333"/>
          <w:sz w:val="22"/>
        </w:rPr>
        <w:t>All default credentials replaced — 30-character per-host passwords on all 9 VMs (Sessions 16–19, all members)</w:t>
      </w:r>
    </w:p>
    <w:p>
      <w:pPr>
        <w:pStyle w:val="ListBullet"/>
        <w:spacing w:after="40"/>
        <w:ind w:left="340"/>
      </w:pPr>
      <w:r>
        <w:rPr>
          <w:rFonts w:ascii="Calibri" w:hAnsi="Calibri"/>
          <w:b w:val="0"/>
          <w:i w:val="0"/>
          <w:color w:val="333333"/>
          <w:sz w:val="22"/>
        </w:rPr>
        <w:t>SSH hardening on all RHEL VMs — key-based auth, password auth disabled (Session 19, Oscar lead)</w:t>
      </w:r>
    </w:p>
    <w:p>
      <w:pPr>
        <w:pStyle w:val="ListBullet"/>
        <w:spacing w:after="40"/>
        <w:ind w:left="340"/>
      </w:pPr>
      <w:r>
        <w:rPr>
          <w:rFonts w:ascii="Calibri" w:hAnsi="Calibri"/>
          <w:b w:val="0"/>
          <w:i w:val="0"/>
          <w:color w:val="333333"/>
          <w:sz w:val="22"/>
        </w:rPr>
        <w:t>Suricata IDS/IPS enabled — 34,353 alert signatures (Session 21c, Jason lead)</w:t>
      </w:r>
    </w:p>
    <w:p>
      <w:pPr>
        <w:pStyle w:val="ListBullet"/>
        <w:spacing w:after="40"/>
        <w:ind w:left="340"/>
      </w:pPr>
      <w:r>
        <w:rPr>
          <w:rFonts w:ascii="Calibri" w:hAnsi="Calibri"/>
          <w:b w:val="0"/>
          <w:i w:val="0"/>
          <w:color w:val="333333"/>
          <w:sz w:val="22"/>
        </w:rPr>
        <w:t>Vulnerability scan and remediation completed — A1–A5 audit closures (Session 18–21, James + Allegra + Oscar)</w:t>
      </w:r>
    </w:p>
    <w:p>
      <w:pPr>
        <w:pStyle w:val="ListBullet"/>
        <w:spacing w:after="40"/>
        <w:ind w:left="340"/>
      </w:pPr>
      <w:r>
        <w:rPr>
          <w:rFonts w:ascii="Calibri" w:hAnsi="Calibri"/>
          <w:b w:val="0"/>
          <w:i w:val="0"/>
          <w:color w:val="333333"/>
          <w:sz w:val="22"/>
        </w:rPr>
        <w:t>Account baseline (Session 20, Allegra lead) — 7 stale local accounts purged, 3 stale AD accounts deleted, MinPasswordLength 14, lockout 5/30 min</w:t>
      </w:r>
    </w:p>
    <w:p>
      <w:pPr>
        <w:pStyle w:val="ListBullet"/>
        <w:spacing w:after="40"/>
        <w:ind w:left="340"/>
      </w:pPr>
      <w:r>
        <w:rPr>
          <w:rFonts w:ascii="Calibri" w:hAnsi="Calibri"/>
          <w:b w:val="0"/>
          <w:i w:val="0"/>
          <w:color w:val="333333"/>
          <w:sz w:val="22"/>
        </w:rPr>
        <w:t>Tier 2 host firewalld on DB and CD2 (Session 21, Oscar lead)</w:t>
      </w:r>
    </w:p>
    <w:p>
      <w:pPr>
        <w:pStyle w:val="ListBullet"/>
        <w:spacing w:after="40"/>
        <w:ind w:left="340"/>
      </w:pPr>
      <w:r>
        <w:rPr>
          <w:rFonts w:ascii="Calibri" w:hAnsi="Calibri"/>
          <w:b w:val="0"/>
          <w:i w:val="0"/>
          <w:color w:val="333333"/>
          <w:sz w:val="22"/>
        </w:rPr>
        <w:t>OPNsense dual-password-store remediation (Session 21d, Jason)</w:t>
      </w:r>
    </w:p>
    <w:p>
      <w:pPr>
        <w:pStyle w:val="ListBullet"/>
        <w:spacing w:after="40"/>
        <w:ind w:left="340"/>
      </w:pPr>
      <w:r>
        <w:rPr>
          <w:rFonts w:ascii="Calibri" w:hAnsi="Calibri"/>
          <w:b w:val="0"/>
          <w:i w:val="0"/>
          <w:color w:val="333333"/>
          <w:sz w:val="22"/>
        </w:rPr>
        <w:t>Autoblock v4 IR pipeline (Session 22, James + Jason co-architecture)</w:t>
      </w:r>
    </w:p>
    <w:p>
      <w:pPr>
        <w:spacing w:before="240" w:after="80"/>
      </w:pPr>
      <w:r>
        <w:rPr>
          <w:rFonts w:ascii="Calibri" w:hAnsi="Calibri"/>
          <w:b/>
          <w:i w:val="0"/>
          <w:color w:val="1F4E79"/>
          <w:sz w:val="28"/>
        </w:rPr>
        <w:t>11.2 Engagement Results — Top-Line</w:t>
      </w:r>
    </w:p>
    <w:tbl>
      <w:tblPr>
        <w:tblW w:type="auto" w:w="0"/>
        <w:jc w:val="center"/>
        <w:tblLayout w:type="fixed"/>
        <w:tblLook w:firstColumn="1" w:firstRow="1" w:lastColumn="0" w:lastRow="0" w:noHBand="0" w:noVBand="1" w:val="04A0"/>
      </w:tblPr>
      <w:tblGrid>
        <w:gridCol w:w="4873"/>
        <w:gridCol w:w="4873"/>
      </w:tblGrid>
      <w:tr>
        <w:tc>
          <w:tcPr>
            <w:tcW w:type="dxa" w:w="4320"/>
            <w:shd w:val="clear" w:color="auto" w:fill="1F4E79"/>
            <w:tcBorders>
              <w:top w:val="single" w:sz="4" w:color="1F4E79"/>
              <w:left w:val="single" w:sz="4" w:color="1F4E79"/>
              <w:bottom w:val="single" w:sz="4" w:color="1F4E79"/>
              <w:right w:val="single" w:sz="4" w:color="1F4E79"/>
            </w:tcBorders>
            <w:vAlign w:val="center"/>
          </w:tcPr>
          <w:p>
            <w:pPr>
              <w:spacing w:after="0"/>
            </w:pPr>
            <w:r/>
            <w:r>
              <w:rPr>
                <w:rFonts w:ascii="Calibri" w:hAnsi="Calibri"/>
                <w:b/>
                <w:i w:val="0"/>
                <w:color w:val="FFFFFF"/>
                <w:sz w:val="22"/>
              </w:rPr>
              <w:t>Metric</w:t>
            </w:r>
          </w:p>
        </w:tc>
        <w:tc>
          <w:tcPr>
            <w:tcW w:type="dxa" w:w="5040"/>
            <w:shd w:val="clear" w:color="auto" w:fill="1F4E79"/>
            <w:tcBorders>
              <w:top w:val="single" w:sz="4" w:color="1F4E79"/>
              <w:left w:val="single" w:sz="4" w:color="1F4E79"/>
              <w:bottom w:val="single" w:sz="4" w:color="1F4E79"/>
              <w:right w:val="single" w:sz="4" w:color="1F4E79"/>
            </w:tcBorders>
            <w:vAlign w:val="center"/>
          </w:tcPr>
          <w:p>
            <w:pPr>
              <w:spacing w:after="0"/>
            </w:pPr>
            <w:r/>
            <w:r>
              <w:rPr>
                <w:rFonts w:ascii="Calibri" w:hAnsi="Calibri"/>
                <w:b/>
                <w:i w:val="0"/>
                <w:color w:val="FFFFFF"/>
                <w:sz w:val="22"/>
              </w:rPr>
              <w:t>Value</w:t>
            </w:r>
          </w:p>
        </w:tc>
      </w:tr>
      <w:tr>
        <w:tc>
          <w:tcPr>
            <w:tcW w:type="dxa" w:w="432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Engagement duration</w:t>
            </w:r>
          </w:p>
        </w:tc>
        <w:tc>
          <w:tcPr>
            <w:tcW w:type="dxa" w:w="504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7 days  (April 20 – April 26, 2026)</w:t>
            </w:r>
          </w:p>
        </w:tc>
      </w:tr>
      <w:tr>
        <w:tc>
          <w:tcPr>
            <w:tcW w:type="dxa" w:w="432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Successful intrusions</w:t>
            </w:r>
          </w:p>
        </w:tc>
        <w:tc>
          <w:tcPr>
            <w:tcW w:type="dxa" w:w="504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0</w:t>
            </w:r>
          </w:p>
        </w:tc>
      </w:tr>
      <w:tr>
        <w:tc>
          <w:tcPr>
            <w:tcW w:type="dxa" w:w="432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Compromised accounts</w:t>
            </w:r>
          </w:p>
        </w:tc>
        <w:tc>
          <w:tcPr>
            <w:tcW w:type="dxa" w:w="504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0</w:t>
            </w:r>
          </w:p>
        </w:tc>
      </w:tr>
      <w:tr>
        <w:tc>
          <w:tcPr>
            <w:tcW w:type="dxa" w:w="432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Webshells deployed</w:t>
            </w:r>
          </w:p>
        </w:tc>
        <w:tc>
          <w:tcPr>
            <w:tcW w:type="dxa" w:w="504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0</w:t>
            </w:r>
          </w:p>
        </w:tc>
      </w:tr>
      <w:tr>
        <w:tc>
          <w:tcPr>
            <w:tcW w:type="dxa" w:w="432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Data exfiltrated</w:t>
            </w:r>
          </w:p>
        </w:tc>
        <w:tc>
          <w:tcPr>
            <w:tcW w:type="dxa" w:w="504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0 bytes of real data  (only honeypot bait)</w:t>
            </w:r>
          </w:p>
        </w:tc>
      </w:tr>
      <w:tr>
        <w:tc>
          <w:tcPr>
            <w:tcW w:type="dxa" w:w="432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Findings logged</w:t>
            </w:r>
          </w:p>
        </w:tc>
        <w:tc>
          <w:tcPr>
            <w:tcW w:type="dxa" w:w="504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21  (20 closed + 1 deferred)</w:t>
            </w:r>
          </w:p>
        </w:tc>
      </w:tr>
      <w:tr>
        <w:tc>
          <w:tcPr>
            <w:tcW w:type="dxa" w:w="432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Total attacker probes blocked at perimeter</w:t>
            </w:r>
          </w:p>
        </w:tc>
        <w:tc>
          <w:tcPr>
            <w:tcW w:type="dxa" w:w="504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80,000+ events</w:t>
            </w:r>
          </w:p>
        </w:tc>
      </w:tr>
      <w:tr>
        <w:tc>
          <w:tcPr>
            <w:tcW w:type="dxa" w:w="432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Unique attacker IPs caught</w:t>
            </w:r>
          </w:p>
        </w:tc>
        <w:tc>
          <w:tcPr>
            <w:tcW w:type="dxa" w:w="504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10  (across all three zones)</w:t>
            </w:r>
          </w:p>
        </w:tc>
      </w:tr>
      <w:tr>
        <w:tc>
          <w:tcPr>
            <w:tcW w:type="dxa" w:w="432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Distinct attacker MACs cycled</w:t>
            </w:r>
          </w:p>
        </w:tc>
        <w:tc>
          <w:tcPr>
            <w:tcW w:type="dxa" w:w="504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4  (including ephemeral spoofed)</w:t>
            </w:r>
          </w:p>
        </w:tc>
      </w:tr>
      <w:tr>
        <w:tc>
          <w:tcPr>
            <w:tcW w:type="dxa" w:w="432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pf autoblock_ip table size at end</w:t>
            </w:r>
          </w:p>
        </w:tc>
        <w:tc>
          <w:tcPr>
            <w:tcW w:type="dxa" w:w="504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254 entries</w:t>
            </w:r>
          </w:p>
        </w:tc>
      </w:tr>
      <w:tr>
        <w:tc>
          <w:tcPr>
            <w:tcW w:type="dxa" w:w="432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Worst-case detection latency</w:t>
            </w:r>
          </w:p>
        </w:tc>
        <w:tc>
          <w:tcPr>
            <w:tcW w:type="dxa" w:w="504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~60 seconds</w:t>
            </w:r>
          </w:p>
        </w:tc>
      </w:tr>
      <w:tr>
        <w:tc>
          <w:tcPr>
            <w:tcW w:type="dxa" w:w="432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Hosts confirmed uncompromised</w:t>
            </w:r>
          </w:p>
        </w:tc>
        <w:tc>
          <w:tcPr>
            <w:tcW w:type="dxa" w:w="504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9 of 9</w:t>
            </w:r>
          </w:p>
        </w:tc>
      </w:tr>
    </w:tbl>
    <w:p>
      <w:pPr>
        <w:spacing w:before="240" w:after="80"/>
      </w:pPr>
      <w:r>
        <w:rPr>
          <w:rFonts w:ascii="Calibri" w:hAnsi="Calibri"/>
          <w:b/>
          <w:i w:val="0"/>
          <w:color w:val="1F4E79"/>
          <w:sz w:val="28"/>
        </w:rPr>
        <w:t>11.3 Attacker Activity Profile</w:t>
      </w:r>
    </w:p>
    <w:tbl>
      <w:tblPr>
        <w:tblW w:type="auto" w:w="0"/>
        <w:jc w:val="center"/>
        <w:tblLayout w:type="fixed"/>
        <w:tblLook w:firstColumn="1" w:firstRow="1" w:lastColumn="0" w:lastRow="0" w:noHBand="0" w:noVBand="1" w:val="04A0"/>
      </w:tblPr>
      <w:tblGrid>
        <w:gridCol w:w="2436"/>
        <w:gridCol w:w="2436"/>
        <w:gridCol w:w="2436"/>
        <w:gridCol w:w="2436"/>
      </w:tblGrid>
      <w:tr>
        <w:tc>
          <w:tcPr>
            <w:tcW w:type="dxa" w:w="864"/>
            <w:shd w:val="clear" w:color="auto" w:fill="1F4E79"/>
            <w:tcBorders>
              <w:top w:val="single" w:sz="4" w:color="1F4E79"/>
              <w:left w:val="single" w:sz="4" w:color="1F4E79"/>
              <w:bottom w:val="single" w:sz="4" w:color="1F4E79"/>
              <w:right w:val="single" w:sz="4" w:color="1F4E79"/>
            </w:tcBorders>
            <w:vAlign w:val="center"/>
          </w:tcPr>
          <w:p>
            <w:pPr>
              <w:spacing w:after="0"/>
            </w:pPr>
            <w:r/>
            <w:r>
              <w:rPr>
                <w:rFonts w:ascii="Calibri" w:hAnsi="Calibri"/>
                <w:b/>
                <w:i w:val="0"/>
                <w:color w:val="FFFFFF"/>
                <w:sz w:val="22"/>
              </w:rPr>
              <w:t>Day</w:t>
            </w:r>
          </w:p>
        </w:tc>
        <w:tc>
          <w:tcPr>
            <w:tcW w:type="dxa" w:w="3456"/>
            <w:shd w:val="clear" w:color="auto" w:fill="1F4E79"/>
            <w:tcBorders>
              <w:top w:val="single" w:sz="4" w:color="1F4E79"/>
              <w:left w:val="single" w:sz="4" w:color="1F4E79"/>
              <w:bottom w:val="single" w:sz="4" w:color="1F4E79"/>
              <w:right w:val="single" w:sz="4" w:color="1F4E79"/>
            </w:tcBorders>
            <w:vAlign w:val="center"/>
          </w:tcPr>
          <w:p>
            <w:pPr>
              <w:spacing w:after="0"/>
            </w:pPr>
            <w:r/>
            <w:r>
              <w:rPr>
                <w:rFonts w:ascii="Calibri" w:hAnsi="Calibri"/>
                <w:b/>
                <w:i w:val="0"/>
                <w:color w:val="FFFFFF"/>
                <w:sz w:val="22"/>
              </w:rPr>
              <w:t>Source IP(s)</w:t>
            </w:r>
          </w:p>
        </w:tc>
        <w:tc>
          <w:tcPr>
            <w:tcW w:type="dxa" w:w="1152"/>
            <w:shd w:val="clear" w:color="auto" w:fill="1F4E79"/>
            <w:tcBorders>
              <w:top w:val="single" w:sz="4" w:color="1F4E79"/>
              <w:left w:val="single" w:sz="4" w:color="1F4E79"/>
              <w:bottom w:val="single" w:sz="4" w:color="1F4E79"/>
              <w:right w:val="single" w:sz="4" w:color="1F4E79"/>
            </w:tcBorders>
            <w:vAlign w:val="center"/>
          </w:tcPr>
          <w:p>
            <w:pPr>
              <w:spacing w:after="0"/>
            </w:pPr>
            <w:r/>
            <w:r>
              <w:rPr>
                <w:rFonts w:ascii="Calibri" w:hAnsi="Calibri"/>
                <w:b/>
                <w:i w:val="0"/>
                <w:color w:val="FFFFFF"/>
                <w:sz w:val="22"/>
              </w:rPr>
              <w:t>Zone</w:t>
            </w:r>
          </w:p>
        </w:tc>
        <w:tc>
          <w:tcPr>
            <w:tcW w:type="dxa" w:w="5328"/>
            <w:shd w:val="clear" w:color="auto" w:fill="1F4E79"/>
            <w:tcBorders>
              <w:top w:val="single" w:sz="4" w:color="1F4E79"/>
              <w:left w:val="single" w:sz="4" w:color="1F4E79"/>
              <w:bottom w:val="single" w:sz="4" w:color="1F4E79"/>
              <w:right w:val="single" w:sz="4" w:color="1F4E79"/>
            </w:tcBorders>
            <w:vAlign w:val="center"/>
          </w:tcPr>
          <w:p>
            <w:pPr>
              <w:spacing w:after="0"/>
            </w:pPr>
            <w:r/>
            <w:r>
              <w:rPr>
                <w:rFonts w:ascii="Calibri" w:hAnsi="Calibri"/>
                <w:b/>
                <w:i w:val="0"/>
                <w:color w:val="FFFFFF"/>
                <w:sz w:val="22"/>
              </w:rPr>
              <w:t>Outcome</w:t>
            </w:r>
          </w:p>
        </w:tc>
      </w:tr>
      <w:tr>
        <w:tc>
          <w:tcPr>
            <w:tcW w:type="dxa" w:w="864"/>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1–2</w:t>
            </w:r>
          </w:p>
        </w:tc>
        <w:tc>
          <w:tcPr>
            <w:tcW w:type="dxa" w:w="3456"/>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172.31.0.67, .69</w:t>
            </w:r>
          </w:p>
        </w:tc>
        <w:tc>
          <w:tcPr>
            <w:tcW w:type="dxa" w:w="1152"/>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WAN</w:t>
            </w:r>
          </w:p>
        </w:tc>
        <w:tc>
          <w:tcPr>
            <w:tcW w:type="dxa" w:w="5328"/>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Manual block + autoblock v4 first save (64,791 probes)</w:t>
            </w:r>
          </w:p>
        </w:tc>
      </w:tr>
      <w:tr>
        <w:tc>
          <w:tcPr>
            <w:tcW w:type="dxa" w:w="864"/>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4</w:t>
            </w:r>
          </w:p>
        </w:tc>
        <w:tc>
          <w:tcPr>
            <w:tcW w:type="dxa" w:w="3456"/>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10.0.1.67, .69</w:t>
            </w:r>
          </w:p>
        </w:tc>
        <w:tc>
          <w:tcPr>
            <w:tcW w:type="dxa" w:w="1152"/>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DMZ</w:t>
            </w:r>
          </w:p>
        </w:tc>
        <w:tc>
          <w:tcPr>
            <w:tcW w:type="dxa" w:w="5328"/>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Bypassed for 10h 15m (FIND-015) — closed by Jason</w:t>
            </w:r>
          </w:p>
        </w:tc>
      </w:tr>
      <w:tr>
        <w:tc>
          <w:tcPr>
            <w:tcW w:type="dxa" w:w="864"/>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4</w:t>
            </w:r>
          </w:p>
        </w:tc>
        <w:tc>
          <w:tcPr>
            <w:tcW w:type="dxa" w:w="3456"/>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10.0.1.150 (MAC-spoofed)</w:t>
            </w:r>
          </w:p>
        </w:tc>
        <w:tc>
          <w:tcPr>
            <w:tcW w:type="dxa" w:w="1152"/>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DMZ</w:t>
            </w:r>
          </w:p>
        </w:tc>
        <w:tc>
          <w:tcPr>
            <w:tcW w:type="dxa" w:w="5328"/>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James's IP-based watcher (FIND-019)</w:t>
            </w:r>
          </w:p>
        </w:tc>
      </w:tr>
      <w:tr>
        <w:tc>
          <w:tcPr>
            <w:tcW w:type="dxa" w:w="864"/>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5</w:t>
            </w:r>
          </w:p>
        </w:tc>
        <w:tc>
          <w:tcPr>
            <w:tcW w:type="dxa" w:w="3456"/>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10.0.1.125</w:t>
            </w:r>
          </w:p>
        </w:tc>
        <w:tc>
          <w:tcPr>
            <w:tcW w:type="dxa" w:w="1152"/>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DMZ</w:t>
            </w:r>
          </w:p>
        </w:tc>
        <w:tc>
          <w:tcPr>
            <w:tcW w:type="dxa" w:w="5328"/>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Auto-blocked &lt;60s</w:t>
            </w:r>
          </w:p>
        </w:tc>
      </w:tr>
      <w:tr>
        <w:tc>
          <w:tcPr>
            <w:tcW w:type="dxa" w:w="864"/>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6</w:t>
            </w:r>
          </w:p>
        </w:tc>
        <w:tc>
          <w:tcPr>
            <w:tcW w:type="dxa" w:w="3456"/>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10.0.1.76 + ARP-spoof on .100</w:t>
            </w:r>
          </w:p>
        </w:tc>
        <w:tc>
          <w:tcPr>
            <w:tcW w:type="dxa" w:w="1152"/>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DMZ</w:t>
            </w:r>
          </w:p>
        </w:tc>
        <w:tc>
          <w:tcPr>
            <w:tcW w:type="dxa" w:w="5328"/>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Auto-blocked; ARP did not persist</w:t>
            </w:r>
          </w:p>
        </w:tc>
      </w:tr>
      <w:tr>
        <w:tc>
          <w:tcPr>
            <w:tcW w:type="dxa" w:w="864"/>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6</w:t>
            </w:r>
          </w:p>
        </w:tc>
        <w:tc>
          <w:tcPr>
            <w:tcW w:type="dxa" w:w="3456"/>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192.168.1.67</w:t>
            </w:r>
          </w:p>
        </w:tc>
        <w:tc>
          <w:tcPr>
            <w:tcW w:type="dxa" w:w="1152"/>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LAN</w:t>
            </w:r>
          </w:p>
        </w:tc>
        <w:tc>
          <w:tcPr>
            <w:tcW w:type="dxa" w:w="5328"/>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Suricata + autoblock</w:t>
            </w:r>
          </w:p>
        </w:tc>
      </w:tr>
      <w:tr>
        <w:tc>
          <w:tcPr>
            <w:tcW w:type="dxa" w:w="864"/>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7</w:t>
            </w:r>
          </w:p>
        </w:tc>
        <w:tc>
          <w:tcPr>
            <w:tcW w:type="dxa" w:w="3456"/>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192.168.1.10</w:t>
            </w:r>
          </w:p>
        </w:tc>
        <w:tc>
          <w:tcPr>
            <w:tcW w:type="dxa" w:w="1152"/>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LAN</w:t>
            </w:r>
          </w:p>
        </w:tc>
        <w:tc>
          <w:tcPr>
            <w:tcW w:type="dxa" w:w="5328"/>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Full /24 scan (2,464 events) — autoblock cycle 1</w:t>
            </w:r>
          </w:p>
        </w:tc>
      </w:tr>
      <w:tr>
        <w:tc>
          <w:tcPr>
            <w:tcW w:type="dxa" w:w="864"/>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7</w:t>
            </w:r>
          </w:p>
        </w:tc>
        <w:tc>
          <w:tcPr>
            <w:tcW w:type="dxa" w:w="3456"/>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192.168.1.101</w:t>
            </w:r>
          </w:p>
        </w:tc>
        <w:tc>
          <w:tcPr>
            <w:tcW w:type="dxa" w:w="1152"/>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LAN</w:t>
            </w:r>
          </w:p>
        </w:tc>
        <w:tc>
          <w:tcPr>
            <w:tcW w:type="dxa" w:w="5328"/>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16,495 hits — 16,265 UA-blocked at app layer</w:t>
            </w:r>
          </w:p>
        </w:tc>
      </w:tr>
    </w:tbl>
    <w:p>
      <w:pPr>
        <w:spacing w:before="240" w:after="80"/>
      </w:pPr>
      <w:r>
        <w:rPr>
          <w:rFonts w:ascii="Calibri" w:hAnsi="Calibri"/>
          <w:b/>
          <w:i w:val="0"/>
          <w:color w:val="1F4E79"/>
          <w:sz w:val="28"/>
        </w:rPr>
        <w:t>11.4 Defensive Layers (Owner)</w:t>
      </w:r>
    </w:p>
    <w:tbl>
      <w:tblPr>
        <w:tblW w:type="auto" w:w="0"/>
        <w:jc w:val="center"/>
        <w:tblLayout w:type="fixed"/>
        <w:tblLook w:firstColumn="1" w:firstRow="1" w:lastColumn="0" w:lastRow="0" w:noHBand="0" w:noVBand="1" w:val="04A0"/>
      </w:tblPr>
      <w:tblGrid>
        <w:gridCol w:w="4873"/>
        <w:gridCol w:w="4873"/>
      </w:tblGrid>
      <w:tr>
        <w:tc>
          <w:tcPr>
            <w:tcW w:type="dxa" w:w="5040"/>
            <w:shd w:val="clear" w:color="auto" w:fill="1F4E79"/>
            <w:tcBorders>
              <w:top w:val="single" w:sz="4" w:color="1F4E79"/>
              <w:left w:val="single" w:sz="4" w:color="1F4E79"/>
              <w:bottom w:val="single" w:sz="4" w:color="1F4E79"/>
              <w:right w:val="single" w:sz="4" w:color="1F4E79"/>
            </w:tcBorders>
            <w:vAlign w:val="center"/>
          </w:tcPr>
          <w:p>
            <w:pPr>
              <w:spacing w:after="0"/>
            </w:pPr>
            <w:r/>
            <w:r>
              <w:rPr>
                <w:rFonts w:ascii="Calibri" w:hAnsi="Calibri"/>
                <w:b/>
                <w:i w:val="0"/>
                <w:color w:val="FFFFFF"/>
                <w:sz w:val="22"/>
              </w:rPr>
              <w:t>Layer</w:t>
            </w:r>
          </w:p>
        </w:tc>
        <w:tc>
          <w:tcPr>
            <w:tcW w:type="dxa" w:w="4320"/>
            <w:shd w:val="clear" w:color="auto" w:fill="1F4E79"/>
            <w:tcBorders>
              <w:top w:val="single" w:sz="4" w:color="1F4E79"/>
              <w:left w:val="single" w:sz="4" w:color="1F4E79"/>
              <w:bottom w:val="single" w:sz="4" w:color="1F4E79"/>
              <w:right w:val="single" w:sz="4" w:color="1F4E79"/>
            </w:tcBorders>
            <w:vAlign w:val="center"/>
          </w:tcPr>
          <w:p>
            <w:pPr>
              <w:spacing w:after="0"/>
            </w:pPr>
            <w:r/>
            <w:r>
              <w:rPr>
                <w:rFonts w:ascii="Calibri" w:hAnsi="Calibri"/>
                <w:b/>
                <w:i w:val="0"/>
                <w:color w:val="FFFFFF"/>
                <w:sz w:val="22"/>
              </w:rPr>
              <w:t>Owner</w:t>
            </w:r>
          </w:p>
        </w:tc>
      </w:tr>
      <w:tr>
        <w:tc>
          <w:tcPr>
            <w:tcW w:type="dxa" w:w="504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OPNsense pf default-deny</w:t>
            </w:r>
          </w:p>
        </w:tc>
        <w:tc>
          <w:tcPr>
            <w:tcW w:type="dxa" w:w="432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Jason</w:t>
            </w:r>
          </w:p>
        </w:tc>
      </w:tr>
      <w:tr>
        <w:tc>
          <w:tcPr>
            <w:tcW w:type="dxa" w:w="504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Suricata IDS/IPS (34,353 sigs)</w:t>
            </w:r>
          </w:p>
        </w:tc>
        <w:tc>
          <w:tcPr>
            <w:tcW w:type="dxa" w:w="432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Jason</w:t>
            </w:r>
          </w:p>
        </w:tc>
      </w:tr>
      <w:tr>
        <w:tc>
          <w:tcPr>
            <w:tcW w:type="dxa" w:w="504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Autoblock v4 (filter-log + Suricata feed)</w:t>
            </w:r>
          </w:p>
        </w:tc>
        <w:tc>
          <w:tcPr>
            <w:tcW w:type="dxa" w:w="432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James + Jason</w:t>
            </w:r>
          </w:p>
        </w:tc>
      </w:tr>
      <w:tr>
        <w:tc>
          <w:tcPr>
            <w:tcW w:type="dxa" w:w="504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dmz_ip_watcher.sh (60s cron, IP-based)</w:t>
            </w:r>
          </w:p>
        </w:tc>
        <w:tc>
          <w:tcPr>
            <w:tcW w:type="dxa" w:w="432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James</w:t>
            </w:r>
          </w:p>
        </w:tc>
      </w:tr>
      <w:tr>
        <w:tc>
          <w:tcPr>
            <w:tcW w:type="dxa" w:w="504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Apache UA filter</w:t>
            </w:r>
          </w:p>
        </w:tc>
        <w:tc>
          <w:tcPr>
            <w:tcW w:type="dxa" w:w="432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James</w:t>
            </w:r>
          </w:p>
        </w:tc>
      </w:tr>
      <w:tr>
        <w:tc>
          <w:tcPr>
            <w:tcW w:type="dxa" w:w="504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Honeypot layer</w:t>
            </w:r>
          </w:p>
        </w:tc>
        <w:tc>
          <w:tcPr>
            <w:tcW w:type="dxa" w:w="432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James (with cred-pattern review by Allegra)</w:t>
            </w:r>
          </w:p>
        </w:tc>
      </w:tr>
      <w:tr>
        <w:tc>
          <w:tcPr>
            <w:tcW w:type="dxa" w:w="504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IR Watcher Telegram channel</w:t>
            </w:r>
          </w:p>
        </w:tc>
        <w:tc>
          <w:tcPr>
            <w:tcW w:type="dxa" w:w="432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James (OpenClaw CLI)</w:t>
            </w:r>
          </w:p>
        </w:tc>
      </w:tr>
      <w:tr>
        <w:tc>
          <w:tcPr>
            <w:tcW w:type="dxa" w:w="504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Tier 2 firewalld (DB + CD2)</w:t>
            </w:r>
          </w:p>
        </w:tc>
        <w:tc>
          <w:tcPr>
            <w:tcW w:type="dxa" w:w="432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Oscar</w:t>
            </w:r>
          </w:p>
        </w:tc>
      </w:tr>
      <w:tr>
        <w:tc>
          <w:tcPr>
            <w:tcW w:type="dxa" w:w="504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Tier 3 VyOS SSH-ACL</w:t>
            </w:r>
          </w:p>
        </w:tc>
        <w:tc>
          <w:tcPr>
            <w:tcW w:type="dxa" w:w="432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Jason</w:t>
            </w:r>
          </w:p>
        </w:tc>
      </w:tr>
      <w:tr>
        <w:tc>
          <w:tcPr>
            <w:tcW w:type="dxa" w:w="504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AD lockout + password policy + audit</w:t>
            </w:r>
          </w:p>
        </w:tc>
        <w:tc>
          <w:tcPr>
            <w:tcW w:type="dxa" w:w="432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Allegra</w:t>
            </w:r>
          </w:p>
        </w:tc>
      </w:tr>
    </w:tbl>
    <w:p>
      <w:pPr>
        <w:spacing w:before="240" w:after="80"/>
      </w:pPr>
      <w:r>
        <w:rPr>
          <w:rFonts w:ascii="Calibri" w:hAnsi="Calibri"/>
          <w:b/>
          <w:i w:val="0"/>
          <w:color w:val="1F4E79"/>
          <w:sz w:val="28"/>
        </w:rPr>
        <w:t>11.5 Honeypot Performance — Confirmed Deception</w:t>
      </w:r>
    </w:p>
    <w:p>
      <w:pPr>
        <w:spacing w:after="120"/>
      </w:pPr>
      <w:r>
        <w:rPr>
          <w:rFonts w:ascii="Calibri" w:hAnsi="Calibri"/>
          <w:b w:val="0"/>
          <w:i w:val="0"/>
          <w:color w:val="333333"/>
          <w:sz w:val="22"/>
        </w:rPr>
        <w:t>Day 4 honeypot deployment (James lead, with cred-pattern review by Allegra and DB schema-pattern review by Oscar) produced a documented attacker self-confession on Day 5: Team 8's Qwen LLM extracted the fake DB credentials from /.env and posted ENV_EXTRACTION_COMPLETE telemetry to its own Discord channel claiming success. Both extracted credentials were fake. Across all 7 days, zero successful authentications occurred against any real auth surface and zero credential submissions occurred against the honeypot login form.</w:t>
      </w:r>
    </w:p>
    <w:p>
      <w:pPr>
        <w:spacing w:before="120" w:after="120"/>
        <w:ind w:left="567"/>
      </w:pPr>
      <w:r>
        <w:rPr>
          <w:rFonts w:ascii="Calibri" w:hAnsi="Calibri"/>
          <w:b w:val="0"/>
          <w:i/>
          <w:color w:val="2E75B6"/>
          <w:sz w:val="22"/>
        </w:rPr>
        <w:t>ENV_EXTRACTION_COMPLETE ... User: rentadog_svc, Pass: Sp4nk3rChoc0l4teStrut2026!. Also found mail creds. DB server port closed - access blocked. Honeytokens identified (ADMIN_TOKEN/BACKUP_TOKEN - avoid).  — Team 8 Qwen LLM, Day 5</w:t>
      </w:r>
    </w:p>
    <w:p>
      <w:pPr>
        <w:spacing w:before="240" w:after="80"/>
      </w:pPr>
      <w:r>
        <w:rPr>
          <w:rFonts w:ascii="Calibri" w:hAnsi="Calibri"/>
          <w:b/>
          <w:i w:val="0"/>
          <w:color w:val="1F4E79"/>
          <w:sz w:val="28"/>
        </w:rPr>
        <w:t>11.6 Customer Service Continuity</w:t>
      </w:r>
    </w:p>
    <w:p>
      <w:pPr>
        <w:spacing w:after="120"/>
      </w:pPr>
      <w:r>
        <w:rPr>
          <w:rFonts w:ascii="Calibri" w:hAnsi="Calibri"/>
          <w:b w:val="0"/>
          <w:i w:val="0"/>
          <w:color w:val="333333"/>
          <w:sz w:val="22"/>
        </w:rPr>
        <w:t>TKT-00008 (Day 6, James lead) — customer reported PayPal checkout failure traced to Day 4 CSP hardening blocking the PayPal SDK. Resolution: CSP allowlist expanded to *.paypal.com. Customer back to good state same day.</w:t>
      </w:r>
    </w:p>
    <w:p>
      <w:pPr>
        <w:spacing w:before="240" w:after="80"/>
      </w:pPr>
      <w:r>
        <w:rPr>
          <w:rFonts w:ascii="Calibri" w:hAnsi="Calibri"/>
          <w:b/>
          <w:i w:val="0"/>
          <w:color w:val="1F4E79"/>
          <w:sz w:val="28"/>
        </w:rPr>
        <w:t>11.7 Open Findings Carried Forward</w:t>
      </w:r>
    </w:p>
    <w:p>
      <w:pPr>
        <w:spacing w:after="120"/>
      </w:pPr>
      <w:r>
        <w:rPr>
          <w:rFonts w:ascii="Calibri" w:hAnsi="Calibri"/>
          <w:b w:val="0"/>
          <w:i w:val="0"/>
          <w:color w:val="333333"/>
          <w:sz w:val="22"/>
        </w:rPr>
        <w:t>FIND-017 — WebServer Windows Firewall OFF (Jason). Compensating controls held throughout the engagement (OPNsense pf autoblock + VyOS SSH-ACL + DMZ→LAN catchall + Apache app-layer hardening). Full remediation deferred to next-semester remediation work pending service inventory.</w:t>
      </w:r>
    </w:p>
    <w:p>
      <w:pPr>
        <w:spacing w:before="240" w:after="80"/>
      </w:pPr>
      <w:r>
        <w:rPr>
          <w:rFonts w:ascii="Calibri" w:hAnsi="Calibri"/>
          <w:b/>
          <w:i w:val="0"/>
          <w:color w:val="1F4E79"/>
          <w:sz w:val="28"/>
        </w:rPr>
        <w:t>11.8 Remediation Plan</w:t>
      </w:r>
    </w:p>
    <w:p>
      <w:pPr>
        <w:spacing w:after="120"/>
      </w:pPr>
      <w:r>
        <w:rPr>
          <w:rFonts w:ascii="Calibri" w:hAnsi="Calibri"/>
          <w:b w:val="0"/>
          <w:i w:val="0"/>
          <w:color w:val="333333"/>
          <w:sz w:val="22"/>
        </w:rPr>
        <w:t>Post-engagement remediation tasks identified by FIND-021 follow-ups:</w:t>
      </w:r>
    </w:p>
    <w:p>
      <w:pPr>
        <w:pStyle w:val="ListBullet"/>
        <w:spacing w:after="40"/>
        <w:ind w:left="340"/>
      </w:pPr>
      <w:r>
        <w:rPr>
          <w:rFonts w:ascii="Calibri" w:hAnsi="Calibri"/>
          <w:b w:val="0"/>
          <w:i w:val="0"/>
          <w:color w:val="333333"/>
          <w:sz w:val="22"/>
        </w:rPr>
        <w:t>dmz_ip_watcher.sh Telegram body fix — truncate to first 10 entries (James)</w:t>
      </w:r>
    </w:p>
    <w:p>
      <w:pPr>
        <w:pStyle w:val="ListBullet"/>
        <w:spacing w:after="40"/>
        <w:ind w:left="340"/>
      </w:pPr>
      <w:r>
        <w:rPr>
          <w:rFonts w:ascii="Calibri" w:hAnsi="Calibri"/>
          <w:b w:val="0"/>
          <w:i w:val="0"/>
          <w:color w:val="333333"/>
          <w:sz w:val="22"/>
        </w:rPr>
        <w:t>dmz_ip_watcher.sh thundering-herd guard (James + Jason)</w:t>
      </w:r>
    </w:p>
    <w:p>
      <w:pPr>
        <w:pStyle w:val="ListBullet"/>
        <w:spacing w:after="40"/>
        <w:ind w:left="340"/>
      </w:pPr>
      <w:r>
        <w:rPr>
          <w:rFonts w:ascii="Calibri" w:hAnsi="Calibri"/>
          <w:b w:val="0"/>
          <w:i w:val="0"/>
          <w:color w:val="333333"/>
          <w:sz w:val="22"/>
        </w:rPr>
        <w:t>Apache log → autoblock feeder — close UA-only-block detection blind spot (James)</w:t>
      </w:r>
    </w:p>
    <w:p>
      <w:pPr>
        <w:pStyle w:val="ListBullet"/>
        <w:spacing w:after="40"/>
        <w:ind w:left="340"/>
      </w:pPr>
      <w:r>
        <w:rPr>
          <w:rFonts w:ascii="Calibri" w:hAnsi="Calibri"/>
          <w:b w:val="0"/>
          <w:i w:val="0"/>
          <w:color w:val="333333"/>
          <w:sz w:val="22"/>
        </w:rPr>
        <w:t>Production-reachability heartbeat in Python automation suite (Oscar)</w:t>
      </w:r>
    </w:p>
    <w:p>
      <w:pPr>
        <w:pStyle w:val="ListBullet"/>
        <w:spacing w:after="40"/>
        <w:ind w:left="340"/>
      </w:pPr>
      <w:r>
        <w:rPr>
          <w:rFonts w:ascii="Calibri" w:hAnsi="Calibri"/>
          <w:b w:val="0"/>
          <w:i w:val="0"/>
          <w:color w:val="333333"/>
          <w:sz w:val="22"/>
        </w:rPr>
        <w:t>WebServer Windows Firewall enablement with proper allow rules (Jason — FIND-017)</w:t>
      </w:r>
    </w:p>
    <w:p>
      <w:pPr>
        <w:spacing w:before="240" w:after="80"/>
      </w:pPr>
      <w:r>
        <w:rPr>
          <w:rFonts w:ascii="Calibri" w:hAnsi="Calibri"/>
          <w:b/>
          <w:i w:val="0"/>
          <w:color w:val="1F4E79"/>
          <w:sz w:val="28"/>
        </w:rPr>
        <w:t>11.9 Conclusion</w:t>
      </w:r>
    </w:p>
    <w:p>
      <w:pPr>
        <w:spacing w:after="120"/>
      </w:pPr>
      <w:r>
        <w:rPr>
          <w:rFonts w:ascii="Calibri" w:hAnsi="Calibri"/>
          <w:b w:val="0"/>
          <w:i w:val="0"/>
          <w:color w:val="333333"/>
          <w:sz w:val="22"/>
        </w:rPr>
        <w:t>The Rent a Dog enterprise network successfully defended against a 7-day red-team penetration test executed by an LLM-augmented attacker. All 21 logged findings were closed except one deferred host-firewall enablement. Defense-in-depth (each team member's domain catching attacks the others missed), playbook-driven preparation, and architectural alignment with the platform were the three principal contributors to the zero-compromise outcome.</w:t>
      </w:r>
    </w:p>
    <w:p>
      <w:pPr>
        <w:spacing w:after="120"/>
      </w:pPr>
      <w:r>
        <w:rPr>
          <w:rFonts w:ascii="Calibri" w:hAnsi="Calibri"/>
          <w:b w:val="0"/>
          <w:i w:val="0"/>
          <w:color w:val="333333"/>
          <w:sz w:val="22"/>
        </w:rPr>
        <w:t>Full evidentiary record: Pentest_Week/REPORT_TRACKER.md (engagement tracker), Pentest_Week/findings/001…021.md (21 finding writeups), Deliverables/Pentest_Week_Final_Report.docx (consolidated narrative).</w:t>
      </w:r>
    </w:p>
    <w:p>
      <w:r>
        <w:br w:type="page"/>
      </w:r>
    </w:p>
    <w:p>
      <w:pPr>
        <w:spacing w:before="360" w:after="120"/>
        <w:pBdr>
          <w:bottom w:val="single" w:sz="6" w:color="2E75B6"/>
        </w:pBdr>
      </w:pPr>
      <w:r>
        <w:rPr>
          <w:rFonts w:ascii="Calibri" w:hAnsi="Calibri"/>
          <w:b/>
          <w:i w:val="0"/>
          <w:color w:val="1F4E79"/>
          <w:sz w:val="36"/>
        </w:rPr>
        <w:t>12. Known Issues and Residual Risks</w:t>
      </w:r>
    </w:p>
    <w:tbl>
      <w:tblPr>
        <w:tblW w:type="auto" w:w="0"/>
        <w:jc w:val="center"/>
        <w:tblLayout w:type="fixed"/>
        <w:tblLook w:firstColumn="1" w:firstRow="1" w:lastColumn="0" w:lastRow="0" w:noHBand="0" w:noVBand="1" w:val="04A0"/>
      </w:tblPr>
      <w:tblGrid>
        <w:gridCol w:w="2436"/>
        <w:gridCol w:w="2436"/>
        <w:gridCol w:w="2436"/>
        <w:gridCol w:w="2436"/>
      </w:tblGrid>
      <w:tr>
        <w:tc>
          <w:tcPr>
            <w:tcW w:type="dxa" w:w="3744"/>
            <w:shd w:val="clear" w:color="auto" w:fill="1F4E79"/>
            <w:tcBorders>
              <w:top w:val="single" w:sz="4" w:color="1F4E79"/>
              <w:left w:val="single" w:sz="4" w:color="1F4E79"/>
              <w:bottom w:val="single" w:sz="4" w:color="1F4E79"/>
              <w:right w:val="single" w:sz="4" w:color="1F4E79"/>
            </w:tcBorders>
            <w:vAlign w:val="center"/>
          </w:tcPr>
          <w:p>
            <w:pPr>
              <w:spacing w:after="0"/>
            </w:pPr>
            <w:r/>
            <w:r>
              <w:rPr>
                <w:rFonts w:ascii="Calibri" w:hAnsi="Calibri"/>
                <w:b/>
                <w:i w:val="0"/>
                <w:color w:val="FFFFFF"/>
                <w:sz w:val="22"/>
              </w:rPr>
              <w:t>Issue</w:t>
            </w:r>
          </w:p>
        </w:tc>
        <w:tc>
          <w:tcPr>
            <w:tcW w:type="dxa" w:w="1296"/>
            <w:shd w:val="clear" w:color="auto" w:fill="1F4E79"/>
            <w:tcBorders>
              <w:top w:val="single" w:sz="4" w:color="1F4E79"/>
              <w:left w:val="single" w:sz="4" w:color="1F4E79"/>
              <w:bottom w:val="single" w:sz="4" w:color="1F4E79"/>
              <w:right w:val="single" w:sz="4" w:color="1F4E79"/>
            </w:tcBorders>
            <w:vAlign w:val="center"/>
          </w:tcPr>
          <w:p>
            <w:pPr>
              <w:spacing w:after="0"/>
            </w:pPr>
            <w:r/>
            <w:r>
              <w:rPr>
                <w:rFonts w:ascii="Calibri" w:hAnsi="Calibri"/>
                <w:b/>
                <w:i w:val="0"/>
                <w:color w:val="FFFFFF"/>
                <w:sz w:val="22"/>
              </w:rPr>
              <w:t>Severity</w:t>
            </w:r>
          </w:p>
        </w:tc>
        <w:tc>
          <w:tcPr>
            <w:tcW w:type="dxa" w:w="2016"/>
            <w:shd w:val="clear" w:color="auto" w:fill="1F4E79"/>
            <w:tcBorders>
              <w:top w:val="single" w:sz="4" w:color="1F4E79"/>
              <w:left w:val="single" w:sz="4" w:color="1F4E79"/>
              <w:bottom w:val="single" w:sz="4" w:color="1F4E79"/>
              <w:right w:val="single" w:sz="4" w:color="1F4E79"/>
            </w:tcBorders>
            <w:vAlign w:val="center"/>
          </w:tcPr>
          <w:p>
            <w:pPr>
              <w:spacing w:after="0"/>
            </w:pPr>
            <w:r/>
            <w:r>
              <w:rPr>
                <w:rFonts w:ascii="Calibri" w:hAnsi="Calibri"/>
                <w:b/>
                <w:i w:val="0"/>
                <w:color w:val="FFFFFF"/>
                <w:sz w:val="22"/>
              </w:rPr>
              <w:t>Status</w:t>
            </w:r>
          </w:p>
        </w:tc>
        <w:tc>
          <w:tcPr>
            <w:tcW w:type="dxa" w:w="3600"/>
            <w:shd w:val="clear" w:color="auto" w:fill="1F4E79"/>
            <w:tcBorders>
              <w:top w:val="single" w:sz="4" w:color="1F4E79"/>
              <w:left w:val="single" w:sz="4" w:color="1F4E79"/>
              <w:bottom w:val="single" w:sz="4" w:color="1F4E79"/>
              <w:right w:val="single" w:sz="4" w:color="1F4E79"/>
            </w:tcBorders>
            <w:vAlign w:val="center"/>
          </w:tcPr>
          <w:p>
            <w:pPr>
              <w:spacing w:after="0"/>
            </w:pPr>
            <w:r/>
            <w:r>
              <w:rPr>
                <w:rFonts w:ascii="Calibri" w:hAnsi="Calibri"/>
                <w:b/>
                <w:i w:val="0"/>
                <w:color w:val="FFFFFF"/>
                <w:sz w:val="22"/>
              </w:rPr>
              <w:t>Mitigation</w:t>
            </w:r>
          </w:p>
        </w:tc>
      </w:tr>
      <w:tr>
        <w:tc>
          <w:tcPr>
            <w:tcW w:type="dxa" w:w="3744"/>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Duplicate SID on WEBSERVER (offline djoin)</w:t>
            </w:r>
          </w:p>
        </w:tc>
        <w:tc>
          <w:tcPr>
            <w:tcW w:type="dxa" w:w="1296"/>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Low</w:t>
            </w:r>
          </w:p>
        </w:tc>
        <w:tc>
          <w:tcPr>
            <w:tcW w:type="dxa" w:w="2016"/>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Known / Accepted</w:t>
            </w:r>
          </w:p>
        </w:tc>
        <w:tc>
          <w:tcPr>
            <w:tcW w:type="dxa" w:w="360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No functional impact. Noted.</w:t>
            </w:r>
          </w:p>
        </w:tc>
      </w:tr>
      <w:tr>
        <w:tc>
          <w:tcPr>
            <w:tcW w:type="dxa" w:w="3744"/>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ClientDesktop2 IP discrepancy</w:t>
            </w:r>
          </w:p>
        </w:tc>
        <w:tc>
          <w:tcPr>
            <w:tcW w:type="dxa" w:w="1296"/>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Low</w:t>
            </w:r>
          </w:p>
        </w:tc>
        <w:tc>
          <w:tcPr>
            <w:tcW w:type="dxa" w:w="2016"/>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Resolved</w:t>
            </w:r>
          </w:p>
        </w:tc>
        <w:tc>
          <w:tcPr>
            <w:tcW w:type="dxa" w:w="360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Live IP is 192.168.1.51. All docs corrected.</w:t>
            </w:r>
          </w:p>
        </w:tc>
      </w:tr>
      <w:tr>
        <w:tc>
          <w:tcPr>
            <w:tcW w:type="dxa" w:w="3744"/>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PayPal Sandbox in test mode</w:t>
            </w:r>
          </w:p>
        </w:tc>
        <w:tc>
          <w:tcPr>
            <w:tcW w:type="dxa" w:w="1296"/>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Informational</w:t>
            </w:r>
          </w:p>
        </w:tc>
        <w:tc>
          <w:tcPr>
            <w:tcW w:type="dxa" w:w="2016"/>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By Design</w:t>
            </w:r>
          </w:p>
        </w:tc>
        <w:tc>
          <w:tcPr>
            <w:tcW w:type="dxa" w:w="360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All transactions sandbox-only.</w:t>
            </w:r>
          </w:p>
        </w:tc>
      </w:tr>
      <w:tr>
        <w:tc>
          <w:tcPr>
            <w:tcW w:type="dxa" w:w="3744"/>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SSH zombie on ClientDesktop1</w:t>
            </w:r>
          </w:p>
        </w:tc>
        <w:tc>
          <w:tcPr>
            <w:tcW w:type="dxa" w:w="1296"/>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Low</w:t>
            </w:r>
          </w:p>
        </w:tc>
        <w:tc>
          <w:tcPr>
            <w:tcW w:type="dxa" w:w="2016"/>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Resolved</w:t>
            </w:r>
          </w:p>
        </w:tc>
        <w:tc>
          <w:tcPr>
            <w:tcW w:type="dxa" w:w="360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OpenSSH reinstalled S16.</w:t>
            </w:r>
          </w:p>
        </w:tc>
      </w:tr>
      <w:tr>
        <w:tc>
          <w:tcPr>
            <w:tcW w:type="dxa" w:w="3744"/>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WebServer Windows Firewall OFF (FIND-017)</w:t>
            </w:r>
          </w:p>
        </w:tc>
        <w:tc>
          <w:tcPr>
            <w:tcW w:type="dxa" w:w="1296"/>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Medium</w:t>
            </w:r>
          </w:p>
        </w:tc>
        <w:tc>
          <w:tcPr>
            <w:tcW w:type="dxa" w:w="2016"/>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DEFERRED</w:t>
            </w:r>
          </w:p>
        </w:tc>
        <w:tc>
          <w:tcPr>
            <w:tcW w:type="dxa" w:w="360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Compensating controls held; deferred to next-semester work.</w:t>
            </w:r>
          </w:p>
        </w:tc>
      </w:tr>
      <w:tr>
        <w:tc>
          <w:tcPr>
            <w:tcW w:type="dxa" w:w="3744"/>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Telegram alert length-limit silent fail (FIND-021)</w:t>
            </w:r>
          </w:p>
        </w:tc>
        <w:tc>
          <w:tcPr>
            <w:tcW w:type="dxa" w:w="1296"/>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Low</w:t>
            </w:r>
          </w:p>
        </w:tc>
        <w:tc>
          <w:tcPr>
            <w:tcW w:type="dxa" w:w="2016"/>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REMEDIATION PLANNED</w:t>
            </w:r>
          </w:p>
        </w:tc>
        <w:tc>
          <w:tcPr>
            <w:tcW w:type="dxa" w:w="360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Truncate IP list with (+N more) suffix.</w:t>
            </w:r>
          </w:p>
        </w:tc>
      </w:tr>
      <w:tr>
        <w:tc>
          <w:tcPr>
            <w:tcW w:type="dxa" w:w="3744"/>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UA-only-block detection blind spot (FIND-021)</w:t>
            </w:r>
          </w:p>
        </w:tc>
        <w:tc>
          <w:tcPr>
            <w:tcW w:type="dxa" w:w="1296"/>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Low</w:t>
            </w:r>
          </w:p>
        </w:tc>
        <w:tc>
          <w:tcPr>
            <w:tcW w:type="dxa" w:w="2016"/>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REMEDIATION PLANNED</w:t>
            </w:r>
          </w:p>
        </w:tc>
        <w:tc>
          <w:tcPr>
            <w:tcW w:type="dxa" w:w="360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Add Apache log → autoblock feeder.</w:t>
            </w:r>
          </w:p>
        </w:tc>
      </w:tr>
    </w:tbl>
    <w:p>
      <w:r>
        <w:br w:type="page"/>
      </w:r>
    </w:p>
    <w:p>
      <w:pPr>
        <w:spacing w:before="360" w:after="120"/>
        <w:pBdr>
          <w:bottom w:val="single" w:sz="6" w:color="2E75B6"/>
        </w:pBdr>
      </w:pPr>
      <w:r>
        <w:rPr>
          <w:rFonts w:ascii="Calibri" w:hAnsi="Calibri"/>
          <w:b/>
          <w:i w:val="0"/>
          <w:color w:val="1F4E79"/>
          <w:sz w:val="36"/>
        </w:rPr>
        <w:t>13. Security Control Summary</w:t>
      </w:r>
    </w:p>
    <w:tbl>
      <w:tblPr>
        <w:tblW w:type="auto" w:w="0"/>
        <w:jc w:val="center"/>
        <w:tblLayout w:type="fixed"/>
        <w:tblLook w:firstColumn="1" w:firstRow="1" w:lastColumn="0" w:lastRow="0" w:noHBand="0" w:noVBand="1" w:val="04A0"/>
      </w:tblPr>
      <w:tblGrid>
        <w:gridCol w:w="3249"/>
        <w:gridCol w:w="3249"/>
        <w:gridCol w:w="3249"/>
      </w:tblGrid>
      <w:tr>
        <w:tc>
          <w:tcPr>
            <w:tcW w:type="dxa" w:w="3600"/>
            <w:shd w:val="clear" w:color="auto" w:fill="1F4E79"/>
            <w:tcBorders>
              <w:top w:val="single" w:sz="4" w:color="1F4E79"/>
              <w:left w:val="single" w:sz="4" w:color="1F4E79"/>
              <w:bottom w:val="single" w:sz="4" w:color="1F4E79"/>
              <w:right w:val="single" w:sz="4" w:color="1F4E79"/>
            </w:tcBorders>
            <w:vAlign w:val="center"/>
          </w:tcPr>
          <w:p>
            <w:pPr>
              <w:spacing w:after="0"/>
            </w:pPr>
            <w:r/>
            <w:r>
              <w:rPr>
                <w:rFonts w:ascii="Calibri" w:hAnsi="Calibri"/>
                <w:b/>
                <w:i w:val="0"/>
                <w:color w:val="FFFFFF"/>
                <w:sz w:val="22"/>
              </w:rPr>
              <w:t>Control Category</w:t>
            </w:r>
          </w:p>
        </w:tc>
        <w:tc>
          <w:tcPr>
            <w:tcW w:type="dxa" w:w="5760"/>
            <w:shd w:val="clear" w:color="auto" w:fill="1F4E79"/>
            <w:tcBorders>
              <w:top w:val="single" w:sz="4" w:color="1F4E79"/>
              <w:left w:val="single" w:sz="4" w:color="1F4E79"/>
              <w:bottom w:val="single" w:sz="4" w:color="1F4E79"/>
              <w:right w:val="single" w:sz="4" w:color="1F4E79"/>
            </w:tcBorders>
            <w:vAlign w:val="center"/>
          </w:tcPr>
          <w:p>
            <w:pPr>
              <w:spacing w:after="0"/>
            </w:pPr>
            <w:r/>
            <w:r>
              <w:rPr>
                <w:rFonts w:ascii="Calibri" w:hAnsi="Calibri"/>
                <w:b/>
                <w:i w:val="0"/>
                <w:color w:val="FFFFFF"/>
                <w:sz w:val="22"/>
              </w:rPr>
              <w:t>Control</w:t>
            </w:r>
          </w:p>
        </w:tc>
        <w:tc>
          <w:tcPr>
            <w:tcW w:type="dxa" w:w="2160"/>
            <w:shd w:val="clear" w:color="auto" w:fill="1F4E79"/>
            <w:tcBorders>
              <w:top w:val="single" w:sz="4" w:color="1F4E79"/>
              <w:left w:val="single" w:sz="4" w:color="1F4E79"/>
              <w:bottom w:val="single" w:sz="4" w:color="1F4E79"/>
              <w:right w:val="single" w:sz="4" w:color="1F4E79"/>
            </w:tcBorders>
            <w:vAlign w:val="center"/>
          </w:tcPr>
          <w:p>
            <w:pPr>
              <w:spacing w:after="0"/>
            </w:pPr>
            <w:r/>
            <w:r>
              <w:rPr>
                <w:rFonts w:ascii="Calibri" w:hAnsi="Calibri"/>
                <w:b/>
                <w:i w:val="0"/>
                <w:color w:val="FFFFFF"/>
                <w:sz w:val="22"/>
              </w:rPr>
              <w:t>Status</w:t>
            </w:r>
          </w:p>
        </w:tc>
      </w:tr>
      <w:tr>
        <w:tc>
          <w:tcPr>
            <w:tcW w:type="dxa" w:w="360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Access Control</w:t>
            </w:r>
          </w:p>
        </w:tc>
        <w:tc>
          <w:tcPr>
            <w:tcW w:type="dxa" w:w="576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Active Directory with role-based OUs and Group Policy</w:t>
            </w:r>
          </w:p>
        </w:tc>
        <w:tc>
          <w:tcPr>
            <w:tcW w:type="dxa" w:w="216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Implemented</w:t>
            </w:r>
          </w:p>
        </w:tc>
      </w:tr>
      <w:tr>
        <w:tc>
          <w:tcPr>
            <w:tcW w:type="dxa" w:w="360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Access Control</w:t>
            </w:r>
          </w:p>
        </w:tc>
        <w:tc>
          <w:tcPr>
            <w:tcW w:type="dxa" w:w="576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SSH key-based authentication, root login disabled</w:t>
            </w:r>
          </w:p>
        </w:tc>
        <w:tc>
          <w:tcPr>
            <w:tcW w:type="dxa" w:w="216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Implemented</w:t>
            </w:r>
          </w:p>
        </w:tc>
      </w:tr>
      <w:tr>
        <w:tc>
          <w:tcPr>
            <w:tcW w:type="dxa" w:w="360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Access Control</w:t>
            </w:r>
          </w:p>
        </w:tc>
        <w:tc>
          <w:tcPr>
            <w:tcW w:type="dxa" w:w="576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Restricted DB user (rentadog_app) with minimal permissions</w:t>
            </w:r>
          </w:p>
        </w:tc>
        <w:tc>
          <w:tcPr>
            <w:tcW w:type="dxa" w:w="216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Implemented</w:t>
            </w:r>
          </w:p>
        </w:tc>
      </w:tr>
      <w:tr>
        <w:tc>
          <w:tcPr>
            <w:tcW w:type="dxa" w:w="360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Audit &amp; Accountability</w:t>
            </w:r>
          </w:p>
        </w:tc>
        <w:tc>
          <w:tcPr>
            <w:tcW w:type="dxa" w:w="576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Zabbix monitoring across all VMs</w:t>
            </w:r>
          </w:p>
        </w:tc>
        <w:tc>
          <w:tcPr>
            <w:tcW w:type="dxa" w:w="216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Implemented</w:t>
            </w:r>
          </w:p>
        </w:tc>
      </w:tr>
      <w:tr>
        <w:tc>
          <w:tcPr>
            <w:tcW w:type="dxa" w:w="360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Audit &amp; Accountability</w:t>
            </w:r>
          </w:p>
        </w:tc>
        <w:tc>
          <w:tcPr>
            <w:tcW w:type="dxa" w:w="576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Suricata IDS/IPS event logging to eve.json</w:t>
            </w:r>
          </w:p>
        </w:tc>
        <w:tc>
          <w:tcPr>
            <w:tcW w:type="dxa" w:w="216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Implemented</w:t>
            </w:r>
          </w:p>
        </w:tc>
      </w:tr>
      <w:tr>
        <w:tc>
          <w:tcPr>
            <w:tcW w:type="dxa" w:w="360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Audit &amp; Accountability</w:t>
            </w:r>
          </w:p>
        </w:tc>
        <w:tc>
          <w:tcPr>
            <w:tcW w:type="dxa" w:w="576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Change management log maintained</w:t>
            </w:r>
          </w:p>
        </w:tc>
        <w:tc>
          <w:tcPr>
            <w:tcW w:type="dxa" w:w="216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Implemented</w:t>
            </w:r>
          </w:p>
        </w:tc>
      </w:tr>
      <w:tr>
        <w:tc>
          <w:tcPr>
            <w:tcW w:type="dxa" w:w="360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Configuration Management</w:t>
            </w:r>
          </w:p>
        </w:tc>
        <w:tc>
          <w:tcPr>
            <w:tcW w:type="dxa" w:w="576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All default credentials replaced</w:t>
            </w:r>
          </w:p>
        </w:tc>
        <w:tc>
          <w:tcPr>
            <w:tcW w:type="dxa" w:w="216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Implemented</w:t>
            </w:r>
          </w:p>
        </w:tc>
      </w:tr>
      <w:tr>
        <w:tc>
          <w:tcPr>
            <w:tcW w:type="dxa" w:w="360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Configuration Management</w:t>
            </w:r>
          </w:p>
        </w:tc>
        <w:tc>
          <w:tcPr>
            <w:tcW w:type="dxa" w:w="576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Static IP configuration, no DHCP</w:t>
            </w:r>
          </w:p>
        </w:tc>
        <w:tc>
          <w:tcPr>
            <w:tcW w:type="dxa" w:w="216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Implemented</w:t>
            </w:r>
          </w:p>
        </w:tc>
      </w:tr>
      <w:tr>
        <w:tc>
          <w:tcPr>
            <w:tcW w:type="dxa" w:w="360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Contingency Planning</w:t>
            </w:r>
          </w:p>
        </w:tc>
        <w:tc>
          <w:tcPr>
            <w:tcW w:type="dxa" w:w="576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Daily PostgreSQL backups with 7-day retention</w:t>
            </w:r>
          </w:p>
        </w:tc>
        <w:tc>
          <w:tcPr>
            <w:tcW w:type="dxa" w:w="216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Implemented</w:t>
            </w:r>
          </w:p>
        </w:tc>
      </w:tr>
      <w:tr>
        <w:tc>
          <w:tcPr>
            <w:tcW w:type="dxa" w:w="360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Contingency Planning</w:t>
            </w:r>
          </w:p>
        </w:tc>
        <w:tc>
          <w:tcPr>
            <w:tcW w:type="dxa" w:w="576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Restore tested and verified</w:t>
            </w:r>
          </w:p>
        </w:tc>
        <w:tc>
          <w:tcPr>
            <w:tcW w:type="dxa" w:w="216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Implemented</w:t>
            </w:r>
          </w:p>
        </w:tc>
      </w:tr>
      <w:tr>
        <w:tc>
          <w:tcPr>
            <w:tcW w:type="dxa" w:w="360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Identification &amp; Authentication</w:t>
            </w:r>
          </w:p>
        </w:tc>
        <w:tc>
          <w:tcPr>
            <w:tcW w:type="dxa" w:w="576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AD domain authentication for all staff</w:t>
            </w:r>
          </w:p>
        </w:tc>
        <w:tc>
          <w:tcPr>
            <w:tcW w:type="dxa" w:w="216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Implemented</w:t>
            </w:r>
          </w:p>
        </w:tc>
      </w:tr>
      <w:tr>
        <w:tc>
          <w:tcPr>
            <w:tcW w:type="dxa" w:w="360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Identification &amp; Authentication</w:t>
            </w:r>
          </w:p>
        </w:tc>
        <w:tc>
          <w:tcPr>
            <w:tcW w:type="dxa" w:w="576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SSSD for Linux domain join</w:t>
            </w:r>
          </w:p>
        </w:tc>
        <w:tc>
          <w:tcPr>
            <w:tcW w:type="dxa" w:w="216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Implemented</w:t>
            </w:r>
          </w:p>
        </w:tc>
      </w:tr>
      <w:tr>
        <w:tc>
          <w:tcPr>
            <w:tcW w:type="dxa" w:w="360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Incident Response</w:t>
            </w:r>
          </w:p>
        </w:tc>
        <w:tc>
          <w:tcPr>
            <w:tcW w:type="dxa" w:w="576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Autoblock v4 IR pipeline + Telegram</w:t>
            </w:r>
          </w:p>
        </w:tc>
        <w:tc>
          <w:tcPr>
            <w:tcW w:type="dxa" w:w="216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Implemented</w:t>
            </w:r>
          </w:p>
        </w:tc>
      </w:tr>
      <w:tr>
        <w:tc>
          <w:tcPr>
            <w:tcW w:type="dxa" w:w="360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Incident Response</w:t>
            </w:r>
          </w:p>
        </w:tc>
        <w:tc>
          <w:tcPr>
            <w:tcW w:type="dxa" w:w="576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Python login monitor with alerting</w:t>
            </w:r>
          </w:p>
        </w:tc>
        <w:tc>
          <w:tcPr>
            <w:tcW w:type="dxa" w:w="216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Implemented</w:t>
            </w:r>
          </w:p>
        </w:tc>
      </w:tr>
      <w:tr>
        <w:tc>
          <w:tcPr>
            <w:tcW w:type="dxa" w:w="360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System Protection</w:t>
            </w:r>
          </w:p>
        </w:tc>
        <w:tc>
          <w:tcPr>
            <w:tcW w:type="dxa" w:w="576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OPNsense firewall with default-deny policy</w:t>
            </w:r>
          </w:p>
        </w:tc>
        <w:tc>
          <w:tcPr>
            <w:tcW w:type="dxa" w:w="216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Implemented</w:t>
            </w:r>
          </w:p>
        </w:tc>
      </w:tr>
      <w:tr>
        <w:tc>
          <w:tcPr>
            <w:tcW w:type="dxa" w:w="360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System Protection</w:t>
            </w:r>
          </w:p>
        </w:tc>
        <w:tc>
          <w:tcPr>
            <w:tcW w:type="dxa" w:w="576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Tier 2 firewalld on DB + CD2</w:t>
            </w:r>
          </w:p>
        </w:tc>
        <w:tc>
          <w:tcPr>
            <w:tcW w:type="dxa" w:w="216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Implemented</w:t>
            </w:r>
          </w:p>
        </w:tc>
      </w:tr>
      <w:tr>
        <w:tc>
          <w:tcPr>
            <w:tcW w:type="dxa" w:w="360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Vulnerability Management</w:t>
            </w:r>
          </w:p>
        </w:tc>
        <w:tc>
          <w:tcPr>
            <w:tcW w:type="dxa" w:w="576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Weekly Nmap scans, bi-weekly OpenVAS scans</w:t>
            </w:r>
          </w:p>
        </w:tc>
        <w:tc>
          <w:tcPr>
            <w:tcW w:type="dxa" w:w="216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Implemented</w:t>
            </w:r>
          </w:p>
        </w:tc>
      </w:tr>
      <w:tr>
        <w:tc>
          <w:tcPr>
            <w:tcW w:type="dxa" w:w="360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Vulnerability Management</w:t>
            </w:r>
          </w:p>
        </w:tc>
        <w:tc>
          <w:tcPr>
            <w:tcW w:type="dxa" w:w="576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Pre-pentest full scan and remediation</w:t>
            </w:r>
          </w:p>
        </w:tc>
        <w:tc>
          <w:tcPr>
            <w:tcW w:type="dxa" w:w="216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Implemented</w:t>
            </w:r>
          </w:p>
        </w:tc>
      </w:tr>
      <w:tr>
        <w:tc>
          <w:tcPr>
            <w:tcW w:type="dxa" w:w="360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Penetration Testing</w:t>
            </w:r>
          </w:p>
        </w:tc>
        <w:tc>
          <w:tcPr>
            <w:tcW w:type="dxa" w:w="576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7-day live-fire engagement against Team 8 (Apr 20–26, 2026)</w:t>
            </w:r>
          </w:p>
        </w:tc>
        <w:tc>
          <w:tcPr>
            <w:tcW w:type="dxa" w:w="216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Completed (Zero compromise)</w:t>
            </w:r>
          </w:p>
        </w:tc>
      </w:tr>
    </w:tbl>
    <w:p>
      <w:r>
        <w:br w:type="page"/>
      </w:r>
    </w:p>
    <w:p>
      <w:pPr>
        <w:spacing w:before="360" w:after="120"/>
        <w:pBdr>
          <w:bottom w:val="single" w:sz="6" w:color="2E75B6"/>
        </w:pBdr>
      </w:pPr>
      <w:r>
        <w:rPr>
          <w:rFonts w:ascii="Calibri" w:hAnsi="Calibri"/>
          <w:b/>
          <w:i w:val="0"/>
          <w:color w:val="1F4E79"/>
          <w:sz w:val="36"/>
        </w:rPr>
        <w:t>14. Document Control</w:t>
      </w:r>
    </w:p>
    <w:p>
      <w:pPr>
        <w:spacing w:after="120"/>
      </w:pPr>
      <w:r>
        <w:rPr>
          <w:rFonts w:ascii="Calibri" w:hAnsi="Calibri"/>
          <w:b w:val="0"/>
          <w:i w:val="0"/>
          <w:color w:val="333333"/>
          <w:sz w:val="22"/>
        </w:rPr>
        <w:t>This System Security Plan was prepared by Team 6 for IST 4910 at California State University, San Bernardino, Spring 2026. All information herein pertains to a simulated academic network environment and is for educational purposes only.</w:t>
      </w:r>
    </w:p>
    <w:tbl>
      <w:tblPr>
        <w:tblW w:type="auto" w:w="0"/>
        <w:jc w:val="center"/>
        <w:tblLayout w:type="fixed"/>
        <w:tblLook w:firstColumn="1" w:firstRow="1" w:lastColumn="0" w:lastRow="0" w:noHBand="0" w:noVBand="1" w:val="04A0"/>
      </w:tblPr>
      <w:tblGrid>
        <w:gridCol w:w="2436"/>
        <w:gridCol w:w="2436"/>
        <w:gridCol w:w="2436"/>
        <w:gridCol w:w="2436"/>
      </w:tblGrid>
      <w:tr>
        <w:tc>
          <w:tcPr>
            <w:tcW w:type="dxa" w:w="1152"/>
            <w:shd w:val="clear" w:color="auto" w:fill="1F4E79"/>
            <w:tcBorders>
              <w:top w:val="single" w:sz="4" w:color="1F4E79"/>
              <w:left w:val="single" w:sz="4" w:color="1F4E79"/>
              <w:bottom w:val="single" w:sz="4" w:color="1F4E79"/>
              <w:right w:val="single" w:sz="4" w:color="1F4E79"/>
            </w:tcBorders>
            <w:vAlign w:val="center"/>
          </w:tcPr>
          <w:p>
            <w:pPr>
              <w:spacing w:after="0"/>
            </w:pPr>
            <w:r/>
            <w:r>
              <w:rPr>
                <w:rFonts w:ascii="Calibri" w:hAnsi="Calibri"/>
                <w:b/>
                <w:i w:val="0"/>
                <w:color w:val="FFFFFF"/>
                <w:sz w:val="22"/>
              </w:rPr>
              <w:t>Version</w:t>
            </w:r>
          </w:p>
        </w:tc>
        <w:tc>
          <w:tcPr>
            <w:tcW w:type="dxa" w:w="2160"/>
            <w:shd w:val="clear" w:color="auto" w:fill="1F4E79"/>
            <w:tcBorders>
              <w:top w:val="single" w:sz="4" w:color="1F4E79"/>
              <w:left w:val="single" w:sz="4" w:color="1F4E79"/>
              <w:bottom w:val="single" w:sz="4" w:color="1F4E79"/>
              <w:right w:val="single" w:sz="4" w:color="1F4E79"/>
            </w:tcBorders>
            <w:vAlign w:val="center"/>
          </w:tcPr>
          <w:p>
            <w:pPr>
              <w:spacing w:after="0"/>
            </w:pPr>
            <w:r/>
            <w:r>
              <w:rPr>
                <w:rFonts w:ascii="Calibri" w:hAnsi="Calibri"/>
                <w:b/>
                <w:i w:val="0"/>
                <w:color w:val="FFFFFF"/>
                <w:sz w:val="22"/>
              </w:rPr>
              <w:t>Date</w:t>
            </w:r>
          </w:p>
        </w:tc>
        <w:tc>
          <w:tcPr>
            <w:tcW w:type="dxa" w:w="2592"/>
            <w:shd w:val="clear" w:color="auto" w:fill="1F4E79"/>
            <w:tcBorders>
              <w:top w:val="single" w:sz="4" w:color="1F4E79"/>
              <w:left w:val="single" w:sz="4" w:color="1F4E79"/>
              <w:bottom w:val="single" w:sz="4" w:color="1F4E79"/>
              <w:right w:val="single" w:sz="4" w:color="1F4E79"/>
            </w:tcBorders>
            <w:vAlign w:val="center"/>
          </w:tcPr>
          <w:p>
            <w:pPr>
              <w:spacing w:after="0"/>
            </w:pPr>
            <w:r/>
            <w:r>
              <w:rPr>
                <w:rFonts w:ascii="Calibri" w:hAnsi="Calibri"/>
                <w:b/>
                <w:i w:val="0"/>
                <w:color w:val="FFFFFF"/>
                <w:sz w:val="22"/>
              </w:rPr>
              <w:t>Author</w:t>
            </w:r>
          </w:p>
        </w:tc>
        <w:tc>
          <w:tcPr>
            <w:tcW w:type="dxa" w:w="4896"/>
            <w:shd w:val="clear" w:color="auto" w:fill="1F4E79"/>
            <w:tcBorders>
              <w:top w:val="single" w:sz="4" w:color="1F4E79"/>
              <w:left w:val="single" w:sz="4" w:color="1F4E79"/>
              <w:bottom w:val="single" w:sz="4" w:color="1F4E79"/>
              <w:right w:val="single" w:sz="4" w:color="1F4E79"/>
            </w:tcBorders>
            <w:vAlign w:val="center"/>
          </w:tcPr>
          <w:p>
            <w:pPr>
              <w:spacing w:after="0"/>
            </w:pPr>
            <w:r/>
            <w:r>
              <w:rPr>
                <w:rFonts w:ascii="Calibri" w:hAnsi="Calibri"/>
                <w:b/>
                <w:i w:val="0"/>
                <w:color w:val="FFFFFF"/>
                <w:sz w:val="22"/>
              </w:rPr>
              <w:t>Changes</w:t>
            </w:r>
          </w:p>
        </w:tc>
      </w:tr>
      <w:tr>
        <w:tc>
          <w:tcPr>
            <w:tcW w:type="dxa" w:w="1152"/>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0.1</w:t>
            </w:r>
          </w:p>
        </w:tc>
        <w:tc>
          <w:tcPr>
            <w:tcW w:type="dxa" w:w="216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March 2026</w:t>
            </w:r>
          </w:p>
        </w:tc>
        <w:tc>
          <w:tcPr>
            <w:tcW w:type="dxa" w:w="2592"/>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Allegra Ramirez</w:t>
            </w:r>
          </w:p>
        </w:tc>
        <w:tc>
          <w:tcPr>
            <w:tcW w:type="dxa" w:w="4896"/>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Initial draft — system overview and roles</w:t>
            </w:r>
          </w:p>
        </w:tc>
      </w:tr>
      <w:tr>
        <w:tc>
          <w:tcPr>
            <w:tcW w:type="dxa" w:w="1152"/>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0.5</w:t>
            </w:r>
          </w:p>
        </w:tc>
        <w:tc>
          <w:tcPr>
            <w:tcW w:type="dxa" w:w="216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April 13, 2026</w:t>
            </w:r>
          </w:p>
        </w:tc>
        <w:tc>
          <w:tcPr>
            <w:tcW w:type="dxa" w:w="2592"/>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Team 6</w:t>
            </w:r>
          </w:p>
        </w:tc>
        <w:tc>
          <w:tcPr>
            <w:tcW w:type="dxa" w:w="4896"/>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Added security controls, firewall rules, monitoring</w:t>
            </w:r>
          </w:p>
        </w:tc>
      </w:tr>
      <w:tr>
        <w:tc>
          <w:tcPr>
            <w:tcW w:type="dxa" w:w="1152"/>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1.0</w:t>
            </w:r>
          </w:p>
        </w:tc>
        <w:tc>
          <w:tcPr>
            <w:tcW w:type="dxa" w:w="216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April 19, 2026</w:t>
            </w:r>
          </w:p>
        </w:tc>
        <w:tc>
          <w:tcPr>
            <w:tcW w:type="dxa" w:w="2592"/>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Team 6</w:t>
            </w:r>
          </w:p>
        </w:tc>
        <w:tc>
          <w:tcPr>
            <w:tcW w:type="dxa" w:w="4896"/>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Final v1 — all sections complete</w:t>
            </w:r>
          </w:p>
        </w:tc>
      </w:tr>
      <w:tr>
        <w:tc>
          <w:tcPr>
            <w:tcW w:type="dxa" w:w="1152"/>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1.1</w:t>
            </w:r>
          </w:p>
        </w:tc>
        <w:tc>
          <w:tcPr>
            <w:tcW w:type="dxa" w:w="216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April 19, 2026</w:t>
            </w:r>
          </w:p>
        </w:tc>
        <w:tc>
          <w:tcPr>
            <w:tcW w:type="dxa" w:w="2592"/>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James (technical edits)</w:t>
            </w:r>
          </w:p>
        </w:tc>
        <w:tc>
          <w:tcPr>
            <w:tcW w:type="dxa" w:w="4896"/>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Corrections against live system state</w:t>
            </w:r>
          </w:p>
        </w:tc>
      </w:tr>
      <w:tr>
        <w:tc>
          <w:tcPr>
            <w:tcW w:type="dxa" w:w="1152"/>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2.0</w:t>
            </w:r>
          </w:p>
        </w:tc>
        <w:tc>
          <w:tcPr>
            <w:tcW w:type="dxa" w:w="216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April 27, 2026</w:t>
            </w:r>
          </w:p>
        </w:tc>
        <w:tc>
          <w:tcPr>
            <w:tcW w:type="dxa" w:w="2592"/>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Team 6 (post-pentest)</w:t>
            </w:r>
          </w:p>
        </w:tc>
        <w:tc>
          <w:tcPr>
            <w:tcW w:type="dxa" w:w="4896"/>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Section 11 expanded with engagement results; blue theme; equitable team attribution; FIND-021 added; team-roles updates</w:t>
            </w:r>
          </w:p>
        </w:tc>
      </w:tr>
    </w:tbl>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color w:val="2E75B6"/>
        <w:sz w:val="18"/>
      </w:rPr>
      <w:t>Rent a Dog · IST 4910 Team 6 · Spring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