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B45309"/>
          <w:sz w:val="56"/>
          <w:szCs w:val="56"/>
        </w:rPr>
        <w:t xml:space="preserve">MILHO INTELIGÊNCIA</w:t>
      </w:r>
    </w:p>
    <w:p>
      <w:pPr>
        <w:spacing w:after="600" w:before="200"/>
        <w:jc w:val="center"/>
      </w:pPr>
      <w:r>
        <w:rPr>
          <w:i/>
          <w:iCs/>
          <w:color w:val="475569"/>
          <w:sz w:val="24"/>
          <w:szCs w:val="24"/>
        </w:rPr>
        <w:t xml:space="preserve">Do motor de decisão interno ao produto de informação para o agronegócio</w:t>
      </w:r>
    </w:p>
    <w:p>
      <w:pPr>
        <w:spacing w:after="200"/>
        <w:jc w:val="center"/>
      </w:pPr>
      <w:r>
        <w:rPr>
          <w:b/>
          <w:bCs/>
          <w:sz w:val="30"/>
          <w:szCs w:val="30"/>
        </w:rPr>
        <w:t xml:space="preserve">ESTUDO DE VIABILIDADE E PLANO DE NEGÓCIOS</w:t>
      </w:r>
    </w:p>
    <w:p>
      <w:pPr>
        <w:spacing w:after="100"/>
        <w:jc w:val="center"/>
      </w:pPr>
      <w:r>
        <w:rPr>
          <w:color w:val="475569"/>
          <w:sz w:val="22"/>
          <w:szCs w:val="22"/>
        </w:rPr>
        <w:t xml:space="preserve">Venda de informações e sinais de decisão do sistema Milho Trader (CCM/B3) para produtores, tradings, mesas de hedge e cooperativas</w:t>
      </w:r>
    </w:p>
    <w:p>
      <w:pPr>
        <w:spacing w:after="60" w:before="800"/>
        <w:jc w:val="center"/>
      </w:pPr>
      <w:r>
        <w:rPr>
          <w:sz w:val="20"/>
          <w:szCs w:val="20"/>
        </w:rPr>
        <w:t xml:space="preserve">Versão 1.0 — documento de trabalho para decisão de investimento</w:t>
      </w:r>
    </w:p>
    <w:p>
      <w:pPr>
        <w:spacing w:after="60"/>
        <w:jc w:val="center"/>
      </w:pPr>
      <w:r>
        <w:rPr>
          <w:i/>
          <w:iCs/>
          <w:sz w:val="20"/>
          <w:szCs w:val="20"/>
        </w:rPr>
        <w:t xml:space="preserve">Estrutura baseada no roteiro SEBRAE "Como Elaborar um Plano de Negócios" — mesmo processo e formato usados no Estudo de Viabilidade Casa Inteligente (Malha)</w:t>
      </w:r>
    </w:p>
    <w:p>
      <w:pPr>
        <w:spacing w:after="60"/>
        <w:jc w:val="center"/>
      </w:pPr>
      <w:r>
        <w:rPr>
          <w:sz w:val="20"/>
          <w:szCs w:val="20"/>
        </w:rPr>
        <w:t xml:space="preserve">Agosto de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Sumário Executivo</w:t>
      </w:r>
    </w:p>
    <w:p>
      <w:pPr>
        <w:spacing w:after="160" w:line="276"/>
      </w:pPr>
      <w:r>
        <w:t xml:space="preserve">O negócio proposto: transformar o motor de decisão do Milho Trader — hoje um pipeline de 13 módulos de uso estritamente pessoal, que já gera veredito objetivo de operação (operar/aguardar, direção, stop, alvo e tamanho de posição) para o contrato futuro de milho (CCM) na B3 — em um produto de informação vendido ao agronegócio, em três camadas: assinatura individual para produtor/trader, assinatura para mesas de hedge e tradings, e licenciamento white-label para cooperativas distribuírem aos associados.</w:t>
      </w:r>
    </w:p>
    <w:p>
      <w:pPr>
        <w:spacing w:after="160" w:line="276"/>
      </w:pPr>
      <w:r>
        <w:t xml:space="preserve">Por que agora: a safra brasileira de milho 2025/26 foi revisada pela CONAB para um recorde de 141,7 milhões de toneladas, com produtividade também recorde — o tema está no centro do noticiário do agronegócio, e o setor de inteligência de mercado agrícola já provou disposição a pagar por informação (a StoneX cobra R$ 700 a R$ 916/mês por sua assinatura de grãos). O espaço não é hipotético.</w:t>
      </w:r>
    </w:p>
    <w:p>
      <w:pPr>
        <w:spacing w:after="160" w:line="276"/>
      </w:pPr>
      <w:r>
        <w:t xml:space="preserve">Por que não é "mais um boletim de milho": o mercado já tem players estabelecidos e bem financiados cobrindo o mesmo público — StoneX, DATAGRO, AgRural, Scot Consultoria — todos oferecendo comentário e contexto de mercado com equipes de analistas. Entrar competindo em "resumo de mercado" é replicar o erro que o próprio Estudo de Viabilidade Casa Inteligente já identificou em outro setor: virar "mais um" num segmento comoditizado, sem diferenciação, brigando por preço contra quem tem escala.</w:t>
      </w:r>
    </w:p>
    <w:p>
      <w:pPr>
        <w:spacing w:after="160" w:line="276"/>
      </w:pPr>
      <w:r>
        <w:t xml:space="preserve">Diferencial real: nenhum concorrente mapeado entrega um veredito quantitativo objetivo e automatizado — compra, venda ou fica de fora, com stop, alvo e tamanho de posição já calculados — especificamente para o CCM na B3, validado por backtest documentado. Os concorrentes vendem contexto para o cliente decidir sozinho; o Milho entrega a decisão já processada. Essa é a mesma lógica de "integração de projeto + entrega fim a fim" que o plano da Malha identificou como posição defensável no mercado de casa inteligente — aqui, o equivalente é "decisão pronta" em vez de "dado bruto".</w:t>
      </w:r>
    </w:p>
    <w:p>
      <w:pPr>
        <w:spacing w:after="160" w:line="276"/>
      </w:pPr>
      <w:r>
        <w:t xml:space="preserve">O ponto que muda tudo — e que nenhum concorrente citado precisa resolver do mesmo jeito: transformar um dado quantitativo em recomendação de compra/venda distribuída a terceiros mediante pagamento é, no Brasil, atividade regulada pela CVM (Resolução CVM nº 20/2021) — exige analista de valores mobiliários credenciado (certificação CNPI, APIMEC/ANBIMA) responsável pelo conteúdo. Isso não é um detalhe de compliance a resolver depois: é o gate que decide se este produto pode existir como "recomendação" ou precisa nascer como "dado bruto sem recomendação", o que muda o produto, o preço e o discurso comercial inteiros.</w:t>
      </w:r>
    </w:p>
    <w:p>
      <w:pPr>
        <w:spacing w:after="160" w:line="276"/>
      </w:pPr>
      <w:r>
        <w:t xml:space="preserve">Segundo ponto de atenção estrutural: os dados de entrada do pipeline (CCM/RTCNI via Profit/Genial, grade de opções) hoje são licenciados para uso pessoal do investidor. Redistribuir, ainda que de forma derivada e analisada, dado originado de um terminal comercial de cotações para terceiros pagantes é uma questão contratual com o provedor de dados que precisa ser verificada antes de qualquer venda — não depois.</w:t>
      </w:r>
    </w:p>
    <w:p>
      <w:pPr>
        <w:spacing w:after="160" w:line="276"/>
      </w:pPr>
      <w:r>
        <w:t xml:space="preserve">Estrutura de investimento recomendada (fases com gate de decisão, mesma lógica de opções reais/Stage-Gate usada no plano da Malha): Fase 0 — regularização e validação sem venda (confirmar licença de dados, iniciar/concluir certificação CNPI, testar produto com grupo fechado gratuito); Fase 1 — piloto comercial restrito, só após os dois gates da Fase 0 estarem resolvidos; Fase 2 — escala via canal cooperativas. Capital comprometido cresce à medida que a incerteza regulatória — não a incerteza de mercado — é resolvida.</w:t>
      </w:r>
    </w:p>
    <w:p>
      <w:pPr>
        <w:spacing w:after="160" w:line="276"/>
      </w:pPr>
      <w:r>
        <w:t xml:space="preserve">Recomendação, em uma frase: a tese comercial é sólida e o diferencial é real, mas a barreira que decide o projeto hoje não é demanda nem preço — é regulatória. Detalhamento completo na Seção 9.</w:t>
      </w:r>
    </w:p>
    <w:p>
      <w:pPr>
        <w:pStyle w:val="Heading1"/>
        <w:spacing w:after="160" w:before="360"/>
      </w:pPr>
      <w:r>
        <w:t xml:space="preserve">2. Análise de Mercado</w:t>
      </w:r>
    </w:p>
    <w:p>
      <w:pPr>
        <w:pStyle w:val="Heading2"/>
        <w:spacing w:after="120" w:before="260"/>
      </w:pPr>
      <w:r>
        <w:t xml:space="preserve">2.1 O mercado — tamanho e crescimento</w:t>
      </w:r>
    </w:p>
    <w:p>
      <w:pPr>
        <w:spacing w:after="160" w:line="276"/>
      </w:pPr>
      <w:r>
        <w:t xml:space="preserve">O agronegócio respondeu por cerca de 24,8% do PIB brasileiro, um mercado da ordem de US$ 500 bilhões, com crescimento de 258% frente a 2002. Dentro dele, a safra de milho 2025/26 foi revisada pela CONAB para um recorde de 141,7 milhões de toneladas — primeira safra em 29,3 milhões de toneladas (+17,7% ante o ciclo anterior) e segunda safra em 107,9 milhões de toneladas, com produtividade recorde de 7.110 kg/ha (+7,6%). É o pano de fundo de demanda por informação: mercado grande, em pauta constante, e com decisão de comercialização real (quando vender, quando travar preço) que afeta a margem do produtor a cada safra.</w:t>
      </w:r>
    </w:p>
    <w:p>
      <w:pPr>
        <w:spacing w:after="160" w:line="276"/>
      </w:pPr>
      <w:r>
        <w:t xml:space="preserve">No lado da tecnologia aplicada ao agro, o Brasil lidera o mercado de agtechs da América Latina — 83% das empresas mapeadas na região — com crescimento de 75% no número de agtechs mapeadas entre 2019 e 2024. Inteligência de dados e IA aplicada à decisão agrícola é tendência estrutural, não modismo.</w:t>
      </w:r>
    </w:p>
    <w:p>
      <w:pPr>
        <w:spacing w:after="160" w:line="276"/>
      </w:pPr>
      <w:r>
        <w:t xml:space="preserve">Canal institucional relevante: o cooperativismo agropecuário brasileiro reúne 1.254 cooperativas e 1.132.303 cooperados, com R$ 487,3 bilhões em ingressos em 2025 (+11,2% ano a ano) — 57,4% de todo o ingresso do cooperativismo brasileiro. Cada cooperativa é, em potencial, um canal de distribuição B2B2C para um produto de informação — o equivalente, neste plano, ao canal de incorporadoras no plano da Malha.</w:t>
      </w:r>
    </w:p>
    <w:p>
      <w:pPr>
        <w:pStyle w:val="Heading2"/>
        <w:spacing w:after="120" w:before="260"/>
      </w:pPr>
      <w:r>
        <w:t xml:space="preserve">2.2 Estudo dos clientes</w:t>
      </w:r>
    </w:p>
    <w:p>
      <w:pPr>
        <w:spacing w:after="160" w:line="276"/>
      </w:pPr>
      <w:r>
        <w:t xml:space="preserve">O próprio protótipo de relatório do sistema (relatorio_cliente.html) já segmenta o público em três perfis, o que confirma que a demanda foi pensada desde o desenho do produto, não é suposição deste estudo: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Trader (CCM futuro) — pessoa física ou mesa proprietária: </w:t>
      </w:r>
      <w:r>
        <w:t xml:space="preserve">opera o contrato futuro diretamente na B3, quer o veredito tático (a mesma informação que hoje só você usa) com timing de entrada, stop e alvo. É o segmento mais próximo do produto atual — menor esforço de adaptação, mas também o mais sensível a track record público e a exigência de credencial regulatória, por lidar com recomendação de operação alavancada.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Comprador de milho (indústria de ração, proteína animal, agroindústria): </w:t>
      </w:r>
      <w:r>
        <w:t xml:space="preserve">não opera futuro por especulação, mas precisa decidir quando travar preço de compra física. Valoriza mais o módulo de convergência futuro×físico e o calendário de eventos (WASDE/CONAB) do que o sinal técnico puro — é um produto de gestão de risco de insumo, não de trading.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Vendedor de milho (produtor rural): </w:t>
      </w:r>
      <w:r>
        <w:t xml:space="preserve">decide quando vender a produção física. É o público mais sensível a preço e o que historicamente menos paga por informação abstrata — mas é também o maior em volume (produtores individuais) e o que mais se beneficia do canal cooperativa (Seção 2.1), que dilui o custo de aquisição.</w:t>
      </w:r>
    </w:p>
    <w:p>
      <w:pPr>
        <w:spacing w:after="160" w:line="276"/>
      </w:pPr>
      <w:r>
        <w:t xml:space="preserve">Um quarto segmento, não coberto pelo protótipo atual mas coerente com o mercado mapeado: cooperativas e casas de análise regionais como canal de distribuição B2B2B — não consomem o sinal para operar, mas revendem/distribuem o conteúdo aos próprios associados sob marca própria ou co-branded.</w:t>
      </w:r>
    </w:p>
    <w:p>
      <w:pPr>
        <w:pStyle w:val="Heading2"/>
        <w:spacing w:after="120" w:before="260"/>
      </w:pPr>
      <w:r>
        <w:t xml:space="preserve">2.3 Estudo dos concorrentes</w:t>
      </w:r>
    </w:p>
    <w:p>
      <w:pPr>
        <w:spacing w:after="160" w:line="276"/>
      </w:pPr>
      <w:r>
        <w:t xml:space="preserve">Levantamento direto identifica um mercado já ocupado por players estabelecidos, generalistas em grãos — nenhum deles focado especificamente em milho na B3 com veredito automatizado: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450"/>
        <w:gridCol w:w="3000"/>
      </w:tblGrid>
      <w:tr>
        <w:tc>
          <w:tcPr>
            <w:tcW w:type="dxa" w:w="1900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Concorrente</w:t>
            </w:r>
          </w:p>
        </w:tc>
        <w:tc>
          <w:tcPr>
            <w:tcW w:type="dxa" w:w="2000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Preço de referência</w:t>
            </w:r>
          </w:p>
        </w:tc>
        <w:tc>
          <w:tcPr>
            <w:tcW w:type="dxa" w:w="2450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  <w:tc>
          <w:tcPr>
            <w:tcW w:type="dxa" w:w="3000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NÃO entrega</w:t>
            </w:r>
          </w:p>
        </w:tc>
      </w:tr>
      <w:tr>
        <w:tc>
          <w:tcPr>
            <w:tcW w:type="dxa" w:w="19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StoneX — Grãos Premium</w:t>
            </w:r>
          </w:p>
        </w:tc>
        <w:tc>
          <w:tcPr>
            <w:tcW w:type="dxa" w:w="20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R$ 700–916/mês (planos trimestral a anual)</w:t>
            </w:r>
          </w:p>
        </w:tc>
        <w:tc>
          <w:tcPr>
            <w:tcW w:type="dxa" w:w="245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Soja, milho e trigo; ~35 relatórios (clima, USDA, CFTC, basis, O&amp;D); equipe dedicada de analistas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Veredito automatizado de operação para CCM B3; stop/alvo/tamanho de posição</w:t>
            </w:r>
          </w:p>
        </w:tc>
      </w:tr>
      <w:tr>
        <w:tc>
          <w:tcPr>
            <w:tcW w:type="dxa" w:w="19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AgRural — Inteligência de Mercado</w:t>
            </w:r>
          </w:p>
        </w:tc>
        <w:tc>
          <w:tcPr>
            <w:tcW w:type="dxa" w:w="20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Sob consulta (serviço customizado, sem tabela pública)</w:t>
            </w:r>
          </w:p>
        </w:tc>
        <w:tc>
          <w:tcPr>
            <w:tcW w:type="dxa" w:w="245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Soja, milho e algodão; assessoria de comercialização + contato direto com analistas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 de prateleira/self-service; sinal quantitativo</w:t>
            </w:r>
          </w:p>
        </w:tc>
      </w:tr>
      <w:tr>
        <w:tc>
          <w:tcPr>
            <w:tcW w:type="dxa" w:w="19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DATAGRO</w:t>
            </w:r>
          </w:p>
        </w:tc>
        <w:tc>
          <w:tcPr>
            <w:tcW w:type="dxa" w:w="20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Sob consulta</w:t>
            </w:r>
          </w:p>
        </w:tc>
        <w:tc>
          <w:tcPr>
            <w:tcW w:type="dxa" w:w="245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Consultoria independente há 35 anos; indicador próprio de preço de milho; múltiplas commodities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Foco específico em derivativos de milho na B3</w:t>
            </w:r>
          </w:p>
        </w:tc>
      </w:tr>
      <w:tr>
        <w:tc>
          <w:tcPr>
            <w:tcW w:type="dxa" w:w="19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Scot Consultoria</w:t>
            </w:r>
          </w:p>
        </w:tc>
        <w:tc>
          <w:tcPr>
            <w:tcW w:type="dxa" w:w="20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Cartas/boletins, parte gratuita</w:t>
            </w:r>
          </w:p>
        </w:tc>
        <w:tc>
          <w:tcPr>
            <w:tcW w:type="dxa" w:w="245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Grãos e pecuária; conteúdo editorial ("Carta Grãos e Agricultura")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Sinal de operação; dashboard interativo</w:t>
            </w:r>
          </w:p>
        </w:tc>
      </w:tr>
      <w:tr>
        <w:tc>
          <w:tcPr>
            <w:tcW w:type="dxa" w:w="19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CEPEA/Esalq (USP)</w:t>
            </w:r>
          </w:p>
        </w:tc>
        <w:tc>
          <w:tcPr>
            <w:tcW w:type="dxa" w:w="20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Gratuito</w:t>
            </w:r>
          </w:p>
        </w:tc>
        <w:tc>
          <w:tcPr>
            <w:tcW w:type="dxa" w:w="245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Preços de referência e análises situacionais de soja, milho, algodão, trigo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Qualquer recomendação de operação (não é o papel de um centro acadêmico)</w:t>
            </w:r>
          </w:p>
        </w:tc>
      </w:tr>
      <w:tr>
        <w:tc>
          <w:tcPr>
            <w:tcW w:type="dxa" w:w="19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CONAB / dado público</w:t>
            </w:r>
          </w:p>
        </w:tc>
        <w:tc>
          <w:tcPr>
            <w:tcW w:type="dxa" w:w="20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Gratuito</w:t>
            </w:r>
          </w:p>
        </w:tc>
        <w:tc>
          <w:tcPr>
            <w:tcW w:type="dxa" w:w="245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Levantamentos oficiais de safra, oferta e demanda</w:t>
            </w:r>
          </w:p>
        </w:tc>
        <w:tc>
          <w:tcPr>
            <w:tcW w:type="dxa" w:w="30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Qualquer camada de análise, sinal ou personalização</w:t>
            </w:r>
          </w:p>
        </w:tc>
      </w:tr>
    </w:tbl>
    <w:p>
      <w:pPr>
        <w:spacing w:after="160" w:line="276"/>
      </w:pPr>
      <w:r>
        <w:t xml:space="preserve">Leitura do quadro: existe uma lacuna clara entre "dado bruto gratuito" (CEPEA, CONAB) e "contexto de mercado pago, mas qualitativo e sem veredito acionável" (StoneX, AgRural, DATAGRO). O produto do Milho ocupa um espaço que hoje nenhum concorrente mapeado preenche: veredito quantitativo, objetivo e auditável, para um instrumento específico. Isso é diferenciação real — mas também é o motivo pelo qual a questão regulatória da Seção 2.5 se aplica a este produto e não necessariamente da mesma forma aos concorrentes citados, que se posicionam como conteúdo editorial/consultivo, não como recomendação sistemática de operação.</w:t>
      </w:r>
    </w:p>
    <w:p>
      <w:pPr>
        <w:pStyle w:val="Heading2"/>
        <w:spacing w:after="120" w:before="260"/>
      </w:pPr>
      <w:r>
        <w:t xml:space="preserve">2.4 Estudo dos fornecedores (dados de entrada)</w:t>
      </w:r>
    </w:p>
    <w:p>
      <w:pPr>
        <w:spacing w:after="160" w:line="276"/>
      </w:pPr>
      <w:r>
        <w:t xml:space="preserve">O pipeline já roda hoje sobre uma cadeia de dados heterogênea, documentada no resumo executivo do projeto: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Profit/Genial (CCM, RTCNI, WDOFUT, DI1, grade de opções): </w:t>
      </w:r>
      <w:r>
        <w:t xml:space="preserve">exportação manual de CSV a partir de um terminal comercial — licenciado hoje para uso pessoal do investidor. Este é o insumo central do produto e também o maior risco contratual: redistribuir informação derivada desses dados a terceiros pagantes pode violar os termos de uso do provedor (Nelogica/Genial), que tipicamente restringem redistribuição comercial de market data sem contrato específico.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yfinance (ZC=F, BZ=F — milho Chicago e Brent): </w:t>
      </w:r>
      <w:r>
        <w:t xml:space="preserve">gratuito, sem chave — sem restrição relevante de redistribuição para dado já derivado/analisado.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CONAB/WASDE (fundamentos, calendário): </w:t>
      </w:r>
      <w:r>
        <w:t xml:space="preserve">dado público, sem restrição.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B3 (dados de mercado da própria bolsa, quando usados diretamente): </w:t>
      </w:r>
      <w:r>
        <w:t xml:space="preserve">a B3 tem política própria de licenciamento de redistribuição de market data (vendor agreements) — se o produto vier a exibir cotação/OI em tempo real diretamente da B3, e não apenas a análise derivada, isso é uma segunda camada de licenciamento a verificar, separada da relação com o Profit/Genial.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</w:rPr>
              <w:t xml:space="preserve">Ponto de bloqueio a resolver antes da Fase 1</w:t>
            </w:r>
          </w:p>
          <w:p>
            <w:pPr>
              <w:spacing w:after="0" w:line="276"/>
            </w:pPr>
            <w:r>
              <w:t xml:space="preserve">Confirmar por escrito com o provedor de dados (Genial/Nelogica) se a redistribuição de análises derivadas dos dados exportados é permitida sob o contrato atual, e em que condições. Sem essa confirmação, qualquer estrutura de preço definida neste plano é hipotética.</w:t>
            </w:r>
          </w:p>
        </w:tc>
      </w:tr>
    </w:tbl>
    <w:p>
      <w:pPr>
        <w:pStyle w:val="Heading2"/>
        <w:spacing w:after="120" w:before="260"/>
      </w:pPr>
      <w:r>
        <w:t xml:space="preserve">2.5 A camada que falta: regularização regulatória (CVM/CNPI)</w:t>
      </w:r>
    </w:p>
    <w:p>
      <w:pPr>
        <w:spacing w:after="160" w:line="276"/>
      </w:pPr>
      <w:r>
        <w:t xml:space="preserve">Assim como o plano da Malha identificou que faltava uma camada de orquestração de software antes de o negócio de casa inteligente fazer sentido, aqui falta uma camada equivalente — só que jurídica, não técnica: no Brasil, elaborar e distribuir de forma profissional relatórios de análise com recomendação de compra, venda ou manutenção de instrumento financeiro é atividade regulada pela CVM (Resolução CVM nº 20/2021), exercida por analista de valores mobiliários credenciado — a certificação de mercado é a CNPI, emitida via exame APIMEC/ANBIMA.</w:t>
      </w:r>
    </w:p>
    <w:p>
      <w:pPr>
        <w:spacing w:after="160" w:line="276"/>
      </w:pPr>
      <w:r>
        <w:t xml:space="preserve">O veredito do Guia Operador ("OPERAR [direção]", com stop, alvo e tamanho de posição) é, na prática, uma recomendação de operação. Vendida a terceiros de forma recorrente e paga, essa é exatamente a atividade que a Resolução CVM 20 regula. Distribuir esse conteúdo comercialmente sem credencial expõe o negócio (e a pessoa física responsável) a risco de enquadramento como analista não credenciado — com penalidade administrativa da CVM, não apenas risco reputacional.</w:t>
      </w:r>
    </w:p>
    <w:p>
      <w:pPr>
        <w:spacing w:after="160" w:line="276"/>
      </w:pPr>
      <w:r>
        <w:t xml:space="preserve">Boa notícia estrutural: a lista de ferramentas hoje em uso já inclui um conjunto de skills dedicadas à preparação para a certificação CNPI-P (análise técnica, contabilidade societária, macro, valuation, rigor de dado, síntese de decisão) — o que sugere que a trilha de certificação já está em andamento ou pelo menos mapeada. Isso é o caminho certo, mas não deve ser presumido como concluído: antes de aprovar a Fase 1 (Seção 3), confirmar o status real da certificação — em andamento, agendada ou já concluída — porque isso muda o cronograma inteiro do projeto.</w:t>
      </w:r>
    </w:p>
    <w:p>
      <w:pPr>
        <w:pStyle w:val="Heading1"/>
        <w:spacing w:after="160" w:before="360"/>
      </w:pPr>
      <w:r>
        <w:t xml:space="preserve">3. Posicionamento Estratégico Recomendado</w:t>
      </w:r>
    </w:p>
    <w:p>
      <w:pPr>
        <w:spacing w:after="160" w:line="276"/>
      </w:pPr>
      <w:r>
        <w:t xml:space="preserve">A pergunta "o que vender — dado bruto, dashboard, sinal ou consultoria?" pressupõe escolha única entre elos de uma mesma cadeia de valor. Nenhum isoladamente sustenta posição defensável: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Boletim de contexto genérico: mercado já ocupado por StoneX, AgRural e DATAGRO, com equipe e marca muito maiores — brigar aqui é brigar de baixo para cima sem vantagem estrutural.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Sinal de trading distribuído informalmente (grupo fechado, "dica", sem credencial): sem defensabilidade legal, e o mercado de "sinais" no Brasil já carrega desgaste reputacional relevante (histórico de golpes e "gurus") — o rigor do backtest documentado do Milho é justamente o antídoto para essa desconfiança, mas só funciona se vier acompanhado de credencial formal, não apesar dela.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Dado bruto (planilha de cotações) sem nenhuma camada de análise: sem diferenciação de CEPEA/CONAB, que já entregam isso de graça.</w:t>
      </w:r>
    </w:p>
    <w:p>
      <w:pPr>
        <w:spacing w:after="160" w:before="200"/>
      </w:pPr>
      <w:r>
        <w:rPr>
          <w:b/>
          <w:bCs/>
        </w:rPr>
        <w:t xml:space="preserve">Modelo recomendado: veredito quantitativo credenciado, com distribuição em camadas de acesso.</w:t>
      </w:r>
    </w:p>
    <w:p>
      <w:pPr>
        <w:spacing w:after="160" w:line="276"/>
      </w:pPr>
      <w:r>
        <w:t xml:space="preserve">A combinação que aproveita simultaneamente (a) a lacuna real de mercado identificada na Seção 2.3 (ninguém entrega veredito automatizado específico para CCM), (b) o ativo já construído e validado por backtest (Seção 2 do resumo executivo do projeto), e (c) o canal institucional das cooperativas (Seção 2.1) — desde que a barreira regulatória da Seção 2.5 seja resolvida antes de qualquer venda, não depois.</w:t>
      </w:r>
    </w:p>
    <w:p>
      <w:pPr>
        <w:pStyle w:val="Heading2"/>
        <w:spacing w:after="120" w:before="260"/>
      </w:pPr>
      <w:r>
        <w:t xml:space="preserve">3.1 Estrutura de investimento em fases — gates de decisão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50"/>
      </w:tblGrid>
      <w:tr>
        <w:tc>
          <w:tcPr>
            <w:tcW w:type="dxa" w:w="1500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200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4650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Critério de saída (gate)</w:t>
            </w:r>
          </w:p>
        </w:tc>
      </w:tr>
      <w:tr>
        <w:tc>
          <w:tcPr>
            <w:tcW w:type="dxa" w:w="15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 0
Regularização e validação</w:t>
            </w:r>
          </w:p>
        </w:tc>
        <w:tc>
          <w:tcPr>
            <w:tcW w:type="dxa" w:w="32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Confirmar licença de redistribuição de dados junto ao provedor; confirmar status da certificação CNPI-P; testar o relatório com grupo fechado e gratuito (5-10 pessoas dos 3 segmentos da Seção 2.2) para validar formato e demanda percebida</w:t>
            </w:r>
          </w:p>
        </w:tc>
        <w:tc>
          <w:tcPr>
            <w:tcW w:type="dxa" w:w="465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Licença de dados confirmada por escrito + CNPI-P concluída ou em estágio final + feedback qualitativo positivo do grupo piloto</w:t>
            </w:r>
          </w:p>
        </w:tc>
      </w:tr>
      <w:tr>
        <w:tc>
          <w:tcPr>
            <w:tcW w:type="dxa" w:w="15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 1
Piloto comercial restrito</w:t>
            </w:r>
          </w:p>
        </w:tc>
        <w:tc>
          <w:tcPr>
            <w:tcW w:type="dxa" w:w="32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Lançar assinatura paga para lista de espera pequena (20-40 clientes), com preço de entrada e responsável credenciado assinando o conteúdo</w:t>
            </w:r>
          </w:p>
        </w:tc>
        <w:tc>
          <w:tcPr>
            <w:tcW w:type="dxa" w:w="465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Taxa de conversão trial→pago acima de referência de mercado (ver Seção 6.3) e churn mensal controlado por 3 meses seguidos</w:t>
            </w:r>
          </w:p>
        </w:tc>
      </w:tr>
      <w:tr>
        <w:tc>
          <w:tcPr>
            <w:tcW w:type="dxa" w:w="15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 2
Escala via cooperativas</w:t>
            </w:r>
          </w:p>
        </w:tc>
        <w:tc>
          <w:tcPr>
            <w:tcW w:type="dxa" w:w="32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Fechar 1-2 contratos-piloto de licenciamento com cooperativas regionais (canal B2B2B) e abrir a assinatura B2C para lista ampla</w:t>
            </w:r>
          </w:p>
        </w:tc>
        <w:tc>
          <w:tcPr>
            <w:tcW w:type="dxa" w:w="465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Contrato-piloto de cooperativa assinado e primeiro ciclo de distribuição validado</w:t>
            </w:r>
          </w:p>
        </w:tc>
      </w:tr>
    </w:tbl>
    <w:p>
      <w:pPr>
        <w:spacing w:after="160" w:line="276"/>
      </w:pPr>
      <w:r>
        <w:t xml:space="preserve">A lógica é a mesma usada no plano da Malha (opções reais / Stage-Gate): o capital e o tempo investidos crescem à medida que a incerteza é resolvida. Aqui, a incerteza mais cara de errar não é técnica nem comercial — é regulatória. Pular a Fase 0 para "testar o mercado logo" é o erro equivalente a vender projeto de automação sem o comercial validado, que o próprio plano da Malha já sinalizou como o erro mais caro e mais silencioso: só aparece meses depois, na forma de notificação da CVM ou de disputa contratual com o provedor de dados.</w:t>
      </w:r>
    </w:p>
    <w:p>
      <w:pPr>
        <w:pStyle w:val="Heading2"/>
        <w:spacing w:after="120" w:before="260"/>
      </w:pPr>
      <w:r>
        <w:t xml:space="preserve">3.2 Custo de oportunidade da Fase 0</w:t>
      </w:r>
    </w:p>
    <w:p>
      <w:pPr>
        <w:spacing w:after="160" w:line="276"/>
      </w:pPr>
      <w:r>
        <w:t xml:space="preserve">A Fase 0 não tem desembolso de capital relevante, mas tem custo de oportunidade real: tempo do próprio responsável, hoje dividido entre operar o pipeline para uso pessoal, estudar/concluir a certificação CNPI-P e formatar o produto para terceiros. Sem acesso à agenda real, a estimativa abaixo usa faixa de mercado para o valor-hora de um especialista técnico/analista financeiro sênior atuando part-time neste projeto (R$ 80–150/hora), aplicada a um esforço estimado de 6-10 horas/semana por 8-12 semanas — R$ 3.800 a R$ 14.400 de custo de oportunidade, sem contar o tempo de estudo para a certificação, que segue cronograma próprio do exame ANBIMA/APIMEC e não é comprimível pela pressa do projeto.</w:t>
      </w:r>
    </w:p>
    <w:p>
      <w:pPr>
        <w:pStyle w:val="Heading2"/>
        <w:spacing w:after="120" w:before="260"/>
      </w:pPr>
      <w:r>
        <w:t xml:space="preserve">3.3 Prazo real — por que a Fase 1 não começa "assim que quiser"</w:t>
      </w:r>
    </w:p>
    <w:p>
      <w:pPr>
        <w:spacing w:after="160" w:line="276"/>
      </w:pPr>
      <w:r>
        <w:t xml:space="preserve">Dois prazos não estão sob controle total do projeto e precisam ser tratados como etapas do cronograma, não como atraso: o calendário de aplicação do exame CNPI (ciclos definidos pela ANBIMA/APIMEC, não sob demanda) e o tempo de resposta do provedor de dados para confirmar (ou negar) a licença de redistribuição comercial. Presumir que ambos se resolvem em paralelo e sem atrito é o mesmo tipo de premissa não verificada que o plano da Malha já identificou como risco ao presumir disponibilidade de mão de obra ou de parceiro técnico.</w:t>
      </w:r>
    </w:p>
    <w:p>
      <w:pPr>
        <w:pStyle w:val="Heading1"/>
        <w:spacing w:after="160" w:before="360"/>
      </w:pPr>
      <w:r>
        <w:t xml:space="preserve">4. Plano de Marketing</w:t>
      </w:r>
    </w:p>
    <w:p>
      <w:pPr>
        <w:pStyle w:val="Heading2"/>
        <w:spacing w:after="120" w:before="260"/>
      </w:pPr>
      <w:r>
        <w:t xml:space="preserve">4.1 Produtos e serviços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Boletim gratuito (lead magnet): </w:t>
      </w:r>
      <w:r>
        <w:t xml:space="preserve">versão resumida, estilo produtor rural (linguagem simples, sem jargão técnico) — já existe protótipo funcional (relatorio_cliente.html). Função: gerar lista de interessados e construir track record público antes de cobrar por ele.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Assinatura Individual — "Sinal CCM": </w:t>
      </w:r>
      <w:r>
        <w:t xml:space="preserve">dashboard completo (as 10 abas já existentes) + veredito semanal + alertas de calendário econômico. Público: trader individual e produtor mais sofisticado.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Assinatura Trader/Mesa: </w:t>
      </w:r>
      <w:r>
        <w:t xml:space="preserve">tudo do plano individual + granularidade intraday, exportação de dados e prioridade de suporte. Público: mesas de hedge e tradings pequenas/médias.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Licenciamento Cooperativa (B2B2B): </w:t>
      </w:r>
      <w:r>
        <w:t xml:space="preserve">relatório white-label ou co-branded distribuído pela cooperativa aos associados, ticket negociado por volume de cooperados. Público: cooperativas agropecuárias (canal descrito na Seção 2.1).</w:t>
      </w:r>
    </w:p>
    <w:p>
      <w:pPr>
        <w:spacing w:after="160" w:line="276"/>
      </w:pPr>
      <w:r>
        <w:t xml:space="preserve">Nota de escopo obrigatória, direta consequência da Seção 2.5: enquanto a certificação CNPI-P não estiver formalmente concluída, nenhuma camada paga pode ser comercializada como "recomendação de compra/venda" — apenas como conteúdo informativo/educacional, com veredito apresentado como leitura de dados, não como instrução de operação. Essa é uma limitação real de produto na Fase 0/1 inicial, não um detalhe de rodapé.</w:t>
      </w:r>
    </w:p>
    <w:p>
      <w:pPr>
        <w:pStyle w:val="Heading2"/>
        <w:spacing w:after="120" w:before="260"/>
      </w:pPr>
      <w:r>
        <w:t xml:space="preserve">4.2 Catálogo de planos — referência de preço</w:t>
      </w:r>
    </w:p>
    <w:p>
      <w:pPr>
        <w:spacing w:after="160" w:line="276"/>
      </w:pPr>
      <w:r>
        <w:t xml:space="preserve">Preços ancorados abaixo do teto de mercado (StoneX, R$ 700–916/mês) porque o escopo aqui é deliberadamente mais estreito — um instrumento (CCM), não a cesta completa de grãos — e porque o produto ainda não tem track record público de vários ciclos de safra. É um ponto de partida a validar em campo (Seção 10), não um preço final.</w:t>
      </w:r>
    </w:p>
    <w:tbl>
      <w:tblPr>
        <w:tblW w:type="dxa" w:w="8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50"/>
        <w:gridCol w:w="2000"/>
        <w:gridCol w:w="2600"/>
      </w:tblGrid>
      <w:tr>
        <w:tc>
          <w:tcPr>
            <w:tcW w:type="dxa" w:w="2100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Plano</w:t>
            </w:r>
          </w:p>
        </w:tc>
        <w:tc>
          <w:tcPr>
            <w:tcW w:type="dxa" w:w="1650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Preço de referência</w:t>
            </w:r>
          </w:p>
        </w:tc>
        <w:tc>
          <w:tcPr>
            <w:tcW w:type="dxa" w:w="2000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Público</w:t>
            </w:r>
          </w:p>
        </w:tc>
        <w:tc>
          <w:tcPr>
            <w:tcW w:type="dxa" w:w="2600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1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Boletim Gratuito</w:t>
            </w:r>
          </w:p>
        </w:tc>
        <w:tc>
          <w:tcPr>
            <w:tcW w:type="dxa" w:w="165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R$ 0</w:t>
            </w:r>
          </w:p>
        </w:tc>
        <w:tc>
          <w:tcPr>
            <w:tcW w:type="dxa" w:w="20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Todos os 3 segmentos</w:t>
            </w:r>
          </w:p>
        </w:tc>
        <w:tc>
          <w:tcPr>
            <w:tcW w:type="dxa" w:w="26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Lead magnet — constrói lista e track record</w:t>
            </w:r>
          </w:p>
        </w:tc>
      </w:tr>
      <w:tr>
        <w:tc>
          <w:tcPr>
            <w:tcW w:type="dxa" w:w="21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Individual — Sinal CCM</w:t>
            </w:r>
          </w:p>
        </w:tc>
        <w:tc>
          <w:tcPr>
            <w:tcW w:type="dxa" w:w="165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R$ 97–147/mês</w:t>
            </w:r>
          </w:p>
        </w:tc>
        <w:tc>
          <w:tcPr>
            <w:tcW w:type="dxa" w:w="20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Produtor, trader individual</w:t>
            </w:r>
          </w:p>
        </w:tc>
        <w:tc>
          <w:tcPr>
            <w:tcW w:type="dxa" w:w="26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Abaixo do plano de entrada da StoneX; escopo de um único instrumento</w:t>
            </w:r>
          </w:p>
        </w:tc>
      </w:tr>
      <w:tr>
        <w:tc>
          <w:tcPr>
            <w:tcW w:type="dxa" w:w="21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Trader/Mesa</w:t>
            </w:r>
          </w:p>
        </w:tc>
        <w:tc>
          <w:tcPr>
            <w:tcW w:type="dxa" w:w="165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R$ 297–397/mês</w:t>
            </w:r>
          </w:p>
        </w:tc>
        <w:tc>
          <w:tcPr>
            <w:tcW w:type="dxa" w:w="20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Mesa de hedge, trading pequena/média</w:t>
            </w:r>
          </w:p>
        </w:tc>
        <w:tc>
          <w:tcPr>
            <w:tcW w:type="dxa" w:w="26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Inclui granularidade intraday e exportação</w:t>
            </w:r>
          </w:p>
        </w:tc>
      </w:tr>
      <w:tr>
        <w:tc>
          <w:tcPr>
            <w:tcW w:type="dxa" w:w="21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Licenciamento Cooperativa</w:t>
            </w:r>
          </w:p>
        </w:tc>
        <w:tc>
          <w:tcPr>
            <w:tcW w:type="dxa" w:w="165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 partir de R$ 1.500–3.000/mês</w:t>
            </w:r>
          </w:p>
        </w:tc>
        <w:tc>
          <w:tcPr>
            <w:tcW w:type="dxa" w:w="20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Cooperativas agropecuárias</w:t>
            </w:r>
          </w:p>
        </w:tc>
        <w:tc>
          <w:tcPr>
            <w:tcW w:type="dxa" w:w="26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Ticket negociado por volume de cooperados; contrato-piloto na Fase 2</w:t>
            </w:r>
          </w:p>
        </w:tc>
      </w:tr>
    </w:tbl>
    <w:p>
      <w:pPr>
        <w:pStyle w:val="Heading2"/>
        <w:spacing w:after="120" w:before="260"/>
      </w:pPr>
      <w:r>
        <w:t xml:space="preserve">4.3 Cooperativas como canal — não como cliente único</w:t>
      </w:r>
    </w:p>
    <w:p>
      <w:pPr>
        <w:spacing w:after="160" w:line="276"/>
      </w:pPr>
      <w:r>
        <w:t xml:space="preserve">O paralelo direto com o plano da Malha é intencional: lá, condomínios eram canal de acesso a múltiplos moradores, não cliente de segurança; aqui, cooperativas são canal de acesso a múltiplos produtores associados, não o único modelo de receita. Com 1.254 cooperativas agropecuárias e mais de 1,1 milhão de cooperados no Brasil (Seção 2.1), mesmo uma taxa de conversão baixa por cooperativa parceira representa volume relevante de assinantes individuais a um custo de aquisição menor do que a prospecção dispersa.</w:t>
      </w:r>
    </w:p>
    <w:p>
      <w:pPr>
        <w:pStyle w:val="Heading2"/>
        <w:spacing w:after="120" w:before="260"/>
      </w:pPr>
      <w:r>
        <w:t xml:space="preserve">4.4 Canais e promoção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Conteúdo público (blog/redes) usando o boletim gratuito como prova de qualidade recorrente — mesma lógica de "prova social concentrada" do plano da Malha, adaptada a publicações semanais em vez de projetos físicos.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Parceria com corretoras que oferecem acesso ao contrato CCM na B3 — indicação cruzada, sem a Malha (aqui, o Milho) assumir a atividade de corretora.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Prospecção direta a cooperativas regionais com forte presença em milho (Centro-Oeste, Sul), usando o backtest documentado como argumento técnico central da conversa comercial.</w:t>
      </w:r>
    </w:p>
    <w:p>
      <w:pPr>
        <w:pStyle w:val="Heading1"/>
        <w:spacing w:after="160" w:before="360"/>
      </w:pPr>
      <w:r>
        <w:t xml:space="preserve">5. Plano Operacional</w:t>
      </w:r>
    </w:p>
    <w:p>
      <w:pPr>
        <w:pStyle w:val="Heading2"/>
        <w:spacing w:after="120" w:before="260"/>
      </w:pPr>
      <w:r>
        <w:t xml:space="preserve">5.1 Estrutura e pessoal</w:t>
      </w:r>
    </w:p>
    <w:p>
      <w:pPr>
        <w:spacing w:after="160" w:line="276"/>
      </w:pPr>
      <w:r>
        <w:t xml:space="preserve">Hoje, a operação inteira depende de uma única pessoa mantendo os 13 módulos do pipeline, validando qualidade (gerar_resumo_analise.py) e interpretando o resultado. Isso é adequado para uso pessoal, mas é uma dependência crítica de pessoa única ("bus factor" de 1) incompatível com um produto vendido a terceiros com expectativa de disponibilidade e continuidade. Antes da Fase 1, dois papéis precisam de dono explícito, mesmo que a mesma pessoa acumule os dois no início: responsável técnico (mantém o pipeline) e analista credenciado responsável (assina o conteúdo perante a CVM).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Se a mesma pessoa acumular os dois papéis: documentar processo de continuidade (o que acontece se a pessoa ficar indisponível por período curto) antes de vender qualquer assinatura recorrente.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Suporte ao cliente e cobrança: mesmo em escala pequena, exige ferramenta de billing recorrente (ex. Asaas, Stripe) e um canal mínimo de atendimento — não pode ser "responder e-mail quando der tempo" para um produto pago.</w:t>
      </w:r>
    </w:p>
    <w:p>
      <w:pPr>
        <w:pStyle w:val="Heading2"/>
        <w:spacing w:after="120" w:before="260"/>
      </w:pPr>
      <w:r>
        <w:t xml:space="preserve">5.2 Processos operacionais</w:t>
      </w:r>
    </w:p>
    <w:p>
      <w:pPr>
        <w:spacing w:after="160" w:line="276"/>
      </w:pPr>
      <w:r>
        <w:t xml:space="preserve">O fluxo técnico já existe e é o ativo mais maduro do projeto: exportação de CSV → pipeline.py orquestra os 13 módulos → gerar_resumo_analise.py audita completude e consistência → dashboard/relatório é liberado apenas se a auditoria não apontar problema. Para virar produto comercial, falta encaixar esse fluxo técnico dentro de um fluxo comercial-administrativo: onboarding do assinante → liberação de acesso → ciclo de cobrança recorrente → SLA de disponibilidade do relatório semanal → canal de suporte/dúvida.</w:t>
      </w:r>
    </w:p>
    <w:p>
      <w:pPr>
        <w:pStyle w:val="Heading2"/>
        <w:spacing w:after="120" w:before="260"/>
      </w:pPr>
      <w:r>
        <w:t xml:space="preserve">5.3 Compliance como processo, não como evento único</w:t>
      </w:r>
    </w:p>
    <w:p>
      <w:pPr>
        <w:spacing w:after="160" w:line="276"/>
      </w:pPr>
      <w:r>
        <w:t xml:space="preserve">Diferente de uma certificação que se obtém uma vez, o regime da Resolução CVM 20 impõe obrigações recorrentes (declarações de conflito de interesse, guarda de documentação da análise, entre outras). Isso deve ser tratado como linha de custo e processo operacional permanente a partir da Fase 1, não como barreira de entrada que, uma vez vencida, desaparece.</w:t>
      </w:r>
    </w:p>
    <w:p>
      <w:pPr>
        <w:pStyle w:val="Heading1"/>
        <w:spacing w:after="160" w:before="360"/>
      </w:pPr>
      <w:r>
        <w:t xml:space="preserve">6. Plano Financeiro (estimativa)</w:t>
      </w:r>
    </w:p>
    <w:p>
      <w:pPr>
        <w:spacing w:after="160" w:line="276"/>
      </w:pPr>
      <w:r>
        <w:t xml:space="preserve">Todos os números desta seção são placeholders explícitos, no mesmo espírito de transparência metodológica do plano da Malha: servem para testar se a ordem de grandeza do negócio faz sentido, não como orçamento definitivo. Ficam substituídos por dados reais assim que a Fase 0 (Seção 3.1) validar preço, conversão e custo real de compliance.</w:t>
      </w:r>
    </w:p>
    <w:p>
      <w:pPr>
        <w:pStyle w:val="Heading2"/>
        <w:spacing w:after="120" w:before="260"/>
      </w:pPr>
      <w:r>
        <w:t xml:space="preserve">6.1 Investimento inicial — estimado (Fase 0 + preparação da Fase 1)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700"/>
        <w:gridCol w:w="3850"/>
      </w:tblGrid>
      <w:tr>
        <w:tc>
          <w:tcPr>
            <w:tcW w:type="dxa" w:w="3800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700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Estimado (R$)</w:t>
            </w:r>
          </w:p>
        </w:tc>
        <w:tc>
          <w:tcPr>
            <w:tcW w:type="dxa" w:w="3850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38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Certificação CNPI-P (taxa de exame + material)</w:t>
            </w:r>
          </w:p>
        </w:tc>
        <w:tc>
          <w:tcPr>
            <w:tcW w:type="dxa" w:w="17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1.500 – 3.500</w:t>
            </w:r>
          </w:p>
        </w:tc>
        <w:tc>
          <w:tcPr>
            <w:tcW w:type="dxa" w:w="385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ainda não concluída — valor de mercado do exame ANBIMA/APIMEC e cursos preparatórios</w:t>
            </w:r>
          </w:p>
        </w:tc>
      </w:tr>
      <w:tr>
        <w:tc>
          <w:tcPr>
            <w:tcW w:type="dxa" w:w="38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Upgrade de licença de dados comercial (se exigido pelo provedor)</w:t>
            </w:r>
          </w:p>
        </w:tc>
        <w:tc>
          <w:tcPr>
            <w:tcW w:type="dxa" w:w="17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Indeterminado — a confirmar</w:t>
            </w:r>
          </w:p>
        </w:tc>
        <w:tc>
          <w:tcPr>
            <w:tcW w:type="dxa" w:w="385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Bloqueante: depende de resposta do provedor (Seção 2.4); pode inviabilizar o preço se o custo for alto</w:t>
            </w:r>
          </w:p>
        </w:tc>
      </w:tr>
      <w:tr>
        <w:tc>
          <w:tcPr>
            <w:tcW w:type="dxa" w:w="38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Ferramenta de billing/CRM (Asaas, Stripe ou similar)</w:t>
            </w:r>
          </w:p>
        </w:tc>
        <w:tc>
          <w:tcPr>
            <w:tcW w:type="dxa" w:w="17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 – 300/mês</w:t>
            </w:r>
          </w:p>
        </w:tc>
        <w:tc>
          <w:tcPr>
            <w:tcW w:type="dxa" w:w="385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Maioria cobra por transação, sem mensalidade fixa relevante em escala inicial</w:t>
            </w:r>
          </w:p>
        </w:tc>
      </w:tr>
      <w:tr>
        <w:tc>
          <w:tcPr>
            <w:tcW w:type="dxa" w:w="38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Landing page e infraestrutura de distribuição do dashboard</w:t>
            </w:r>
          </w:p>
        </w:tc>
        <w:tc>
          <w:tcPr>
            <w:tcW w:type="dxa" w:w="17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1.500 – 4.000</w:t>
            </w:r>
          </w:p>
        </w:tc>
        <w:tc>
          <w:tcPr>
            <w:tcW w:type="dxa" w:w="385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Pode reaproveitar o dashboard HTML já existente com adaptação de acesso/paywall</w:t>
            </w:r>
          </w:p>
        </w:tc>
      </w:tr>
      <w:tr>
        <w:tc>
          <w:tcPr>
            <w:tcW w:type="dxa" w:w="38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Marketing inicial (conteúdo, eventual mídia paga)</w:t>
            </w:r>
          </w:p>
        </w:tc>
        <w:tc>
          <w:tcPr>
            <w:tcW w:type="dxa" w:w="17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2.000 – 6.000</w:t>
            </w:r>
          </w:p>
        </w:tc>
        <w:tc>
          <w:tcPr>
            <w:tcW w:type="dxa" w:w="385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Fase 0/1 — validação de canal, não campanha de escala</w:t>
            </w:r>
          </w:p>
        </w:tc>
      </w:tr>
      <w:tr>
        <w:tc>
          <w:tcPr>
            <w:tcW w:type="dxa" w:w="38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 de oportunidade do tempo (Seção 3.2)</w:t>
            </w:r>
          </w:p>
        </w:tc>
        <w:tc>
          <w:tcPr>
            <w:tcW w:type="dxa" w:w="17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3.800 – 14.400</w:t>
            </w:r>
          </w:p>
        </w:tc>
        <w:tc>
          <w:tcPr>
            <w:tcW w:type="dxa" w:w="385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é caixa novo — é tempo que deixa de ir para o uso pessoal do sistema</w:t>
            </w:r>
          </w:p>
        </w:tc>
      </w:tr>
    </w:tbl>
    <w:p>
      <w:pPr>
        <w:pStyle w:val="Heading2"/>
        <w:spacing w:after="120" w:before="260"/>
      </w:pPr>
      <w:r>
        <w:t xml:space="preserve">6.2 Cenários de receita — mês 12 (regime de cruzeiro, se Fase 0 e 1 forem concluídas)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2450"/>
        <w:gridCol w:w="2900"/>
      </w:tblGrid>
      <w:tr>
        <w:tc>
          <w:tcPr>
            <w:tcW w:type="dxa" w:w="1900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100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Assinantes Individual</w:t>
            </w:r>
          </w:p>
        </w:tc>
        <w:tc>
          <w:tcPr>
            <w:tcW w:type="dxa" w:w="2450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Assinantes Trader/Mesa</w:t>
            </w:r>
          </w:p>
        </w:tc>
        <w:tc>
          <w:tcPr>
            <w:tcW w:type="dxa" w:w="2900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Cooperativas + resultado mensal aprox.</w:t>
            </w:r>
          </w:p>
        </w:tc>
      </w:tr>
      <w:tr>
        <w:tc>
          <w:tcPr>
            <w:tcW w:type="dxa" w:w="19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Pessimista</w:t>
            </w:r>
          </w:p>
        </w:tc>
        <w:tc>
          <w:tcPr>
            <w:tcW w:type="dxa" w:w="21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15 (R$ 97)</w:t>
            </w:r>
          </w:p>
        </w:tc>
        <w:tc>
          <w:tcPr>
            <w:tcW w:type="dxa" w:w="245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 (R$ 297)</w:t>
            </w:r>
          </w:p>
        </w:tc>
        <w:tc>
          <w:tcPr>
            <w:tcW w:type="dxa" w:w="29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 — receita ≈ R$ 2.346/mês, provavelmente insuficiente para cobrir custo de compliance recorrente</w:t>
            </w:r>
          </w:p>
        </w:tc>
      </w:tr>
      <w:tr>
        <w:tc>
          <w:tcPr>
            <w:tcW w:type="dxa" w:w="19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Provável</w:t>
            </w:r>
          </w:p>
        </w:tc>
        <w:tc>
          <w:tcPr>
            <w:tcW w:type="dxa" w:w="21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45 (R$ 127)</w:t>
            </w:r>
          </w:p>
        </w:tc>
        <w:tc>
          <w:tcPr>
            <w:tcW w:type="dxa" w:w="245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 (R$ 347)</w:t>
            </w:r>
          </w:p>
        </w:tc>
        <w:tc>
          <w:tcPr>
            <w:tcW w:type="dxa" w:w="29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contrato-piloto (R$ 2.000) — receita ≈ R$ 11.685/mês</w:t>
            </w:r>
          </w:p>
        </w:tc>
      </w:tr>
      <w:tr>
        <w:tc>
          <w:tcPr>
            <w:tcW w:type="dxa" w:w="19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Otimista</w:t>
            </w:r>
          </w:p>
        </w:tc>
        <w:tc>
          <w:tcPr>
            <w:tcW w:type="dxa" w:w="21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90 (R$ 147)</w:t>
            </w:r>
          </w:p>
        </w:tc>
        <w:tc>
          <w:tcPr>
            <w:tcW w:type="dxa" w:w="245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 (R$ 397)</w:t>
            </w:r>
          </w:p>
        </w:tc>
        <w:tc>
          <w:tcPr>
            <w:tcW w:type="dxa" w:w="2900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 contratos (R$ 2.500 cada) — receita ≈ R$ 26.870/mês</w:t>
            </w:r>
          </w:p>
        </w:tc>
      </w:tr>
    </w:tbl>
    <w:p>
      <w:pPr>
        <w:spacing w:after="160" w:line="276"/>
      </w:pPr>
      <w:r>
        <w:t xml:space="preserve">Leitura honesta: no cenário pessimista, a receita mensal não cobre nem o custo recorrente típico de manter compliance regulatória (documentação, eventuais taxas de manutenção de registro) — o que reforça a Seção 3.1: sem validar taxa de conversão real na Fase 0, comprometer a Fase 1 é apostar sem informação suficiente. O cenário provável só se sustenta com pelo menos um canal de cooperativa fechado — validando, mais uma vez, que o canal institucional da Seção 2.1 não é upside opcional, é o que separa "negócio viável" de "hobby caro".</w:t>
      </w:r>
    </w:p>
    <w:p>
      <w:pPr>
        <w:pStyle w:val="Heading2"/>
        <w:spacing w:after="120" w:before="260"/>
      </w:pPr>
      <w:r>
        <w:t xml:space="preserve">6.3 Indicadores de viabilidade — nota metodológica</w:t>
      </w:r>
    </w:p>
    <w:p>
      <w:pPr>
        <w:spacing w:after="160" w:line="276"/>
      </w:pPr>
      <w:r>
        <w:t xml:space="preserve">Diferente do plano da Malha, que já tinha estrutura de custo de hardware/instalação suficientemente conhecida para calcular payback e retorno percentual com confiança razoável, este projeto tem uma variável de custo hoje totalmente desconhecida — o valor da licença de redistribuição de dados (Seção 2.4/6.1). Calcular payback ou retorno percentual antes dessa resposta seria apresentar precisão que os dados não sustentam. A recomendação é tratar isso como métrica pendente, não estimá-la com placeholder disfarçado de número real.</w:t>
      </w:r>
    </w:p>
    <w:p>
      <w:pPr>
        <w:pStyle w:val="Heading1"/>
        <w:spacing w:after="160" w:before="360"/>
      </w:pPr>
      <w:r>
        <w:t xml:space="preserve">7. Análise FOFA (SWOT)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Forças</w:t>
            </w:r>
          </w:p>
        </w:tc>
        <w:tc>
          <w:tcPr>
            <w:tcW w:type="dxa" w:w="4675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Fraquezas</w:t>
            </w:r>
          </w:p>
        </w:tc>
      </w:tr>
      <w:tr>
        <w:tc>
          <w:tcPr>
            <w:tcW w:type="dxa" w:w="4675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Motor de decisão já construído e validado por backtest (WR e payoff documentados); 13 módulos sem sobreposição de método; auditoria de qualidade automática antes de qualquer entrega; protótipo de relatório para 3 públicos já existente</w:t>
            </w:r>
          </w:p>
        </w:tc>
        <w:tc>
          <w:tcPr>
            <w:tcW w:type="dxa" w:w="4675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Dependência de pessoa única em todo o pipeline técnico; sem credencial CNPI ainda confirmada como concluída; sem contrato de redistribuição de dados confirmado; sem histórico público de performance perante terceiros (só uso pessoal até hoje)</w:t>
            </w:r>
          </w:p>
        </w:tc>
      </w:tr>
    </w:tbl>
    <w:p>
      <w:pPr>
        <w:spacing w:before="2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Oportunidades</w:t>
            </w:r>
          </w:p>
        </w:tc>
        <w:tc>
          <w:tcPr>
            <w:tcW w:type="dxa" w:w="4675"/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Ameaças</w:t>
            </w:r>
          </w:p>
        </w:tc>
      </w:tr>
      <w:tr>
        <w:tc>
          <w:tcPr>
            <w:tcW w:type="dxa" w:w="4675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Lacuna real entre dado gratuito (CEPEA/CONAB) e contexto pago sem veredito acionável (StoneX/AgRural/DATAGRO); canal institucional de 1.254 cooperativas e 1,1 milhão de cooperados; safra recorde mantém o tema em pauta; mercado de agtech em forte crescimento estrutural no Brasil</w:t>
            </w:r>
          </w:p>
        </w:tc>
        <w:tc>
          <w:tcPr>
            <w:tcW w:type="dxa" w:w="4675"/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Enquadramento como analista não credenciado se a Fase 1 começar antes da CNPI (risco regulatório direto); disputa contratual com provedor de dados por redistribuição não autorizada; desgaste reputacional do mercado de "sinais de trading" no Brasil; liquidez do CCM menor que soja/boi, limitando o TAM de traders ativos</w:t>
            </w:r>
          </w:p>
        </w:tc>
      </w:tr>
    </w:tbl>
    <w:p>
      <w:pPr>
        <w:pStyle w:val="Heading1"/>
        <w:spacing w:after="160" w:before="360"/>
      </w:pPr>
      <w:r>
        <w:t xml:space="preserve">8. Riscos — Onde Assumir, Onde Mitigar</w:t>
      </w:r>
    </w:p>
    <w:p>
      <w:pPr>
        <w:pStyle w:val="Heading2"/>
        <w:spacing w:after="120" w:before="260"/>
      </w:pPr>
      <w:r>
        <w:t xml:space="preserve">Assumir conscientemente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Mercado nichado: o CCM tem liquidez menor que soja ou boi gordo — a base de traders ativos endereçável é estruturalmente menor. É a mesma lógica de trade-off do plano da Malha ao escolher projeto de médio/alto padrão em vez de kit avulso: menos volume, mais defensabilidade e menos concorrência direta.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Produtor rural paga pouco por informação abstrata: histórico de mercado mostra baixa disposição a pagar por conteúdo sem entrega física — mitigado, não eliminado, pelo canal cooperativa (custo de aquisição diluído) e pelo boletim gratuito como topo de funil.</w:t>
      </w:r>
    </w:p>
    <w:p>
      <w:pPr>
        <w:pStyle w:val="Heading2"/>
        <w:spacing w:after="120" w:before="260"/>
      </w:pPr>
      <w:r>
        <w:t xml:space="preserve">Mitigar ativamente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Regulatório (bloqueante): </w:t>
      </w:r>
      <w:r>
        <w:t xml:space="preserve">nenhuma venda de conteúdo com veredito de compra/venda antes da certificação CNPI-P estar formalmente concluída, ou antes de reformatar o produto como "informativo, sem recomendação" enquanto isso não acontece. Não é opcional, é pré-condição da Fase 1 (Seção 3.1).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Licença de dados (bloqueante): </w:t>
      </w:r>
      <w:r>
        <w:t xml:space="preserve">confirmar por escrito com o provedor (Genial/Nelogica) a permissão de redistribuição comercial de análises derivadas dos dados exportados, antes de precificar qualquer plano. Sem isso, todo o catálogo da Seção 4.2 é hipotético.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Dependência de pessoa única: </w:t>
      </w:r>
      <w:r>
        <w:t xml:space="preserve">documentar o pipeline e o processo de decisão de forma que não dependa de conhecimento tácito de uma pessoa só, antes de assumir compromisso de entrega recorrente com terceiros pagantes.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Reputação do segmento de "sinais": </w:t>
      </w:r>
      <w:r>
        <w:t xml:space="preserve">publicar o backtest e a metodologia de forma transparente desde o boletim gratuito — o rigor documentado é o diferencial competitivo real (Seção 2.3), mas só funciona como defesa reputacional se for público antes de pedir pagamento, não depois.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Sobreposição com o uso pessoal existente: </w:t>
      </w:r>
      <w:r>
        <w:t xml:space="preserve">formalizar que o Guia Operador/Bias Estrutural usados para operação pessoal e o produto comercial são a mesma fonte de dado, mas com camadas de acesso e responsabilidade distintas — evita que um ajuste feito para o uso pessoal quebre silenciosamente o produto vendido a terceiros, ou vice-versa.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Concentração em um único instrumento: </w:t>
      </w:r>
      <w:r>
        <w:t xml:space="preserve">mitigar dependência total do CCM avaliando, só depois de Fase 1 validada, extensão do mesmo motor para outro contrato agrícola líquido (ex. soja) — não antes, para não repetir o erro de "adicionar peças novas" que o próprio resumo executivo do projeto já identificou como risco de complexidade crescente sem validação prévia.</w:t>
      </w:r>
    </w:p>
    <w:p>
      <w:pPr>
        <w:pStyle w:val="Heading1"/>
        <w:spacing w:after="160" w:before="360"/>
      </w:pPr>
      <w:r>
        <w:t xml:space="preserve">9. Recomendação Final</w:t>
      </w:r>
    </w:p>
    <w:p>
      <w:pPr>
        <w:spacing w:after="160" w:line="276"/>
      </w:pPr>
      <w:r>
        <w:t xml:space="preserve">A tese comercial é sólida: existe lacuna real de mercado, existe ativo técnico validado, e existe canal institucional de escala (cooperativas) para diluir custo de aquisição num público historicamente resistente a pagar por informação abstrata. Isso não é o que está em dúvida.</w:t>
      </w:r>
    </w:p>
    <w:p>
      <w:pPr>
        <w:spacing w:after="160" w:line="276"/>
      </w:pPr>
      <w:r>
        <w:t xml:space="preserve">O que decide o projeto hoje não é demanda, nem preço, nem concorrência — é regulatório. Minha recomendação direta: não iniciar a Fase 1 (venda comercial com veredito de compra/venda) antes de resolver dois gates bloqueantes, e não simultaneamente com a venda, e sim antes dela — (1) confirmação por escrito da licença de redistribuição de dados junto ao provedor, e (2) conclusão (ou reformatação temporária do produto sem recomendação explícita, enquanto isso não acontece) da certificação CNPI-P.</w:t>
      </w:r>
    </w:p>
    <w:p>
      <w:pPr>
        <w:spacing w:after="160" w:line="276"/>
      </w:pPr>
      <w:r>
        <w:t xml:space="preserve">Se esses dois gates forem resolvidos, a sequência recomendada é: Fase 0 imediata, sem custo relevante além de tempo, testando o boletim gratuito com um grupo fechado dos três segmentos mapeados na Seção 2.2 — isso já começa a construir track record público e lista de interessados, sem esperar a burocracia terminar para começar a aprender com o mercado real. A Fase 1 (venda paga restrita) só deve começar depois dos dois gates fechados, mesmo que isso signifique alguns meses de atraso frente ao ritmo que o interesse comercial sugeriria.</w:t>
      </w:r>
    </w:p>
    <w:p>
      <w:pPr>
        <w:spacing w:after="160" w:line="276"/>
      </w:pPr>
      <w:r>
        <w:t xml:space="preserve">Se a decisão for assumir o risco regulatório conscientemente e vender antes da certificação — isso é uma escolha legítima do investidor, mas só se tomada de olhos abertos, com o risco de enquadramento pela CVM formalmente reconhecido antes da primeira venda, não descoberto depois.</w:t>
      </w:r>
    </w:p>
    <w:p>
      <w:pPr>
        <w:pStyle w:val="Heading1"/>
        <w:spacing w:after="160" w:before="360"/>
      </w:pPr>
      <w:r>
        <w:t xml:space="preserve">10. Próximos Passos — Roteiro de Coleta de Informações</w:t>
      </w:r>
    </w:p>
    <w:p>
      <w:pPr>
        <w:spacing w:after="160" w:line="276"/>
      </w:pPr>
      <w:r>
        <w:t xml:space="preserve">Antes deste plano deixar de ser um documento de placeholders, quatro blocos de informação real precisam ser levantados: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1. Contatar o provedor de dados (Genial/Nelogica) e obter resposta formal, por escrito, sobre redistribuição comercial de análises derivadas dos dados exportados — inclui perguntar sobre custo de eventual upgrade de licença.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2. Confirmar o status real da certificação CNPI-P: em andamento, data prevista de exame, ou já concluída — e ajustar o cronograma de todo o resto do plano em função dessa data real, não de uma data desejada.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3. Validar apetite comercial com 10-15 pessoas reais dos três segmentos (Seção 2.2), mostrando o boletim gratuito e perguntando diretamente sobre disposição a pagar e faixa de preço aceitável — antes de fixar o catálogo da Seção 4.2 como definitivo.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4. Conversar com 2-3 cooperativas regionais (Centro-Oeste ou Sul, forte presença em milho) para testar interesse no modelo de licenciamento B2B2B antes de desenhar contrato-piloto — sem isso, o Cenário Provável da Seção 6.2 permanece hipótese, não meta.</w:t>
      </w:r>
    </w:p>
    <w:p>
      <w:pPr>
        <w:pStyle w:val="Heading1"/>
        <w:spacing w:after="160" w:before="360"/>
      </w:pPr>
      <w:r>
        <w:t xml:space="preserve">Anexo A — Fontes Consultadas</w:t>
      </w:r>
    </w:p>
    <w:p>
      <w:pPr>
        <w:pStyle w:val="Heading2"/>
        <w:spacing w:after="120" w:before="260"/>
      </w:pPr>
      <w:r>
        <w:t xml:space="preserve">Mercado e safra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CONAB — Boletim da Safra de Grãos, 2º levantamento 2025/26 (safra recorde de milho revisada para 141,7 milhões de toneladas; produtividade recorde de 7.110 kg/ha).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Forbes Agro — "Conab eleva previsão para produção de milho no Brasil para 141,7 milhões de toneladas" (jul/2026).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CNN Brasil / Notícias Agrícolas — cobertura da revisão da safra de grãos 2025/26 pela CONAB (358 milhões de toneladas no total de grãos).</w:t>
      </w:r>
    </w:p>
    <w:p>
      <w:pPr>
        <w:pStyle w:val="Heading2"/>
        <w:spacing w:after="120" w:before="260"/>
      </w:pPr>
      <w:r>
        <w:t xml:space="preserve">Cooperativismo agropecuário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Sistema OCB — AnuárioCoop 2026 (1.254 cooperativas agropecuárias, 1.132.303 cooperados, R$ 487,3 bilhões em ingressos em 2025, 57,4% do cooperativismo brasileiro).</w:t>
      </w:r>
    </w:p>
    <w:p>
      <w:pPr>
        <w:pStyle w:val="Heading2"/>
        <w:spacing w:after="120" w:before="260"/>
      </w:pPr>
      <w:r>
        <w:t xml:space="preserve">Agtech e economia do agronegócio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Radar Agtech Brasil / PwC — Brasil concentra 83% das agtechs mapeadas na América Latina, crescimento de 75% entre 2019 e 2024.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Consumidor Moderno — participação do agronegócio no PIB brasileiro (~24,8% em 2022, ~US$ 500 bilhões).</w:t>
      </w:r>
    </w:p>
    <w:p>
      <w:pPr>
        <w:pStyle w:val="Heading2"/>
        <w:spacing w:after="120" w:before="260"/>
      </w:pPr>
      <w:r>
        <w:t xml:space="preserve">Concorrentes e preços de referência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StoneX — página de produto "Grãos Premium - Relatórios de Mercado" (loja.stonex.com): planos trimestral (R$ 2.750), semestral (R$ 5.190) e anual (R$ 8.405, equivalente a R$ 700/mês), público-alvo explicitamente listado como produtores, consultorias, cooperativas, mesas de hedge e gestores de fundos agro — mesmo público mapeado neste estudo.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AgRural — página "Inteligência de Mercado" (agrural.com.br): serviço sob medida, sem tabela pública de preço, para soja, milho e algodão.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DATAGRO — datagro.com e nutriNews: consultoria agrícola independente há 35 anos, indicador próprio de preço de milho.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Scot Consultoria — scotconsultoria.com.br: "Carta Grãos e Agricultura", conteúdo editorial sobre a revisão da CONAB.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CEPEA/Esalq-USP — cepea.org.br: relatórios agrícolas gratuitos de soja, milho, algodão e trigo.</w:t>
      </w:r>
    </w:p>
    <w:p>
      <w:pPr>
        <w:pStyle w:val="Heading2"/>
        <w:spacing w:after="120" w:before="260"/>
      </w:pPr>
      <w:r>
        <w:t xml:space="preserve">Regulação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CVM — Resolução CVM nº 20/2021 (regula a atividade de analista de valores mobiliários no Brasil).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APIMEC/ANBIMA — certificação CNPI (Certificado Nacional do Profissional de Investimento), referência de credenciamento citada neste plano.</w:t>
      </w:r>
    </w:p>
    <w:p>
      <w:pPr>
        <w:pStyle w:val="Heading2"/>
        <w:spacing w:after="120" w:before="260"/>
      </w:pPr>
      <w:r>
        <w:t xml:space="preserve">Metodologia e documentos internos do projeto Milho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milho_trader_resumo_executivo.md — objetivo do projeto, módulos do pipeline, e reconhecimento explícito de que a "Fase 4 (distribuição)" ainda não havia começado antes deste estudo.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GUIA_OPERADOR.md — lógica do veredito operacional (OPERAR / OPERAR REDUZIDO / NÃO OPERAR) usada como base da Seção 2.5 e da Seção 4.1.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gerar_relatorio.py / relatorio_cliente.html — protótipo já existente de relatório segmentado por público (trader, comprador, vendedor), base direta da Seção 2.2.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Estrutura e metodologia deste documento: adaptadas do Plano de Negócios Casa Inteligente (Malha), Vale do Paraíba REV1 — mesmo roteiro SEBRAE, mesma lógica de fases com gate (opções reais/Stage-Gate) e mesmo formato de seção de riscos "assumir x mitigar".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6"/>
        <w:szCs w:val="16"/>
      </w:rPr>
      <w:t xml:space="preserve">Página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75569"/>
        <w:sz w:val="16"/>
        <w:szCs w:val="16"/>
      </w:rPr>
      <w:t xml:space="preserve">MILHO INTELIGÊNCIA — Estudo de Viabilidade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45309" w:sz="6" w:space="4"/>
      </w:pBdr>
      <w:spacing w:after="160" w:before="360"/>
    </w:pPr>
    <w:rPr>
      <w:rFonts w:ascii="Calibri" w:cs="Calibri" w:eastAsia="Calibri" w:hAnsi="Calibri"/>
      <w:b/>
      <w:bCs/>
      <w:color w:val="B4530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E293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2026-08-05T00:19:04.042Z</dcterms:created>
  <dcterms:modified xsi:type="dcterms:W3CDTF">2026-08-05T00:19:04.043Z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