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60"/>
      </w:pPr>
      <w:r>
        <w:rPr>
          <w:rFonts w:ascii="Calibri" w:hAnsi="Calibri"/>
          <w:b/>
          <w:i w:val="0"/>
          <w:color w:val="2E74B5"/>
          <w:sz w:val="18"/>
        </w:rPr>
        <w:t>REFERÊNCIA OPERACIONAL DO SUPERADMIN</w:t>
      </w:r>
    </w:p>
    <w:p>
      <w:pPr>
        <w:spacing w:before="0" w:after="80"/>
      </w:pPr>
      <w:r>
        <w:rPr>
          <w:rFonts w:ascii="Calibri" w:hAnsi="Calibri"/>
          <w:b/>
          <w:i w:val="0"/>
          <w:color w:val="0B2545"/>
          <w:sz w:val="46"/>
        </w:rPr>
        <w:t>Escopo, Código e Configuração</w:t>
        <w:br/>
        <w:t>por Tipo de Solicitação</w:t>
      </w:r>
    </w:p>
    <w:p>
      <w:pPr>
        <w:spacing w:after="280"/>
      </w:pPr>
      <w:r>
        <w:rPr>
          <w:rFonts w:ascii="Calibri" w:hAnsi="Calibri"/>
          <w:b w:val="0"/>
          <w:i w:val="0"/>
          <w:color w:val="5C677D"/>
          <w:sz w:val="25"/>
        </w:rPr>
        <w:t>Comparação entre o documento FLUXY_Escopo_Solicitacoes_3 e o estado programado da Fluxy-V4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Data-base: </w:t>
      </w:r>
      <w:r>
        <w:rPr>
          <w:rFonts w:ascii="Calibri" w:hAnsi="Calibri"/>
          <w:b w:val="0"/>
          <w:i w:val="0"/>
          <w:color w:val="0B2545"/>
          <w:sz w:val="20"/>
        </w:rPr>
        <w:t>29/08/2026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Código analisado: </w:t>
      </w:r>
      <w:r>
        <w:rPr>
          <w:rFonts w:ascii="Calibri" w:hAnsi="Calibri"/>
          <w:b w:val="0"/>
          <w:i w:val="0"/>
          <w:color w:val="0B2545"/>
          <w:sz w:val="20"/>
        </w:rPr>
        <w:t>Fluxy-V4 - commit f2b5a42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Público: </w:t>
      </w:r>
      <w:r>
        <w:rPr>
          <w:rFonts w:ascii="Calibri" w:hAnsi="Calibri"/>
          <w:b w:val="0"/>
          <w:i w:val="0"/>
          <w:color w:val="0B2545"/>
          <w:sz w:val="20"/>
        </w:rPr>
        <w:t>Superadmin, gestores de processo e responsáveis pela implantação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Exclusão: </w:t>
      </w:r>
      <w:r>
        <w:rPr>
          <w:rFonts w:ascii="Calibri" w:hAnsi="Calibri"/>
          <w:b w:val="0"/>
          <w:i w:val="0"/>
          <w:color w:val="0B2545"/>
          <w:sz w:val="20"/>
        </w:rPr>
        <w:t>Geração comercial de contratos (seção 15 do escopo)</w:t>
      </w:r>
    </w:p>
    <w:p>
      <w:pPr>
        <w:spacing w:after="40"/>
      </w:pPr>
      <w:r>
        <w:rPr>
          <w:rFonts w:ascii="Calibri" w:hAnsi="Calibri"/>
          <w:b/>
          <w:i w:val="0"/>
          <w:color w:val="0B2545"/>
          <w:sz w:val="20"/>
        </w:rPr>
        <w:t xml:space="preserve">Inclusão: </w:t>
      </w:r>
      <w:r>
        <w:rPr>
          <w:rFonts w:ascii="Calibri" w:hAnsi="Calibri"/>
          <w:b w:val="0"/>
          <w:i w:val="0"/>
          <w:color w:val="0B2545"/>
          <w:sz w:val="20"/>
        </w:rPr>
        <w:t>Despesa Comercial, por ser solicitação de pagamento e não geração contratual</w:t>
      </w:r>
    </w:p>
    <w:p>
      <w:pPr>
        <w:spacing w:after="8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 maior parte dos fluxos está programada. O uso integral depende de parametrizações do Superadmin e de correções pontuais que não podem ser resolvidas por configuração.</w:t>
            </w:r>
          </w:p>
        </w:tc>
      </w:tr>
    </w:tbl>
    <w:p>
      <w:pPr>
        <w:spacing w:after="0"/>
      </w:pPr>
    </w:p>
    <w:p>
      <w:pPr>
        <w:pStyle w:val="Heading1"/>
      </w:pPr>
      <w:r>
        <w:t>Como usar esta matriz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Escopo: resume o comportamento solicitado no documento de referência.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Programado no código: registra funções que já existem no frontend, backend, banco ou serviços.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Configuração do Superadmin: lista cadastros e permissões necessários para ativar o fluxo sem alteração de código.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Pendências de código: identifica o que configuração não resolve e precisa voltar ao desenvolvimento.</w:t>
      </w:r>
    </w:p>
    <w:p>
      <w:pPr>
        <w:pStyle w:val="Heading1"/>
      </w:pPr>
      <w:r>
        <w:t>Resumo executivo</w:t>
      </w:r>
    </w:p>
    <w:p>
      <w:r>
        <w:t>A situação abaixo considera aderência ao escopo, existência do código e possibilidade de ativação pela interface administrativa. Operacional não significa ambiente já configurado; significa que não foi identificada lacuna crítica no núcleo do fluxo.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4E2"/>
          <w:left w:val="single" w:sz="6" w:color="C9D4E2"/>
          <w:bottom w:val="single" w:sz="6" w:color="C9D4E2"/>
          <w:right w:val="single" w:sz="6" w:color="C9D4E2"/>
          <w:insideH w:val="single" w:sz="6" w:color="C9D4E2"/>
          <w:insideV w:val="single" w:sz="6" w:color="C9D4E2"/>
        </w:tblBorders>
      </w:tblPr>
      <w:tblGrid>
        <w:gridCol w:w="2750"/>
        <w:gridCol w:w="1750"/>
        <w:gridCol w:w="1900"/>
        <w:gridCol w:w="2960"/>
      </w:tblGrid>
      <w:tr>
        <w:trPr>
          <w:tblHeader w:val="true"/>
        </w:trPr>
        <w:tc>
          <w:tcPr>
            <w:tcW w:type="dxa" w:w="2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Tipo de solicitação</w:t>
            </w:r>
          </w:p>
        </w:tc>
        <w:tc>
          <w:tcPr>
            <w:tcW w:type="dxa" w:w="1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Situação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Ação do Superadmin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  <w:jc w:val="left"/>
            </w:pPr>
            <w:r>
              <w:rPr>
                <w:rFonts w:ascii="Calibri" w:hAnsi="Calibri"/>
                <w:b/>
                <w:i w:val="0"/>
                <w:color w:val="0B2545"/>
                <w:sz w:val="18"/>
              </w:rPr>
              <w:t>Principal ponto pendente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ADM Local de Obra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Dados/documentos de pagamento genéricos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Locação de Máquinas e Equipamentos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Pagamento genérico e categorias de anexo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Abertura de Contrato de Compras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Aprovadores, nomes e estados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Medição de Contrato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Acumulado pago no card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Solicitação de Compra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Preço médio na criação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Compra Direta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Fornecedor, favorecido e preço médio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Recarga de Cartão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1F6B45"/>
                <w:sz w:val="17"/>
              </w:rPr>
              <w:t>OPERACIONAL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Cadastros e permissões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Sem lacuna crítica no núcleo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Despesa Eventual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9B1C1C"/>
                <w:sz w:val="17"/>
              </w:rPr>
              <w:t>BLOQUEADO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Exige ajuste de código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Ativação do fluxo pela interface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Despesa Administrativa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Vínculo automático com centro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Despesas de Marketing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Catálogo e vínculo com centro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Despesa Comercial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Catálogo e vínculo com centro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Admissão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Campos, obrigatoriedade e checklists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Movimentação de Pessoal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CRUD de cargos/checklists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Demissão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CRUD de checklists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Pagamento de Mão de Obra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7A5A00"/>
                <w:sz w:val="17"/>
              </w:rPr>
              <w:t>PARCIAL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Configurar e acompanhar correção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Tela detalhada e exportação</w:t>
            </w:r>
          </w:p>
        </w:tc>
      </w:tr>
      <w:tr>
        <w:tc>
          <w:tcPr>
            <w:tcW w:type="dxa" w:w="2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0B2545"/>
                <w:sz w:val="17"/>
              </w:rPr>
              <w:t>Assuntos Jurídicos</w:t>
            </w:r>
          </w:p>
        </w:tc>
        <w:tc>
          <w:tcPr>
            <w:tcW w:type="dxa" w:w="1750"/>
          </w:tcPr>
          <w:p>
            <w:pPr>
              <w:spacing w:after="0" w:line="264" w:lineRule="auto"/>
            </w:pPr>
            <w:r>
              <w:rPr>
                <w:rFonts w:ascii="Calibri" w:hAnsi="Calibri"/>
                <w:b/>
                <w:i w:val="0"/>
                <w:color w:val="2E74B5"/>
                <w:sz w:val="17"/>
              </w:rPr>
              <w:t>CONFIGURAR</w:t>
            </w:r>
          </w:p>
        </w:tc>
        <w:tc>
          <w:tcPr>
            <w:tcW w:type="dxa" w:w="190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Parametrizar campos e acesso</w:t>
            </w:r>
          </w:p>
        </w:tc>
        <w:tc>
          <w:tcPr>
            <w:tcW w:type="dxa" w:w="2960"/>
          </w:tcPr>
          <w:p>
            <w:pPr>
              <w:spacing w:after="0" w:line="264" w:lineRule="auto"/>
            </w:pPr>
            <w:r>
              <w:rPr>
                <w:rFonts w:ascii="Calibri" w:hAnsi="Calibri"/>
                <w:b w:val="0"/>
                <w:i w:val="0"/>
                <w:color w:val="0B2545"/>
                <w:sz w:val="17"/>
              </w:rPr>
              <w:t>Rótulo e simplificação do formulário</w:t>
            </w:r>
          </w:p>
        </w:tc>
      </w:tr>
    </w:tbl>
    <w:p>
      <w:r>
        <w:br w:type="page"/>
      </w:r>
    </w:p>
    <w:p>
      <w:pPr>
        <w:pStyle w:val="Heading1"/>
      </w:pPr>
      <w:r>
        <w:t>A. Solicitações operacionais de obra</w:t>
      </w:r>
    </w:p>
    <w:p>
      <w:pPr>
        <w:pStyle w:val="Heading2"/>
      </w:pPr>
      <w:r>
        <w:t>1. ADM Local de Obra (ADM_LOCAL_DE_OBRA)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Fluxo central programado; falta fechar documentação e pagamento genérico.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Solicitação independente, sem contrato e sem apropriação manual; a apropriação deve vir automaticamente do vínculo entre obra e tipo.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obra, subtipo diferente de Reembolso, justificativa, fornecedor, favorecido, valor, vencimento e forma de pagamento.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boleto ou dados de pagamento, além do comprovante da despesa.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código identifica o tipo, exige subtipo, justificativa, favorecido e forma de pagamento e habilita a apropriação automática por obra.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Quando a apropriação automática está ativa, os campos manuais de contrato e apropriação são ocultados no frontend e ignorados no backend.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PIX exige favorecido e chave PIX; boleto exige anexo específico; o comprovante geral pode ser marcado como obrigatório.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Configurações &gt; Apropriação por Obra e Tipo, vincular ADM Local à apropriação padrão de cada obra.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Subtipos, desativar Reembolso para ADM Local e revisar os demais subtipos permitidos.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Campos da Nova Solicitação, manter subtipo, justificativa, credor, favorecido, valor, vencimento, forma de pagamento e anexos como obrigatórios.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Formas da Nova Solicitação, ativar somente as formas aceitas; em Tipos por Setor e Permissões, liberar aos setores e usuários corretos.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o campo genérico Dados para pagamento para transferência e outras formas não PIX/não boleto.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Permitir exigir e classificar separadamente documento de pagamento e comprovante da despesa.</w:t>
      </w:r>
    </w:p>
    <w:p>
      <w:pPr>
        <w:pStyle w:val="Heading2"/>
      </w:pPr>
      <w:r>
        <w:t>2. Locação de Máquinas e Equipamentos (LOCACAO_DE_MAQ_EQ)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Apropriação automática pronta; regras obrigatórias dependem de parametrização.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Solicitação independente, sem contrato e sem apropriação manual, com apropriação automática por obra.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obra, justificativa, fornecedor, favorecido, valor, vencimento, forma de pagamento e documentação da despesa.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tipo já ativa a apropriação automática e o motor remove contrato e apropriação manual da tela.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formulário genérico já dispõe de credor, favorecido, justificativa, valor, vencimento, forma de pagamento e anexos configuráveis.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As validações comuns de PIX e boleto já são reutilizadas neste fluxo quando os campos são habilitados.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Vincular uma apropriação padrão de Locação para cada obra em Apropriação por Obra e Tipo.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Campos da Nova Solicitação, tornar obrigatórios justificativa, credor, favorecido, valor, vencimento, forma de pagamento e anexos.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Ativar as formas de pagamento aceitas e liberar o tipo nos setores/permissões correspondentes.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Dados para pagamento às formas diferentes de PIX e boleto.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Separar e validar documento de pagamento e comprovante da despesa como categorias obrigatórias.</w:t>
      </w:r>
    </w:p>
    <w:p>
      <w:pPr>
        <w:pStyle w:val="Heading2"/>
      </w:pPr>
      <w:r>
        <w:t>3. Abertura de Contrato de Compras (ABERTURA_DE_CONTRATO)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Fluxo contratual amplo implementado; regra de aprovadores diverge do documento.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Abaixo de R$ 50 mil: aprovação do gestor da obra; acima de R$ 50 mil: aprovação da Diretoria e envio ao Jurídico.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Registrar múltiplos contratados, favorecido, valor, prazo, apropriações, pagamento, previsões de parcelas e negociação detalhada.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Gerar número automático, controlar aditivos até 25% acumulados e manter documentos e histórico integral.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fluxo novo contempla código automático, múltiplos contratados, dados completos do parceiro, favorecido, pagamento, apropriações, parcelas e categoria financeira.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negociação detalhada é um documento obrigatório antes da aprovação; contratos acima do limite seguem pelo Jurídico e assinatura.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Aditivos, limite percentual, histórico, anexos, previsões e geração automática de títulos estão programados.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Encerrar contrato zera o saldo disponível e trata títulos ainda abertos.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Marcar o tipo com o comportamento Usar fluxo novo de contratos e configurar os campos de abertura.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Definir o limite de envio ao Jurídico, formas de pagamento e alertas contratuais.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Conceder permissões de criar, aprovar, analisar juridicamente, assinar, aditivar, medir e encerrar contrato.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parceiros/contratados, categorias financeiras e apropriações das obras devidamente cadastrados.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Confirmar e, se necessário, implementar a separação Gestor da obra abaixo do limite e Diretoria acima do limite. Hoje todos passam primeiro pela Gerência de Processos com permissão genérica.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Adequar os nomes e estados da Gestão de Contratos ao escopo: Contratado, Saldo, Aditivos, parcialmente medido, totalmente medido, concluído e rescindido.</w:t>
      </w:r>
    </w:p>
    <w:p>
      <w:pPr>
        <w:pStyle w:val="Heading2"/>
      </w:pPr>
      <w:r>
        <w:t>4. Medição de Contrato (MEDICAO)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Fluxo operacional e financeiro implementado; falta um indicador no card.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Mostrar valor do contrato, total medido, total pago e saldo considerando valores já comprometidos.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Gerar número automático da medição, bloquear valor acima do saldo e exigir valor, vencimento, período, pagamento e documentos.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Liberar o título financeiro quando a medição for aprovada.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card mostra valor do contrato, comprometido, saldo, valor da nova medição e saldo posterior, com bloqueio de excesso.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Período, parcelas, favorecido, forma de pagamento, PIX, boleto, outros dados de pagamento e arquivos da medição estão programados.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aprovação altera a previsão financeira para título aberto/liberado conforme o fluxo implantado.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Ativar o tipo MEDICAO nos setores corretos e configurar período, contrato, valor, vencimento e anexos como obrigatórios.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as formas de pagamento permitidas para medição.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Distribuir permissões de solicitar, aprovar, devolver e visualizar medições.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Exibir no card de criação o acumulado efetivamente pago, além do total comprometido/medido.</w:t>
      </w:r>
    </w:p>
    <w:p>
      <w:pPr>
        <w:pStyle w:val="Heading1"/>
      </w:pPr>
      <w:r>
        <w:t>B. Compras</w:t>
      </w:r>
    </w:p>
    <w:p>
      <w:pPr>
        <w:pStyle w:val="Heading2"/>
      </w:pPr>
      <w:r>
        <w:t>5. Solicitação de Compra (SOLICITACAO_DE_COMPRA)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Cadastro, rateio e fluxo de compras prontos; média histórica não aparece na criação.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obra, data de necessidade e itens com insumo, unidade, quantidade e apropriação.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Mostrar automaticamente o preço médio de cada item.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tela aceita itens de catálogo ou manuais, unidade, quantidade, prazo e rateio por apropriação.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fluxo segue para Compras, cotações, comparativo, fornecedores e fechamento.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Relatórios de compras calculam preço médio por insumo e fornecedor.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Liberar o tipo e as permissões do módulo Compras para solicitantes e compradores.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catálogo de insumos, unidades, obras, apropriações, fornecedores e parâmetros de cotação.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Tipos por Setor para que usuários de obra sejam redirecionados à tela correta.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Integrar o preço médio histórico ao formulário de inclusão do item. Hoje a tela mostra principalmente o último preço de compra.</w:t>
      </w:r>
    </w:p>
    <w:p>
      <w:pPr>
        <w:pStyle w:val="Heading2"/>
      </w:pPr>
      <w:r>
        <w:t>6. Compra Direta (COMPRA_DIRETA)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Totais, pagamento e documentos existem; fornecedor e favorecido precisam ser reforçados.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obra, fornecedor, favorecido, valor, vencimento, forma de pagamento e documentos.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Registrar itens com unidade, quantidade, valor unitário e apropriação, calculando total por item e total geral.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Mostrar preço médio para apoio à decisão.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tela calcula valor bruto, desconto, frete, total por item e total geral e suporta rateio por apropriação.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Existem forma de pagamento, dados de pagamento, boleto obrigatório, anexos e cadastro rápido de credor.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backend valida itens, vencimento, pagamentos, frete e totais.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Ativar COMPRA_DIRETA e liberar sua rota aos setores permitidos.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formas de pagamento, itens, unidades, apropriações e fornecedores ativos.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Conceder permissões de criar, revisar, aprovar e consultar compras diretas.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Tornar fornecedor/credor obrigatório no frontend e no backend.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favorecido separado do fornecedor e torná-lo obrigatório.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Mostrar preço médio histórico no formulário, não apenas o último preço.</w:t>
      </w:r>
    </w:p>
    <w:p>
      <w:pPr>
        <w:pStyle w:val="Heading1"/>
      </w:pPr>
      <w:r>
        <w:t>C. Pagamentos e despesas</w:t>
      </w:r>
    </w:p>
    <w:p>
      <w:pPr>
        <w:pStyle w:val="Heading2"/>
      </w:pPr>
      <w:r>
        <w:t>7. Recarga de Cartão (RECARGA_DE_CARTAO)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6F4EC"/>
          <w:left w:val="single" w:sz="4" w:color="E6F4EC"/>
          <w:bottom w:val="single" w:sz="4" w:color="E6F4EC"/>
          <w:right w:val="single" w:sz="4" w:color="E6F4EC"/>
          <w:insideH w:val="single" w:sz="4" w:color="E6F4EC"/>
          <w:insideV w:val="single" w:sz="4" w:color="E6F4E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6F4E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1F6B45"/>
                <w:sz w:val="20"/>
              </w:rPr>
              <w:t xml:space="preserve">OPERACIONAL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Fluxo especial programado; depende principalmente do cadastro de cartões e usuários.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cartões e usuários, permitindo ao usuário visualizar apenas seu cartão vinculado.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Bloquear nova recarga enquanto houver título aberto e exigir prestação/rateio após pagamento total ou parcial.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Mostrar última recarga e média para validação da Gerência de Processos.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Há cadastro de cartões, vínculo com usuário, validação de título aberto e controle do ciclo de prestação de contas.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usuário informa o valor e o sistema recupera cartão, última recarga e indicadores de média.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prestação aceita rateio por obra/centro de custo e exige comprovação da despesa antes de nova recarga.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Configurações &gt; Cartões de Recarga, cadastrar cartão, identificação, usuário responsável e estado ativo.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Liberar RECARGA_DE_CARTAO nos setores apropriados e conceder permissões de solicitar, validar e prestar contas.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Garantir que obras/centros de custo usados no rateio estejam ativos e acessíveis aos usuários.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Nenhuma pendência funcional relevante identificada no núcleo do fluxo; validar o funcionamento após os cadastros iniciais.</w:t>
      </w:r>
    </w:p>
    <w:p>
      <w:pPr>
        <w:pStyle w:val="Heading2"/>
      </w:pPr>
      <w:r>
        <w:t>8. Despesa Eventual (DESPESA_EVENTUAL)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CE8E8"/>
          <w:left w:val="single" w:sz="4" w:color="FCE8E8"/>
          <w:bottom w:val="single" w:sz="4" w:color="FCE8E8"/>
          <w:right w:val="single" w:sz="4" w:color="FCE8E8"/>
          <w:insideH w:val="single" w:sz="4" w:color="FCE8E8"/>
          <w:insideV w:val="single" w:sz="4" w:color="FCE8E8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CE8E8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9B1C1C"/>
                <w:sz w:val="20"/>
              </w:rPr>
              <w:t xml:space="preserve">BLOQUEADO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Motor programado, mas a ativação completa não pode ser feita apenas pela interface atual.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Limite por solicitação e limite acumulado por obra, com saldo visível e bloqueio quando ultrapassado.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Quatro subtipos, declarações obrigatórias, fornecedor, favorecido, valor, apropriação, vencimento, justificativa, pagamento e comprovante.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backend calcula limite por solicitação, limite da obra, saldo e comprometimento e valida as declarações.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frontend especial apresenta saldo, declarações, subtipo, justificativa, pagamento e comprovante obrigatório quando a flag do fluxo está ativa.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Os limites podem ser alterados pelo Superadmin em Configurações de Contratos, Alertas e Formas.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o tipo com código interno DESPESA_EVENTUAL, cadastrar os quatro subtipos e liberar o tipo por setor.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Definir limites por solicitação e por obra, formas de pagamento e campos obrigatórios.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permissões de criação, aprovação e visualização.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Expor na tela Tipos de Solicitação a opção Usar fluxo de Despesa Eventual. Sem isso, a configuração feita apenas pela interface não ativa o frontend especial.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Dados para pagamento às formas não PIX/não boleto.</w:t>
      </w:r>
    </w:p>
    <w:p>
      <w:pPr>
        <w:pStyle w:val="Heading2"/>
      </w:pPr>
      <w:r>
        <w:t>9. Despesa Administrativa (DESPESA_ADMINISTRATIVA)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Pode operar pelo formulário genérico; catálogo e vínculo com centros ainda precisam ser fechados.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Disponibilizar os subtipos administrativos previstos e vinculá-los aos centros administrativos de Guaçuí, Iriri e Norte.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centro/obra, fornecedor, favorecido, valor, vencimento, pagamento e documentos.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formulário genérico suporta centro de custo, credor, favorecido, valor, vencimento, pagamento e anexos configuráveis.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Centros de custo são cadastrados na mesma base de Obras com classificação CENTRO_CUSTO.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Subtipos podem ser usados como regra adicional de campos.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ou revisar os centros administrativos Guaçuí, Iriri e Norte.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e ativar todos os subtipos administrativos do escopo.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campos obrigatórios, formas de pagamento, anexos, Tipos por Setor e permissões.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Implementar o vínculo automático entre tipo/subtipo administrativo e os centros de custo permitidos.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Dados para pagamento e categorias separadas de documentos.</w:t>
      </w:r>
    </w:p>
    <w:p>
      <w:pPr>
        <w:pStyle w:val="Heading2"/>
      </w:pPr>
      <w:r>
        <w:t>10. Despesas de Marketing (DESPESAS_DE_MARKETING)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Estrutura genérica disponível; faltam catálogo, centro e vínculo automático.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Disponibilizar os subtipos de marketing do documento e vinculá-los ao centro de custo Marketing.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fornecedor, favorecido, valor, vencimento, pagamento e documentos.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tipo já existe e pode reutilizar credor, favorecido, valor, vencimento, forma de pagamento e anexos do formulário genérico.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sistema permite cadastrar um centro de custo Marketing e controlar acesso por setor e usuário.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o centro de custo Marketing.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e ativar os subtipos de marketing definidos no escopo.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campos obrigatórios, formas de pagamento, anexos e permissões.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Filtrar/vincular automaticamente o tipo e seus subtipos ao centro de custo Marketing.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Dados para pagamento e documentação categorizada no formulário genérico.</w:t>
      </w:r>
    </w:p>
    <w:p>
      <w:pPr>
        <w:pStyle w:val="Heading2"/>
      </w:pPr>
      <w:r>
        <w:t>11. Despesa Comercial (DESPESA_COMERCIAL)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Incluída nesta matriz por ser despesa; a geração comercial de contratos foi excluída.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os subtipos de despesa comercial e vinculá-los ao centro de custo Comercial.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fornecedor, favorecido, valor, vencimento, pagamento e documentos.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tipo já existe e utiliza o formulário genérico com campos configuráveis.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cadastro de centros de custo, permissões, formas de pagamento e anexos pode ser reutilizado.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o centro de custo Comercial.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os subtipos comerciais previstos no documento.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campos obrigatórios, formas de pagamento, Tipos por Setor e permissões.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Implementar o vínculo automático entre Despesa Comercial e o centro Comercial.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Dados para pagamento e documentação categorizada no formulário genérico.</w:t>
      </w:r>
    </w:p>
    <w:p>
      <w:pPr>
        <w:pStyle w:val="Heading1"/>
      </w:pPr>
      <w:r>
        <w:t>D. Recursos Humanos e Departamento Pessoal</w:t>
      </w:r>
    </w:p>
    <w:p>
      <w:pPr>
        <w:pStyle w:val="Heading2"/>
      </w:pPr>
      <w:r>
        <w:t>12. Admissão (ADMISSAO)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Fluxo específico existe; cadastro, obrigatoriedade e checklists ainda estão incompletos.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Coletar identificação, contato, filiação, endereço, dados bancários, cargo, salário, carga horária, vínculo, admissão e responsável pela contratação.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checklist documental completo antes do avanço.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Há tela específica de RH/DP com dados pessoais, empresa, obra, cargo, vínculo, carga horária, admissão, salário, contato, endereço, banco e PIX.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backend cria a solicitação, colaborador/vínculo e consulta documentos exigidos pelo tipo de processo.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Acesso e etapas podem ser controlados por permissões do módulo RH/DP.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empresas do grupo, obras, usuários responsáveis e permissões de RH/DP.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Popular catálogo de cargos e documentos obrigatórios quando houver interface administrativa disponível.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Revisar setores e usuários autorizados a abrir, analisar e concluir admissões.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RG, data de nascimento e sexo ao formulário de admissão.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Permitir selecionar o responsável pela contratação; hoje ele é derivado do solicitante.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Tornar obrigatórios no backend todos os campos definidos pelo escopo.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interface Superadmin para manter cargos e checklists/documentos exigidos.</w:t>
      </w:r>
    </w:p>
    <w:p>
      <w:pPr>
        <w:pStyle w:val="Heading2"/>
      </w:pPr>
      <w:r>
        <w:t>13. Movimentação de Pessoal (MOVIMENTACAO)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Seis modalidades programadas; operação completa depende dos catálogos de RH.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Tratar atestado, férias, retorno de afastamento, alteração salarial, alteração de cargo e transferência de obra.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Calcular dias de afastamento e exigir os documentos específicos de cada modalidade.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Os seis subtipos estão previstos no serviço e na tela de RH/DP.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Períodos de afastamento calculam automaticamente a quantidade de dias.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Alterações de cargo, salário e obra possuem campos próprios e o fluxo consulta checklist por modalidade.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Conceder permissões de abertura e análise de movimentações.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obras e cargos ativos e acessíveis.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os documentos exigidos por modalidade quando existir a tela administrativa de checklists.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a interface Superadmin para cargos e checklists; sem dados no catálogo, a trava documental não representa integralmente o escopo.</w:t>
      </w:r>
    </w:p>
    <w:p>
      <w:pPr>
        <w:pStyle w:val="Heading2"/>
      </w:pPr>
      <w:r>
        <w:t>14. Demissão (DEMISSAO)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Motivos e alertas programados; checklists dependem de cadastro ainda sem tela administrativa.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Registrar motivo, último dia trabalhado, aviso prévio, solicitante e situação de férias/pendências.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Bloquear avanço até que o checklist documental esteja completo.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tela contempla os motivos previstos, datas, aviso e alertas relacionados ao colaborador.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serviço de RH/DP controla a solicitação e pode exigir documentos conforme o checklist cadastrado.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permissões de solicitação e processamento de demissão.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os documentos obrigatórios e regras por motivo quando houver a interface de checklist.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vínculos e dados de férias dos colaboradores atualizados.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Disponibilizar CRUD Superadmin para checklists/documentos e assegurar que todas as travas documentais do escopo estejam populadas.</w:t>
      </w:r>
    </w:p>
    <w:p>
      <w:pPr>
        <w:pStyle w:val="Heading2"/>
      </w:pPr>
      <w:r>
        <w:t>15. Pagamento de Mão de Obra (PAGAMENTO_DE_MAO_DE_OBRA)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FFF4CC"/>
          <w:left w:val="single" w:sz="4" w:color="FFF4CC"/>
          <w:bottom w:val="single" w:sz="4" w:color="FFF4CC"/>
          <w:right w:val="single" w:sz="4" w:color="FFF4CC"/>
          <w:insideH w:val="single" w:sz="4" w:color="FFF4CC"/>
          <w:insideV w:val="single" w:sz="4" w:color="FFF4CC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FF4CC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7A5A00"/>
                <w:sz w:val="20"/>
              </w:rPr>
              <w:t xml:space="preserve">PARCIAL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Cálculo no backend é mais completo que a tela operacional.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Informar obra, competência, período e data prevista de pagamento.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Por colaborador, registrar dias, faltas, horas extras, adicional noturno, insalubridade, periculosidade, bonificação, descontos e observações.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Calcular salário proporcional, descontos, adicionais e gerar resumo/planilha, exigindo cartão de ponto e checklist.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backend possui campos e cálculos para jornada, faltas, extras, adicionais separados, descontos, bruto e líquido.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tela permite montar lista por obra e competência, informar jornada e substituir envios anteriores com proteção contra duplicidade.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apuração apresenta totais e valores por colaborador.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Conceder permissões de jornada, apuração, aprovação e pagamento.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colaboradores, salários, vínculos e obras atualizados.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cartão de ponto e demais documentos obrigatórios quando a interface de checklist existir.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Adicionar período inicial/final e data prevista de pagamento à tela operacional.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Separar na interface adicional noturno, insalubridade, periculosidade e bonificações; hoje aparecem como Acréscimos agregados.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Disponibilizar resumo detalhado e exportável/planilha com todos os cálculos exigidos.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Criar configuração administrativa dos documentos obrigatórios.</w:t>
      </w:r>
    </w:p>
    <w:p>
      <w:pPr>
        <w:pStyle w:val="Heading1"/>
      </w:pPr>
      <w:r>
        <w:t>E. Jurídico</w:t>
      </w:r>
    </w:p>
    <w:p>
      <w:pPr>
        <w:pStyle w:val="Heading2"/>
      </w:pPr>
      <w:r>
        <w:t>16. Assuntos Jurídicos (ASSUNTOS_JURIDICOS)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color="E8EEF5"/>
          <w:left w:val="single" w:sz="4" w:color="E8EEF5"/>
          <w:bottom w:val="single" w:sz="4" w:color="E8EEF5"/>
          <w:right w:val="single" w:sz="4" w:color="E8EEF5"/>
          <w:insideH w:val="single" w:sz="4" w:color="E8EEF5"/>
          <w:insideV w:val="single" w:sz="4" w:color="E8EEF5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before="20" w:after="20"/>
            </w:pPr>
            <w:r>
              <w:rPr>
                <w:rFonts w:ascii="Calibri" w:hAnsi="Calibri"/>
                <w:b/>
                <w:i w:val="0"/>
                <w:color w:val="2E74B5"/>
                <w:sz w:val="20"/>
              </w:rPr>
              <w:t xml:space="preserve">CONFIGURAR  </w:t>
            </w:r>
            <w:r>
              <w:rPr>
                <w:rFonts w:ascii="Calibri" w:hAnsi="Calibri"/>
                <w:b w:val="0"/>
                <w:i w:val="0"/>
                <w:color w:val="0B2545"/>
                <w:sz w:val="20"/>
              </w:rPr>
              <w:t>O formulário genérico atende funcionalmente, mas a configuração atual precisa ser simplificada.</w:t>
            </w:r>
          </w:p>
        </w:tc>
      </w:tr>
    </w:tbl>
    <w:p>
      <w:pPr>
        <w:spacing w:after="0"/>
      </w:pPr>
    </w:p>
    <w:p>
      <w:pPr>
        <w:pStyle w:val="Heading3"/>
        <w:keepNext/>
      </w:pPr>
      <w:r>
        <w:t>O que o escopo pede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Exigir obra e data de atenção, permitindo anexos opcionais.</w:t>
      </w:r>
    </w:p>
    <w:p>
      <w:pPr>
        <w:pStyle w:val="Heading3"/>
        <w:keepNext/>
      </w:pPr>
      <w:r>
        <w:t>O que está programado no código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formulário genérico possui obra/centro de custo, data, descrição e anexos configuráveis.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 tipo já existe e pode ser restrito ao setor Jurídico.</w:t>
      </w:r>
    </w:p>
    <w:p>
      <w:pPr>
        <w:pStyle w:val="Heading3"/>
        <w:keepNext/>
      </w:pPr>
      <w:r>
        <w:t>O que o Superadmin precisa configurar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Em Campos da Nova Solicitação, manter obra e data obrigatórias e anexos opcionais.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Ocultar credor, favorecido, valor, apropriação e pagamento quando não fizerem parte do processo jurídico.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Liberar o tipo apenas aos setores/usuários autorizados e revisar status do fluxo Jurídico.</w:t>
      </w:r>
    </w:p>
    <w:p>
      <w:pPr>
        <w:pStyle w:val="Heading3"/>
        <w:keepNext/>
      </w:pPr>
      <w:r>
        <w:t>Pendências que configuração não resolve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Renomear o rótulo Data de vencimento para Data de atenção neste tipo, caso a terminologia exata seja necessária; a configuração atual controla visibilidade e obrigatoriedade, não o rótulo por tipo.</w:t>
      </w:r>
    </w:p>
    <w:p>
      <w:pPr>
        <w:pStyle w:val="Heading1"/>
      </w:pPr>
      <w:r>
        <w:t>Checklist consolidado do Superadmin</w:t>
      </w:r>
    </w:p>
    <w:p>
      <w:r>
        <w:t>A sequência abaixo reduz o risco de habilitar um tipo antes de seus cadastros dependentes. Cada etapa deve ser validada primeiro em desenvolvimento.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Revisar Tipos de Solicitação: código interno, nome, status ativo e comportamento especial.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Cadastrar/revisar Subtipos e desativar opções proibidas, especialmente Reembolso em ADM Local.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Tipos de Solicitação por Setor e confirmar quais usuários podem iniciar cada fluxo.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Configurar Campos da Nova Solicitação por tipo, setor e, quando necessário, subtipo.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formas de pagamento da nova solicitação e formas específicas de contratos/medições.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Vincular apropriação automática por obra e tipo para ADM Local e Locação.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Revisar centros de custo administrativos e criar Marketing e Comercial.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Revisar permissões por usuário e padrões de permissão por função/setor.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Cadastrar cartões e responsáveis antes de liberar Recarga de Cartão.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Definir limites de Despesa Eventual e só liberar o tipo após a correção da flag administrativa.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Manter parceiros, favorecidos, categorias financeiras, itens, unidades e apropriações ativos.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Não liberar checklists de RH como concluídos enquanto cargos e documentos exigidos não estiverem populados e administráveis pela interface.</w:t>
      </w:r>
    </w:p>
    <w:p>
      <w:pPr>
        <w:pStyle w:val="Heading1"/>
      </w:pPr>
      <w:r>
        <w:t>Ordem recomendada de conclusão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1. Completar o pagamento genérico: dados para pagamento e categorias obrigatórias de documentos.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2. Corrigir Compra Direta: fornecedor obrigatório, favorecido separado e preço médio.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3. Permitir ativar Despesa Eventual integralmente pela interface do Superadmin.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4. Criar manutenção administrativa de cargos e checklists de RH.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5. Completar Admissão e Pagamento de Mão de Obra.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6. Confirmar a governança de aprovação dos contratos e ajustar nomes/estados da gestão contratual.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7. Implementar o vínculo automático entre despesas e centros de custo.</w:t>
      </w:r>
    </w:p>
    <w:p>
      <w:pPr>
        <w:pStyle w:val="Heading1"/>
      </w:pPr>
      <w:r>
        <w:t>Fontes e limites da análise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Documento de escopo: C:\Users\Ricardo\Downloads\Escopo de Alteracoes Fluxy\FLUXY_Escopo_Solicitacoes_3.docx.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Código analisado: C:\Users\Ricardo\Documents\Fluxy-V4, commit f2b5a42, em 29/08/2026.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Foram considerados frontend, backend, migrations estruturais e documentação de auditoria presente no repositório.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A classificação não substitui teste ponta a ponta com o banco e as permissões do ambiente de desenvolvimento.</w:t>
      </w:r>
    </w:p>
    <w:p>
      <w:pPr>
        <w:spacing w:after="80" w:line="300" w:lineRule="auto"/>
        <w:numPr>
          <w:ilvl w:val="0"/>
          <w:numId w:val="51"/>
        </w:numPr>
      </w:pPr>
      <w:r>
        <w:rPr>
          <w:rFonts w:ascii="Calibri" w:hAnsi="Calibri"/>
          <w:b w:val="0"/>
          <w:i w:val="0"/>
          <w:color w:val="0B2545"/>
          <w:sz w:val="21"/>
        </w:rPr>
        <w:t>Conteúdo da seção 15, geração comercial de contratos, foi deliberadamente excluído.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i w:val="0"/>
        <w:color w:val="5C677D"/>
        <w:sz w:val="17"/>
      </w:rPr>
      <w:t xml:space="preserve">Página </w:t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5C677D"/>
        <w:sz w:val="17"/>
      </w:rPr>
      <w:t>FLUXY  |  Matriz de Escopo e Configuração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51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1"/>
        <w:spacing w:after="80" w:line="300" w:lineRule="auto"/>
      </w:pPr>
      <w:rPr>
        <w:rFonts w:ascii="Calibri" w:hAnsi="Calibri"/>
      </w:rPr>
    </w:lvl>
  </w:abstractNum>
  <w:num w:numId="51">
    <w:abstractNumId w:val="5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FLUXY - Matriz de Escopo, Código e Configuração por Tipo</dc:title>
  <dc:subject>Referência operacional do Superadmin</dc:subject>
  <dc:creator>Fluxy</dc:creator>
  <cp:keywords>Fluxy, solicitações, Superadmin, escopo, configuração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