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 Express LLC -- Statement of Work</w:t>
      </w:r>
    </w:p>
    <w:p>
      <w:pPr>
        <w:pStyle w:val="Author"/>
      </w:pPr>
      <w:r>
        <w:t xml:space="preserve">Lexcom Systems Group USA, LLC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fd698a2bc3c5d079eddbf31dc1883a500f009f9"/>
    <w:p>
      <w:pPr>
        <w:pStyle w:val="Heading1"/>
      </w:pPr>
      <w:r>
        <w:t xml:space="preserve">Statement of Work – ES Express Dispatch Automation Platform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Lexcom Systems Group USA, LLC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ES Express LLC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2026-04-15 (supersedes 2026-04-13 draft)</w:t>
      </w:r>
    </w:p>
    <w:p>
      <w:r>
        <w:pict>
          <v:rect style="width:0;height:1.5pt" o:hralign="center" o:hrstd="t" o:hr="t"/>
        </w:pict>
      </w:r>
    </w:p>
    <w:bookmarkStart w:id="20" w:name="preamble"/>
    <w:p>
      <w:pPr>
        <w:pStyle w:val="Heading2"/>
      </w:pPr>
      <w:r>
        <w:t xml:space="preserve">Preamble</w:t>
      </w:r>
    </w:p>
    <w:p>
      <w:pPr>
        <w:pStyle w:val="FirstParagraph"/>
      </w:pPr>
      <w:r>
        <w:t xml:space="preserve">This Statement of Work formalizes the engagement between Lexcom</w:t>
      </w:r>
      <w:r>
        <w:t xml:space="preserve"> </w:t>
      </w:r>
      <w:r>
        <w:t xml:space="preserve">Systems Group USA, LLC and ES Express LLC to replace ES Express’s</w:t>
      </w:r>
      <w:r>
        <w:t xml:space="preserve"> </w:t>
      </w:r>
      <w:r>
        <w:t xml:space="preserve">manual spreadsheet-based dispatch workflow with an automated</w:t>
      </w:r>
      <w:r>
        <w:t xml:space="preserve"> </w:t>
      </w:r>
      <w:r>
        <w:t xml:space="preserve">platform (the</w:t>
      </w:r>
      <w:r>
        <w:t xml:space="preserve"> </w:t>
      </w:r>
      <w:r>
        <w:t xml:space="preserve">“</w:t>
      </w:r>
      <w:r>
        <w:t xml:space="preserve">Platform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We have been creatively engineering a system we hope gives your</w:t>
      </w:r>
      <w:r>
        <w:t xml:space="preserve"> </w:t>
      </w:r>
      <w:r>
        <w:t xml:space="preserve">team what you asked for, and juggling how to make that delivery</w:t>
      </w:r>
      <w:r>
        <w:t xml:space="preserve"> </w:t>
      </w:r>
      <w:r>
        <w:t xml:space="preserve">feel natural while the last remaining obstacle to a frictionless</w:t>
      </w:r>
      <w:r>
        <w:t xml:space="preserve"> </w:t>
      </w:r>
      <w:r>
        <w:t xml:space="preserve">flow – direct PCS OAuth access – remains open. The Platform has</w:t>
      </w:r>
      <w:r>
        <w:t xml:space="preserve"> </w:t>
      </w:r>
      <w:r>
        <w:t xml:space="preserve">been designed so that every piece that can operate today does,</w:t>
      </w:r>
      <w:r>
        <w:t xml:space="preserve"> </w:t>
      </w:r>
      <w:r>
        <w:t xml:space="preserve">and every piece that depends on the PCS unlock is pre-built and</w:t>
      </w:r>
      <w:r>
        <w:t xml:space="preserve"> </w:t>
      </w:r>
      <w:r>
        <w:t xml:space="preserve">waiting on their credentials.</w:t>
      </w:r>
    </w:p>
    <w:p>
      <w:pPr>
        <w:pStyle w:val="BodyText"/>
      </w:pPr>
      <w:r>
        <w:t xml:space="preserve">A complete timeline of deliverables through 2026-04-15 is attached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Exhibit A (Engagement Timeline)</w:t>
      </w:r>
      <w:r>
        <w:t xml:space="preserve"> </w:t>
      </w:r>
      <w:r>
        <w:t xml:space="preserve">and is incorporated into</w:t>
      </w:r>
      <w:r>
        <w:t xml:space="preserve"> </w:t>
      </w:r>
      <w:r>
        <w:t xml:space="preserve">this SOW by reference. That document maps each feature’s completion</w:t>
      </w:r>
      <w:r>
        <w:t xml:space="preserve"> </w:t>
      </w:r>
      <w:r>
        <w:t xml:space="preserve">date to commit-level evidence. We’re providing it alongside this</w:t>
      </w:r>
      <w:r>
        <w:t xml:space="preserve"> </w:t>
      </w:r>
      <w:r>
        <w:t xml:space="preserve">SOW so the engagement record is self-contained and independently</w:t>
      </w:r>
      <w:r>
        <w:t xml:space="preserve"> </w:t>
      </w:r>
      <w:r>
        <w:t xml:space="preserve">verifiable.</w:t>
      </w:r>
    </w:p>
    <w:p>
      <w:r>
        <w:pict>
          <v:rect style="width:0;height:1.5pt" o:hralign="center" o:hrstd="t" o:hr="t"/>
        </w:pict>
      </w:r>
    </w:p>
    <w:bookmarkEnd w:id="20"/>
    <w:bookmarkStart w:id="21" w:name="parties"/>
    <w:p>
      <w:pPr>
        <w:pStyle w:val="Heading2"/>
      </w:pPr>
      <w:r>
        <w:t xml:space="preserve">1. Parties</w:t>
      </w:r>
    </w:p>
    <w:p>
      <w:pPr>
        <w:pStyle w:val="FirstParagraph"/>
      </w:pPr>
      <w:r>
        <w:rPr>
          <w:bCs/>
          <w:b/>
        </w:rPr>
        <w:t xml:space="preserve">Provider:</w:t>
      </w:r>
      <w:r>
        <w:t xml:space="preserve"> </w:t>
      </w:r>
      <w:r>
        <w:t xml:space="preserve">Lexcom Systems Group USA, LLC (</w:t>
      </w:r>
      <w:r>
        <w:t xml:space="preserve">“</w:t>
      </w:r>
      <w:r>
        <w:t xml:space="preserve">Lexcom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ES Express LLC (</w:t>
      </w:r>
      <w:r>
        <w:t xml:space="preserve">“</w:t>
      </w:r>
      <w:r>
        <w:t xml:space="preserve">ES Express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5" w:name="scope-of-services"/>
    <w:p>
      <w:pPr>
        <w:pStyle w:val="Heading2"/>
      </w:pPr>
      <w:r>
        <w:t xml:space="preserve">2. Scope of Services</w:t>
      </w:r>
    </w:p>
    <w:p>
      <w:pPr>
        <w:pStyle w:val="FirstParagraph"/>
      </w:pPr>
      <w:r>
        <w:t xml:space="preserve">Lexcom will provide ES Express with access to and ongoing</w:t>
      </w:r>
      <w:r>
        <w:t xml:space="preserve"> </w:t>
      </w:r>
      <w:r>
        <w:t xml:space="preserve">development of a custom-configured dispatch automation platform</w:t>
      </w:r>
      <w:r>
        <w:t xml:space="preserve"> </w:t>
      </w:r>
      <w:r>
        <w:t xml:space="preserve">that replaces manual, spreadsheet-based dispatch workflows with</w:t>
      </w:r>
      <w:r>
        <w:t xml:space="preserve"> </w:t>
      </w:r>
      <w:r>
        <w:t xml:space="preserve">an automated system.</w:t>
      </w:r>
    </w:p>
    <w:bookmarkStart w:id="22" w:name="platform-capabilities-delivered"/>
    <w:p>
      <w:pPr>
        <w:pStyle w:val="Heading3"/>
      </w:pPr>
      <w:r>
        <w:t xml:space="preserve">2.1 Platform Capabilities – Delivered</w:t>
      </w:r>
    </w:p>
    <w:p>
      <w:pPr>
        <w:pStyle w:val="FirstParagraph"/>
      </w:pPr>
      <w:r>
        <w:t xml:space="preserve">The following capabilities are built, deployed, and operational as</w:t>
      </w:r>
      <w:r>
        <w:t xml:space="preserve"> </w:t>
      </w:r>
      <w:r>
        <w:t xml:space="preserve">of this SOW’s effective date. Per-feature commit evidence appears</w:t>
      </w:r>
      <w:r>
        <w:t xml:space="preserve"> </w:t>
      </w:r>
      <w:r>
        <w:t xml:space="preserve">in Exhibit A.</w:t>
      </w:r>
    </w:p>
    <w:p>
      <w:pPr>
        <w:pStyle w:val="BodyText"/>
      </w:pPr>
      <w:r>
        <w:rPr>
          <w:bCs/>
          <w:b/>
        </w:rPr>
        <w:t xml:space="preserve">Data ingestion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PropX API integration</w:t>
      </w:r>
      <w:r>
        <w:t xml:space="preserve"> </w:t>
      </w:r>
      <w:r>
        <w:t xml:space="preserve">– scheduled sync (4 AM CT full + every</w:t>
      </w:r>
      <w:r>
        <w:t xml:space="preserve"> </w:t>
      </w:r>
      <w:r>
        <w:t xml:space="preserve">4 hours refresh), field alias resolution, lbs-to-tons conversion,</w:t>
      </w:r>
      <w:r>
        <w:t xml:space="preserve"> </w:t>
      </w:r>
      <w:r>
        <w:t xml:space="preserve">schema-drift detection.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Logistiq carrier export</w:t>
      </w:r>
      <w:r>
        <w:t xml:space="preserve"> </w:t>
      </w:r>
      <w:r>
        <w:t xml:space="preserve">– 2-step JWT auth, order search,</w:t>
      </w:r>
      <w:r>
        <w:t xml:space="preserve"> </w:t>
      </w:r>
      <w:r>
        <w:t xml:space="preserve">carrier export API, 31-day chunking, cross-source deduplication.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JotForm driver submissions</w:t>
      </w:r>
      <w:r>
        <w:t xml:space="preserve"> </w:t>
      </w:r>
      <w:r>
        <w:t xml:space="preserve">– 30-minute scheduled sync; photo</w:t>
      </w:r>
      <w:r>
        <w:t xml:space="preserve"> </w:t>
      </w:r>
      <w:r>
        <w:t xml:space="preserve">URL allowlisting; field extraction (driver, BOL, weight, truck,</w:t>
      </w:r>
      <w:r>
        <w:t xml:space="preserve"> </w:t>
      </w:r>
      <w:r>
        <w:t xml:space="preserve">submission time).</w:t>
      </w:r>
    </w:p>
    <w:p>
      <w:pPr>
        <w:pStyle w:val="FirstParagraph"/>
      </w:pPr>
      <w:r>
        <w:rPr>
          <w:bCs/>
          <w:b/>
        </w:rPr>
        <w:t xml:space="preserve">Matching and reconciliation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Auto-matching engine</w:t>
      </w:r>
      <w:r>
        <w:t xml:space="preserve"> </w:t>
      </w:r>
      <w:r>
        <w:t xml:space="preserve">– three-strategy cascade (exact</w:t>
      </w:r>
      <w:r>
        <w:t xml:space="preserve"> </w:t>
      </w:r>
      <w:r>
        <w:t xml:space="preserve">ticket/BOL -&gt; exact load number -&gt; driver+date+weight fuzzy) with</w:t>
      </w:r>
      <w:r>
        <w:t xml:space="preserve"> </w:t>
      </w:r>
      <w:r>
        <w:t xml:space="preserve">tiered confidence scoring and photo verification gate.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Reconciliation service</w:t>
      </w:r>
      <w:r>
        <w:t xml:space="preserve"> </w:t>
      </w:r>
      <w:r>
        <w:t xml:space="preserve">– field-level comparison between</w:t>
      </w:r>
      <w:r>
        <w:t xml:space="preserve"> </w:t>
      </w:r>
      <w:r>
        <w:t xml:space="preserve">photo-extracted data and load records, with severity-classified</w:t>
      </w:r>
      <w:r>
        <w:t xml:space="preserve"> </w:t>
      </w:r>
      <w:r>
        <w:t xml:space="preserve">discrepancy surfacing (critical/warning/info).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field validators</w:t>
      </w:r>
      <w:r>
        <w:t xml:space="preserve"> </w:t>
      </w:r>
      <w:r>
        <w:t xml:space="preserve">– ported from the bol-ocr-pipeline</w:t>
      </w:r>
      <w:r>
        <w:t xml:space="preserve"> </w:t>
      </w:r>
      <w:r>
        <w:t xml:space="preserve">Python implementation; reject OCR output that parses as dates,</w:t>
      </w:r>
      <w:r>
        <w:t xml:space="preserve"> </w:t>
      </w:r>
      <w:r>
        <w:t xml:space="preserve">times, addresses, or tokens too short to be valid BOLs before</w:t>
      </w:r>
      <w:r>
        <w:t xml:space="preserve"> </w:t>
      </w:r>
      <w:r>
        <w:t xml:space="preserve">the matcher trusts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Feedback loop</w:t>
      </w:r>
      <w:r>
        <w:t xml:space="preserve"> </w:t>
      </w:r>
      <w:r>
        <w:t xml:space="preserve">– every manual correction writes a</w:t>
      </w:r>
      <w:r>
        <w:t xml:space="preserve"> </w:t>
      </w:r>
      <w:r>
        <w:t xml:space="preserve">driver-to-well signal that the matcher reads on subsequent</w:t>
      </w:r>
      <w:r>
        <w:t xml:space="preserve"> </w:t>
      </w:r>
      <w:r>
        <w:t xml:space="preserve">fuzzy-match disambiguation. Original OCR value preserved in</w:t>
      </w:r>
      <w:r>
        <w:t xml:space="preserve"> </w:t>
      </w:r>
      <w:r>
        <w:rPr>
          <w:rStyle w:val="VerbatimChar"/>
        </w:rPr>
        <w:t xml:space="preserve">original_ocr_bol_no</w:t>
      </w:r>
      <w:r>
        <w:t xml:space="preserve"> </w:t>
      </w:r>
      <w:r>
        <w:t xml:space="preserve">for future retraining pipelines.</w:t>
      </w:r>
    </w:p>
    <w:p>
      <w:pPr>
        <w:pStyle w:val="FirstParagraph"/>
      </w:pPr>
      <w:r>
        <w:rPr>
          <w:bCs/>
          <w:b/>
        </w:rPr>
        <w:t xml:space="preserve">Dispatcher surfaces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Dispatch Desk</w:t>
      </w:r>
      <w:r>
        <w:t xml:space="preserve"> </w:t>
      </w:r>
      <w:r>
        <w:t xml:space="preserve">– well-level workspace with Load Count Sheet</w:t>
      </w:r>
      <w:r>
        <w:t xml:space="preserve"> </w:t>
      </w:r>
      <w:r>
        <w:t xml:space="preserve">color mirroring, keyboard navigation (j/k), inline editable</w:t>
      </w:r>
      <w:r>
        <w:t xml:space="preserve"> </w:t>
      </w:r>
      <w:r>
        <w:t xml:space="preserve">fields (driver, truck, weight, BOL, notes, delivered date),</w:t>
      </w:r>
      <w:r>
        <w:t xml:space="preserve"> </w:t>
      </w:r>
      <w:r>
        <w:t xml:space="preserve">batch operations (Shift+A approve, Shift+E mark entered, Shift+V</w:t>
      </w:r>
      <w:r>
        <w:t xml:space="preserve"> </w:t>
      </w:r>
      <w:r>
        <w:t xml:space="preserve">validate), photo modal with lightbox, assignee chip with</w:t>
      </w:r>
      <w:r>
        <w:t xml:space="preserve"> </w:t>
      </w:r>
      <w:r>
        <w:t xml:space="preserve">per-user color, date range filter, auto-mapped well status.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Validation Workflow</w:t>
      </w:r>
      <w:r>
        <w:t xml:space="preserve"> </w:t>
      </w:r>
      <w:r>
        <w:t xml:space="preserve">– tier-bucketed queue (Tier 1 exact,</w:t>
      </w:r>
      <w:r>
        <w:t xml:space="preserve"> </w:t>
      </w:r>
      <w:r>
        <w:t xml:space="preserve">Tier 2 probable, Tier 3 fuzzy), inline editing, bulk approve.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BOL Queue</w:t>
      </w:r>
      <w:r>
        <w:t xml:space="preserve"> </w:t>
      </w:r>
      <w:r>
        <w:t xml:space="preserve">– reconciliation surface showing matched +</w:t>
      </w:r>
      <w:r>
        <w:t xml:space="preserve"> </w:t>
      </w:r>
      <w:r>
        <w:t xml:space="preserve">pending JotForm submissions with photo thumbnails, inline BOL</w:t>
      </w:r>
      <w:r>
        <w:t xml:space="preserve"> </w:t>
      </w:r>
      <w:r>
        <w:t xml:space="preserve">edit for OCR correction, manual-match flow for unmatched photos,</w:t>
      </w:r>
      <w:r>
        <w:t xml:space="preserve"> </w:t>
      </w:r>
      <w:r>
        <w:t xml:space="preserve">discrepancy panel for matched-with-mismatch cases.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Missed Loads Report</w:t>
      </w:r>
      <w:r>
        <w:t xml:space="preserve"> </w:t>
      </w:r>
      <w:r>
        <w:t xml:space="preserve">– on-demand diagnostic report</w:t>
      </w:r>
      <w:r>
        <w:t xml:space="preserve"> </w:t>
      </w:r>
      <w:r>
        <w:t xml:space="preserve">(duplicate BOLs, sync errors, loads missing critical fields,</w:t>
      </w:r>
      <w:r>
        <w:t xml:space="preserve"> </w:t>
      </w:r>
      <w:r>
        <w:t xml:space="preserve">stale-sync loads).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Archive</w:t>
      </w:r>
      <w:r>
        <w:t xml:space="preserve"> </w:t>
      </w:r>
      <w:r>
        <w:t xml:space="preserve">– read-only historical view of pre-cutoff loads.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– wells admin (rate flags, daily targets),</w:t>
      </w:r>
      <w:r>
        <w:t xml:space="preserve"> </w:t>
      </w:r>
      <w:r>
        <w:t xml:space="preserve">users admin (read-only roster).</w:t>
      </w:r>
    </w:p>
    <w:p>
      <w:pPr>
        <w:pStyle w:val="FirstParagraph"/>
      </w:pPr>
      <w:r>
        <w:rPr>
          <w:bCs/>
          <w:b/>
        </w:rPr>
        <w:t xml:space="preserve">Cross-cutting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Photo pipeline</w:t>
      </w:r>
      <w:r>
        <w:t xml:space="preserve"> </w:t>
      </w:r>
      <w:r>
        <w:t xml:space="preserve">– SSRF-safe proxy with content-type override,</w:t>
      </w:r>
      <w:r>
        <w:t xml:space="preserve"> </w:t>
      </w:r>
      <w:r>
        <w:t xml:space="preserve">inline-disposition rendering, 4,200+ photos currently flowing</w:t>
      </w:r>
      <w:r>
        <w:t xml:space="preserve"> </w:t>
      </w:r>
      <w:r>
        <w:t xml:space="preserve">through the pipeline.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Global search</w:t>
      </w:r>
      <w:r>
        <w:t xml:space="preserve"> </w:t>
      </w:r>
      <w:r>
        <w:t xml:space="preserve">– by BOL, ticket, load number, driver name.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– every assignment tracks state transitions with</w:t>
      </w:r>
      <w:r>
        <w:t xml:space="preserve"> </w:t>
      </w:r>
      <w:r>
        <w:t xml:space="preserve">user + timestamp. Every auto-match records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match_audit</w:t>
      </w:r>
      <w:r>
        <w:t xml:space="preserve"> </w:t>
      </w:r>
      <w:r>
        <w:t xml:space="preserve">jsonb for operator review.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Bridge workflow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Copy Report</w:t>
      </w:r>
      <w:r>
        <w:t xml:space="preserve">”</w:t>
      </w:r>
      <w:r>
        <w:t xml:space="preserve"> </w:t>
      </w:r>
      <w:r>
        <w:t xml:space="preserve">button exports</w:t>
      </w:r>
      <w:r>
        <w:t xml:space="preserve"> </w:t>
      </w:r>
      <w:r>
        <w:t xml:space="preserve">tab-separated ready-to-enter loads for paste into PCS pending</w:t>
      </w:r>
      <w:r>
        <w:t xml:space="preserve"> </w:t>
      </w:r>
      <w:r>
        <w:t xml:space="preserve">direct push integration.</w:t>
      </w:r>
    </w:p>
    <w:p>
      <w:pPr>
        <w:pStyle w:val="FirstParagraph"/>
      </w:pPr>
      <w:r>
        <w:rPr>
          <w:bCs/>
          <w:b/>
        </w:rPr>
        <w:t xml:space="preserve">Infrastructure</w:t>
      </w:r>
    </w:p>
    <w:p>
      <w:pPr>
        <w:numPr>
          <w:ilvl w:val="0"/>
          <w:numId w:val="1005"/>
        </w:numPr>
        <w:pStyle w:val="Compact"/>
      </w:pPr>
      <w:r>
        <w:t xml:space="preserve">Production deployments on Railway (backend, PostgreSQL) and</w:t>
      </w:r>
      <w:r>
        <w:t xml:space="preserve"> </w:t>
      </w:r>
      <w:r>
        <w:t xml:space="preserve">Vercel (frontend) at</w:t>
      </w:r>
      <w:r>
        <w:t xml:space="preserve"> </w:t>
      </w:r>
      <w:r>
        <w:rPr>
          <w:rStyle w:val="VerbatimChar"/>
        </w:rPr>
        <w:t xml:space="preserve">app.esexpressllc.com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JWT authentication with role-based access.</w:t>
      </w:r>
    </w:p>
    <w:p>
      <w:pPr>
        <w:numPr>
          <w:ilvl w:val="0"/>
          <w:numId w:val="1005"/>
        </w:numPr>
        <w:pStyle w:val="Compact"/>
      </w:pPr>
      <w:r>
        <w:t xml:space="preserve">Daily database backups; backups taken before every schema migration.</w:t>
      </w:r>
    </w:p>
    <w:p>
      <w:pPr>
        <w:numPr>
          <w:ilvl w:val="0"/>
          <w:numId w:val="1005"/>
        </w:numPr>
        <w:pStyle w:val="Compact"/>
      </w:pPr>
      <w:r>
        <w:t xml:space="preserve">Scheduled diagnostic runs (4-hour refresh, 30-minute JotForm</w:t>
      </w:r>
      <w:r>
        <w:t xml:space="preserve"> </w:t>
      </w:r>
      <w:r>
        <w:t xml:space="preserve">sync, daily auto-map).</w:t>
      </w:r>
    </w:p>
    <w:p>
      <w:pPr>
        <w:pStyle w:val="FirstParagraph"/>
      </w:pPr>
      <w:r>
        <w:rPr>
          <w:bCs/>
          <w:b/>
        </w:rPr>
        <w:t xml:space="preserve">PCS SOAP due-diligence engineering</w:t>
      </w:r>
    </w:p>
    <w:p>
      <w:pPr>
        <w:pStyle w:val="BodyText"/>
      </w:pPr>
      <w:r>
        <w:t xml:space="preserve">As engineering groundwork while the PCS REST API access process</w:t>
      </w:r>
      <w:r>
        <w:t xml:space="preserve"> </w:t>
      </w:r>
      <w:r>
        <w:t xml:space="preserve">(ticket DO-2821, opened 2026-03-13) proceeds through the vendor’s</w:t>
      </w:r>
      <w:r>
        <w:t xml:space="preserve"> </w:t>
      </w:r>
      <w:r>
        <w:t xml:space="preserve">standard intake, we built a working SOAP client against the</w:t>
      </w:r>
      <w:r>
        <w:t xml:space="preserve"> </w:t>
      </w:r>
      <w:r>
        <w:t xml:space="preserve">surfaces available to us. This lets the push-to-PCS flow be</w:t>
      </w:r>
      <w:r>
        <w:t xml:space="preserve"> </w:t>
      </w:r>
      <w:r>
        <w:t xml:space="preserve">validated end-to-end without taking any action that would require</w:t>
      </w:r>
      <w:r>
        <w:t xml:space="preserve"> </w:t>
      </w:r>
      <w:r>
        <w:t xml:space="preserve">formal REST credentials to be in place.</w:t>
      </w:r>
    </w:p>
    <w:p>
      <w:pPr>
        <w:numPr>
          <w:ilvl w:val="0"/>
          <w:numId w:val="1006"/>
        </w:numPr>
        <w:pStyle w:val="Compact"/>
      </w:pPr>
      <w:r>
        <w:t xml:space="preserve">PCS SOAP authentication, session management, circuit breaker.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UpdateLoadInfo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ClearRoutes</w:t>
      </w:r>
      <w:r>
        <w:t xml:space="preserve"> </w:t>
      </w:r>
      <w:r>
        <w:t xml:space="preserve">implemented.</w:t>
      </w:r>
    </w:p>
    <w:p>
      <w:pPr>
        <w:numPr>
          <w:ilvl w:val="0"/>
          <w:numId w:val="1006"/>
        </w:numPr>
        <w:pStyle w:val="Compact"/>
      </w:pPr>
      <w:r>
        <w:t xml:space="preserve">SOAP was not the intended long-term integration path; REST is.</w:t>
      </w:r>
      <w:r>
        <w:t xml:space="preserve"> </w:t>
      </w:r>
      <w:r>
        <w:t xml:space="preserve">This code exists as a safety net and validation tool while REST</w:t>
      </w:r>
      <w:r>
        <w:t xml:space="preserve"> </w:t>
      </w:r>
      <w:r>
        <w:t xml:space="preserve">credentials are pending.</w:t>
      </w:r>
    </w:p>
    <w:bookmarkEnd w:id="22"/>
    <w:bookmarkStart w:id="23" w:name="platform-capabilities-in-progress-gated"/>
    <w:p>
      <w:pPr>
        <w:pStyle w:val="Heading3"/>
      </w:pPr>
      <w:r>
        <w:t xml:space="preserve">2.2 Platform Capabilities – In Progress / Gated</w:t>
      </w:r>
    </w:p>
    <w:p>
      <w:pPr>
        <w:pStyle w:val="FirstParagraph"/>
      </w:pPr>
      <w:r>
        <w:t xml:space="preserve">These capabilities are built, pre-built, or actively in flight;</w:t>
      </w:r>
      <w:r>
        <w:t xml:space="preserve"> </w:t>
      </w:r>
      <w:r>
        <w:t xml:space="preserve">each is listed with the dependency that controls its delivery.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PCS REST Direct Integration</w:t>
      </w:r>
      <w:r>
        <w:t xml:space="preserve"> </w:t>
      </w:r>
      <w:r>
        <w:t xml:space="preserve">– Replaces the current</w:t>
      </w:r>
      <w:r>
        <w:t xml:space="preserve"> </w:t>
      </w:r>
      <w:r>
        <w:t xml:space="preserve">“</w:t>
      </w:r>
      <w:r>
        <w:t xml:space="preserve">Copy</w:t>
      </w:r>
      <w:r>
        <w:t xml:space="preserve"> </w:t>
      </w:r>
      <w:r>
        <w:t xml:space="preserve">Report -&gt; paste into PCS</w:t>
      </w:r>
      <w:r>
        <w:t xml:space="preserve">”</w:t>
      </w:r>
      <w:r>
        <w:t xml:space="preserve"> </w:t>
      </w:r>
      <w:r>
        <w:t xml:space="preserve">workflow with a one-click</w:t>
      </w:r>
      <w:r>
        <w:t xml:space="preserve"> </w:t>
      </w:r>
      <w:r>
        <w:t xml:space="preserve">“</w:t>
      </w:r>
      <w:r>
        <w:t xml:space="preserve">Push to PCS</w:t>
      </w:r>
      <w:r>
        <w:t xml:space="preserve">”</w:t>
      </w:r>
      <w:r>
        <w:t xml:space="preserve"> </w:t>
      </w:r>
      <w:r>
        <w:t xml:space="preserve">button per load and a batch-push action. Our REST</w:t>
      </w:r>
      <w:r>
        <w:t xml:space="preserve"> </w:t>
      </w:r>
      <w:r>
        <w:t xml:space="preserve">client library, request/response contracts, and integration</w:t>
      </w:r>
      <w:r>
        <w:t xml:space="preserve"> </w:t>
      </w:r>
      <w:r>
        <w:t xml:space="preserve">path are pre-built; activation is gated on receipt of OAuth</w:t>
      </w:r>
      <w:r>
        <w:t xml:space="preserve"> </w:t>
      </w:r>
      <w:r>
        <w:t xml:space="preserve">credentials from PCS. PCS REST API request submitted</w:t>
      </w:r>
      <w:r>
        <w:t xml:space="preserve"> </w:t>
      </w:r>
      <w:r>
        <w:t xml:space="preserve">2026-03-09.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Income &amp; Clearing Spreadsheet / Report</w:t>
      </w:r>
      <w:r>
        <w:t xml:space="preserve"> </w:t>
      </w:r>
      <w:r>
        <w:t xml:space="preserve">– Reporting capability</w:t>
      </w:r>
      <w:r>
        <w:t xml:space="preserve"> </w:t>
      </w:r>
      <w:r>
        <w:t xml:space="preserve">matching the current PCS Reporter workflows for billing, payroll,</w:t>
      </w:r>
      <w:r>
        <w:t xml:space="preserve"> </w:t>
      </w:r>
      <w:r>
        <w:t xml:space="preserve">and clearing reconciliation. This deliverable was covered on</w:t>
      </w:r>
      <w:r>
        <w:t xml:space="preserve"> </w:t>
      </w:r>
      <w:r>
        <w:t xml:space="preserve">the final dispatch-team call and is</w:t>
      </w:r>
      <w:r>
        <w:t xml:space="preserve"> </w:t>
      </w:r>
      <w:r>
        <w:rPr>
          <w:bCs/>
          <w:b/>
        </w:rPr>
        <w:t xml:space="preserve">delivered as dictated by</w:t>
      </w:r>
      <w:r>
        <w:rPr>
          <w:bCs/>
          <w:b/>
        </w:rPr>
        <w:t xml:space="preserve"> </w:t>
      </w:r>
      <w:r>
        <w:rPr>
          <w:bCs/>
          <w:b/>
        </w:rPr>
        <w:t xml:space="preserve">this SOW upon signoff/agreement.</w:t>
      </w:r>
      <w:r>
        <w:t xml:space="preserve"> </w:t>
      </w:r>
      <w:r>
        <w:t xml:space="preserve">Scope, columns, and refresh</w:t>
      </w:r>
      <w:r>
        <w:t xml:space="preserve"> </w:t>
      </w:r>
      <w:r>
        <w:t xml:space="preserve">cadence to be finalized in the kickoff of this line item.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Matcher accuracy climb</w:t>
      </w:r>
      <w:r>
        <w:t xml:space="preserve"> </w:t>
      </w:r>
      <w:r>
        <w:t xml:space="preserve">– Continuous compounding improvement</w:t>
      </w:r>
      <w:r>
        <w:t xml:space="preserve"> </w:t>
      </w:r>
      <w:r>
        <w:t xml:space="preserve">of auto-matching accuracy through the team’s correction volume.</w:t>
      </w:r>
      <w:r>
        <w:t xml:space="preserve"> </w:t>
      </w:r>
      <w:r>
        <w:t xml:space="preserve">Mechanical, ongoing; no additional deliverable required.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Near-term enhancements under collaborative scoping</w:t>
      </w:r>
      <w:r>
        <w:t xml:space="preserve"> </w:t>
      </w:r>
      <w:r>
        <w:t xml:space="preserve">– Additional</w:t>
      </w:r>
      <w:r>
        <w:t xml:space="preserve"> </w:t>
      </w:r>
      <w:r>
        <w:t xml:space="preserve">capabilities we anticipate developing as the engagement matures,</w:t>
      </w:r>
      <w:r>
        <w:t xml:space="preserve"> </w:t>
      </w:r>
      <w:r>
        <w:t xml:space="preserve">each sized and prioritized in ongoing conversation with ES Express.</w:t>
      </w:r>
      <w:r>
        <w:t xml:space="preserve"> </w:t>
      </w:r>
      <w:r>
        <w:t xml:space="preserve">Current candidates include user-management enhancements (invite</w:t>
      </w:r>
      <w:r>
        <w:t xml:space="preserve"> </w:t>
      </w:r>
      <w:r>
        <w:t xml:space="preserve">flow, password reset, optional SSO evaluation), a notification and</w:t>
      </w:r>
      <w:r>
        <w:t xml:space="preserve"> </w:t>
      </w:r>
      <w:r>
        <w:t xml:space="preserve">teammate-assignment surface, and the staged evolution of the</w:t>
      </w:r>
      <w:r>
        <w:t xml:space="preserve"> </w:t>
      </w:r>
      <w:r>
        <w:t xml:space="preserve">Validation workflow into the Dispatch Desk as matcher accuracy</w:t>
      </w:r>
      <w:r>
        <w:t xml:space="preserve"> </w:t>
      </w:r>
      <w:r>
        <w:t xml:space="preserve">supports it. These are included within the scope of the monthly</w:t>
      </w:r>
      <w:r>
        <w:t xml:space="preserve"> </w:t>
      </w:r>
      <w:r>
        <w:t xml:space="preserve">fee and delivered iteratively; exact timing tracks team priorities</w:t>
      </w:r>
      <w:r>
        <w:t xml:space="preserve"> </w:t>
      </w:r>
      <w:r>
        <w:t xml:space="preserve">and cannot be firm-dated in advance.</w:t>
      </w:r>
    </w:p>
    <w:bookmarkEnd w:id="23"/>
    <w:bookmarkStart w:id="24" w:name="out-of-scope-explicit"/>
    <w:p>
      <w:pPr>
        <w:pStyle w:val="Heading3"/>
      </w:pPr>
      <w:r>
        <w:t xml:space="preserve">2.3 Out of Scope (explicit)</w:t>
      </w:r>
    </w:p>
    <w:p>
      <w:pPr>
        <w:pStyle w:val="FirstParagraph"/>
      </w:pPr>
      <w:r>
        <w:t xml:space="preserve">The following are not covered by this SOW and would be scoped</w:t>
      </w:r>
      <w:r>
        <w:t xml:space="preserve"> </w:t>
      </w:r>
      <w:r>
        <w:t xml:space="preserve">separately if requested:</w:t>
      </w:r>
    </w:p>
    <w:p>
      <w:pPr>
        <w:numPr>
          <w:ilvl w:val="0"/>
          <w:numId w:val="1008"/>
        </w:numPr>
        <w:pStyle w:val="Compact"/>
      </w:pPr>
      <w:r>
        <w:t xml:space="preserve">Native mobile applications for iOS/Android</w:t>
      </w:r>
    </w:p>
    <w:p>
      <w:pPr>
        <w:numPr>
          <w:ilvl w:val="0"/>
          <w:numId w:val="1008"/>
        </w:numPr>
        <w:pStyle w:val="Compact"/>
      </w:pPr>
      <w:r>
        <w:t xml:space="preserve">PCS replacement / white-label dispatch competitor</w:t>
      </w:r>
    </w:p>
    <w:p>
      <w:pPr>
        <w:numPr>
          <w:ilvl w:val="0"/>
          <w:numId w:val="1008"/>
        </w:numPr>
        <w:pStyle w:val="Compact"/>
      </w:pPr>
      <w:r>
        <w:t xml:space="preserve">Driver-facing mobile app</w:t>
      </w:r>
    </w:p>
    <w:p>
      <w:pPr>
        <w:numPr>
          <w:ilvl w:val="0"/>
          <w:numId w:val="1008"/>
        </w:numPr>
        <w:pStyle w:val="Compact"/>
      </w:pPr>
      <w:r>
        <w:t xml:space="preserve">Third-party user licenses (JotForm, PropX, Logistiq, PCS</w:t>
      </w:r>
      <w:r>
        <w:t xml:space="preserve"> </w:t>
      </w:r>
      <w:r>
        <w:t xml:space="preserve">subscriptions remain ES Express’s responsibility)</w:t>
      </w:r>
    </w:p>
    <w:p>
      <w:pPr>
        <w:numPr>
          <w:ilvl w:val="0"/>
          <w:numId w:val="1008"/>
        </w:numPr>
        <w:pStyle w:val="Compact"/>
      </w:pPr>
      <w:r>
        <w:t xml:space="preserve">Integration with systems not listed in Section 2.1 or 2.2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ompensation"/>
    <w:p>
      <w:pPr>
        <w:pStyle w:val="Heading2"/>
      </w:pPr>
      <w:r>
        <w:t xml:space="preserve">3. Compensation</w:t>
      </w:r>
    </w:p>
    <w:bookmarkStart w:id="26" w:name="monthly-fee"/>
    <w:p>
      <w:pPr>
        <w:pStyle w:val="Heading3"/>
      </w:pPr>
      <w:r>
        <w:t xml:space="preserve">3.1 Monthly Fee</w:t>
      </w:r>
    </w:p>
    <w:p>
      <w:pPr>
        <w:pStyle w:val="FirstParagraph"/>
      </w:pPr>
      <w:r>
        <w:t xml:space="preserve">ES Express agrees to pay Lexcom</w:t>
      </w:r>
      <w:r>
        <w:t xml:space="preserve"> </w:t>
      </w:r>
      <w:r>
        <w:rPr>
          <w:bCs/>
          <w:b/>
        </w:rPr>
        <w:t xml:space="preserve">$5,500.00 USD per month</w:t>
      </w:r>
      <w:r>
        <w:t xml:space="preserve"> </w:t>
      </w:r>
      <w:r>
        <w:t xml:space="preserve">for</w:t>
      </w:r>
      <w:r>
        <w:t xml:space="preserve"> </w:t>
      </w:r>
      <w:r>
        <w:t xml:space="preserve">the services described in this SOW.</w:t>
      </w:r>
    </w:p>
    <w:bookmarkEnd w:id="26"/>
    <w:bookmarkStart w:id="27" w:name="what-the-monthly-fee-includes"/>
    <w:p>
      <w:pPr>
        <w:pStyle w:val="Heading3"/>
      </w:pPr>
      <w:r>
        <w:t xml:space="preserve">3.2 What the Monthly Fee Includes</w:t>
      </w:r>
    </w:p>
    <w:p>
      <w:pPr>
        <w:numPr>
          <w:ilvl w:val="0"/>
          <w:numId w:val="1009"/>
        </w:numPr>
        <w:pStyle w:val="Compact"/>
      </w:pPr>
      <w:r>
        <w:t xml:space="preserve">Full access to the Platform for all ES Express users (no</w:t>
      </w:r>
      <w:r>
        <w:t xml:space="preserve"> </w:t>
      </w:r>
      <w:r>
        <w:t xml:space="preserve">per-user fees)</w:t>
      </w:r>
    </w:p>
    <w:p>
      <w:pPr>
        <w:numPr>
          <w:ilvl w:val="0"/>
          <w:numId w:val="1009"/>
        </w:numPr>
        <w:pStyle w:val="Compact"/>
      </w:pPr>
      <w:r>
        <w:t xml:space="preserve">Hosting and infrastructure (Railway, Vercel, PostgreSQL, file</w:t>
      </w:r>
      <w:r>
        <w:t xml:space="preserve"> </w:t>
      </w:r>
      <w:r>
        <w:t xml:space="preserve">storage)</w:t>
      </w:r>
    </w:p>
    <w:p>
      <w:pPr>
        <w:numPr>
          <w:ilvl w:val="0"/>
          <w:numId w:val="1009"/>
        </w:numPr>
        <w:pStyle w:val="Compact"/>
      </w:pPr>
      <w:r>
        <w:t xml:space="preserve">Ongoing support, bug fixes, and maintenance</w:t>
      </w:r>
    </w:p>
    <w:p>
      <w:pPr>
        <w:numPr>
          <w:ilvl w:val="0"/>
          <w:numId w:val="1009"/>
        </w:numPr>
        <w:pStyle w:val="Compact"/>
      </w:pPr>
      <w:r>
        <w:t xml:space="preserve">Continued feature development and accuracy improvements within</w:t>
      </w:r>
      <w:r>
        <w:t xml:space="preserve"> </w:t>
      </w:r>
      <w:r>
        <w:t xml:space="preserve">the scope defined in Section 2</w:t>
      </w:r>
    </w:p>
    <w:p>
      <w:pPr>
        <w:numPr>
          <w:ilvl w:val="0"/>
          <w:numId w:val="1009"/>
        </w:numPr>
        <w:pStyle w:val="Compact"/>
      </w:pPr>
      <w:r>
        <w:t xml:space="preserve">Data backup and disaster recovery</w:t>
      </w:r>
    </w:p>
    <w:p>
      <w:pPr>
        <w:numPr>
          <w:ilvl w:val="0"/>
          <w:numId w:val="1009"/>
        </w:numPr>
        <w:pStyle w:val="Compact"/>
      </w:pPr>
      <w:r>
        <w:t xml:space="preserve">Regular communication and progress updates with the dispatch</w:t>
      </w:r>
      <w:r>
        <w:t xml:space="preserve"> </w:t>
      </w:r>
      <w:r>
        <w:t xml:space="preserve">team and ES Express leadership</w:t>
      </w:r>
    </w:p>
    <w:bookmarkEnd w:id="27"/>
    <w:bookmarkStart w:id="28" w:name="what-the-monthly-fee-does-not-include"/>
    <w:p>
      <w:pPr>
        <w:pStyle w:val="Heading3"/>
      </w:pPr>
      <w:r>
        <w:t xml:space="preserve">3.3 What the Monthly Fee Does Not Include</w:t>
      </w:r>
    </w:p>
    <w:p>
      <w:pPr>
        <w:numPr>
          <w:ilvl w:val="0"/>
          <w:numId w:val="1010"/>
        </w:numPr>
        <w:pStyle w:val="Compact"/>
      </w:pPr>
      <w:r>
        <w:t xml:space="preserve">Third-party API subscriptions ES Express pays directly (PropX,</w:t>
      </w:r>
      <w:r>
        <w:t xml:space="preserve"> </w:t>
      </w:r>
      <w:r>
        <w:t xml:space="preserve">Logistiq, PCS, JotForm).</w:t>
      </w:r>
    </w:p>
    <w:p>
      <w:pPr>
        <w:numPr>
          <w:ilvl w:val="0"/>
          <w:numId w:val="1010"/>
        </w:numPr>
        <w:pStyle w:val="Compact"/>
      </w:pPr>
      <w:r>
        <w:t xml:space="preserve">Custom development outside Section 2 scope (scoped and quoted</w:t>
      </w:r>
      <w:r>
        <w:t xml:space="preserve"> </w:t>
      </w:r>
      <w:r>
        <w:t xml:space="preserve">separately on request).</w:t>
      </w:r>
    </w:p>
    <w:p>
      <w:pPr>
        <w:numPr>
          <w:ilvl w:val="0"/>
          <w:numId w:val="1010"/>
        </w:numPr>
        <w:pStyle w:val="Compact"/>
      </w:pPr>
      <w:r>
        <w:t xml:space="preserve">Emergency support for incidents caused by changes to third-party</w:t>
      </w:r>
      <w:r>
        <w:t xml:space="preserve"> </w:t>
      </w:r>
      <w:r>
        <w:t xml:space="preserve">APIs outside Lexcom’s control (handled on a best-effort basis;</w:t>
      </w:r>
      <w:r>
        <w:t xml:space="preserve"> </w:t>
      </w:r>
      <w:r>
        <w:t xml:space="preserve">material scope will be quoted separately if rework is required).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ntellectual-property"/>
    <w:p>
      <w:pPr>
        <w:pStyle w:val="Heading2"/>
      </w:pPr>
      <w:r>
        <w:t xml:space="preserve">4. Intellectual Property</w:t>
      </w:r>
    </w:p>
    <w:bookmarkStart w:id="30" w:name="lexcom-ip"/>
    <w:p>
      <w:pPr>
        <w:pStyle w:val="Heading3"/>
      </w:pPr>
      <w:r>
        <w:t xml:space="preserve">4.1 Lexcom IP</w:t>
      </w:r>
    </w:p>
    <w:p>
      <w:pPr>
        <w:pStyle w:val="FirstParagraph"/>
      </w:pPr>
      <w:r>
        <w:t xml:space="preserve">The underlying platform technology, software architecture,</w:t>
      </w:r>
      <w:r>
        <w:t xml:space="preserve"> </w:t>
      </w:r>
      <w:r>
        <w:t xml:space="preserve">codebase, AI/ML matching algorithms, and extraction pipelines are</w:t>
      </w:r>
      <w:r>
        <w:t xml:space="preserve"> </w:t>
      </w:r>
      <w:r>
        <w:t xml:space="preserve">and remain the intellectual property of Lexcom Systems Group USA, LLC</w:t>
      </w:r>
      <w:r>
        <w:t xml:space="preserve"> </w:t>
      </w:r>
      <w:r>
        <w:t xml:space="preserve">ES Express is granted a non-exclusive, non-transferable license</w:t>
      </w:r>
      <w:r>
        <w:t xml:space="preserve"> </w:t>
      </w:r>
      <w:r>
        <w:t xml:space="preserve">to use the Platform for the duration of this agreement.</w:t>
      </w:r>
    </w:p>
    <w:bookmarkEnd w:id="30"/>
    <w:bookmarkStart w:id="31" w:name="es-express-ip"/>
    <w:p>
      <w:pPr>
        <w:pStyle w:val="Heading3"/>
      </w:pPr>
      <w:r>
        <w:t xml:space="preserve">4.2 ES Express IP</w:t>
      </w:r>
    </w:p>
    <w:p>
      <w:pPr>
        <w:pStyle w:val="FirstParagraph"/>
      </w:pPr>
      <w:r>
        <w:t xml:space="preserve">All of the following are and remain the intellectual property of</w:t>
      </w:r>
      <w:r>
        <w:t xml:space="preserve"> </w:t>
      </w:r>
      <w:r>
        <w:t xml:space="preserve">ES Express LLC: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Business data</w:t>
      </w:r>
      <w:r>
        <w:t xml:space="preserve"> </w:t>
      </w:r>
      <w:r>
        <w:t xml:space="preserve">– load records, driver information, well</w:t>
      </w:r>
      <w:r>
        <w:t xml:space="preserve"> </w:t>
      </w:r>
      <w:r>
        <w:t xml:space="preserve">data, BOL submissions, photos, invoices, settlement records.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Workflow configurations</w:t>
      </w:r>
      <w:r>
        <w:t xml:space="preserve"> </w:t>
      </w:r>
      <w:r>
        <w:t xml:space="preserve">– business rules, tier thresholds,</w:t>
      </w:r>
      <w:r>
        <w:t xml:space="preserve"> </w:t>
      </w:r>
      <w:r>
        <w:t xml:space="preserve">color assignments, and process customizations specific to</w:t>
      </w:r>
      <w:r>
        <w:t xml:space="preserve"> </w:t>
      </w:r>
      <w:r>
        <w:t xml:space="preserve">ES Express operations.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Training data</w:t>
      </w:r>
      <w:r>
        <w:t xml:space="preserve"> </w:t>
      </w:r>
      <w:r>
        <w:t xml:space="preserve">– validation corrections, manual matches,</w:t>
      </w:r>
      <w:r>
        <w:t xml:space="preserve"> </w:t>
      </w:r>
      <w:r>
        <w:t xml:space="preserve">inline BOL edits, original OCR values, and all other signal</w:t>
      </w:r>
      <w:r>
        <w:t xml:space="preserve"> </w:t>
      </w:r>
      <w:r>
        <w:t xml:space="preserve">generated through ES Express team usage of the Platform.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Integration configurations</w:t>
      </w:r>
      <w:r>
        <w:t xml:space="preserve"> </w:t>
      </w:r>
      <w:r>
        <w:t xml:space="preserve">– credentials and configuration</w:t>
      </w:r>
      <w:r>
        <w:t xml:space="preserve"> </w:t>
      </w:r>
      <w:r>
        <w:t xml:space="preserve">for ES Express’s third-party systems.</w:t>
      </w:r>
    </w:p>
    <w:bookmarkEnd w:id="31"/>
    <w:bookmarkStart w:id="32" w:name="data-ownership-portability"/>
    <w:p>
      <w:pPr>
        <w:pStyle w:val="Heading3"/>
      </w:pPr>
      <w:r>
        <w:t xml:space="preserve">4.3 Data Ownership &amp; Portability</w:t>
      </w:r>
    </w:p>
    <w:p>
      <w:pPr>
        <w:pStyle w:val="FirstParagraph"/>
      </w:pPr>
      <w:r>
        <w:t xml:space="preserve">ES Express retains full ownership of their business data at all</w:t>
      </w:r>
      <w:r>
        <w:t xml:space="preserve"> </w:t>
      </w:r>
      <w:r>
        <w:t xml:space="preserve">times. Upon request or termination, Lexcom will provide a</w:t>
      </w:r>
      <w:r>
        <w:t xml:space="preserve"> </w:t>
      </w:r>
      <w:r>
        <w:t xml:space="preserve">complete export of all ES Express data in standard formats (CSV,</w:t>
      </w:r>
      <w:r>
        <w:t xml:space="preserve"> </w:t>
      </w:r>
      <w:r>
        <w:t xml:space="preserve">JSON for structured data; original file formats for photos and</w:t>
      </w:r>
      <w:r>
        <w:t xml:space="preserve"> </w:t>
      </w:r>
      <w:r>
        <w:t xml:space="preserve">attachments) within 30 days of the request.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imeline-milestones"/>
    <w:p>
      <w:pPr>
        <w:pStyle w:val="Heading2"/>
      </w:pPr>
      <w:r>
        <w:t xml:space="preserve">5. Timeline &amp; Milestones</w:t>
      </w:r>
    </w:p>
    <w:p>
      <w:pPr>
        <w:pStyle w:val="FirstParagraph"/>
      </w:pPr>
      <w:r>
        <w:t xml:space="preserve">A complete, evidence-backed timeline of engagement activity from</w:t>
      </w:r>
      <w:r>
        <w:t xml:space="preserve"> </w:t>
      </w:r>
      <w:r>
        <w:t xml:space="preserve">2026-01-15 through 2026-04-15 is attached as</w:t>
      </w:r>
      <w:r>
        <w:t xml:space="preserve"> </w:t>
      </w:r>
      <w:r>
        <w:rPr>
          <w:bCs/>
          <w:b/>
        </w:rPr>
        <w:t xml:space="preserve">Exhibit A</w:t>
      </w:r>
      <w:r>
        <w:rPr>
          <w:bCs/>
          <w:b/>
        </w:rPr>
        <w:t xml:space="preserve"> </w:t>
      </w:r>
      <w:r>
        <w:rPr>
          <w:bCs/>
          <w:b/>
        </w:rPr>
        <w:t xml:space="preserve">(Engagement Timeline)</w:t>
      </w:r>
      <w:r>
        <w:t xml:space="preserve">. High-level phase summary below.</w:t>
      </w:r>
    </w:p>
    <w:bookmarkStart w:id="34" w:name="phase-1-platform-build-complete"/>
    <w:p>
      <w:pPr>
        <w:pStyle w:val="Heading3"/>
      </w:pPr>
      <w:r>
        <w:t xml:space="preserve">Phase 1 – Platform Build (Complete)</w:t>
      </w:r>
    </w:p>
    <w:p>
      <w:pPr>
        <w:pStyle w:val="FirstParagraph"/>
      </w:pPr>
      <w:r>
        <w:rPr>
          <w:bCs/>
          <w:b/>
        </w:rPr>
        <w:t xml:space="preserve">2026-02-11 -&gt; 2026-03-31</w:t>
      </w:r>
      <w:r>
        <w:t xml:space="preserve"> </w:t>
      </w:r>
      <w:r>
        <w:t xml:space="preserve">(Jace’s active build engagement)</w:t>
      </w:r>
    </w:p>
    <w:p>
      <w:pPr>
        <w:numPr>
          <w:ilvl w:val="0"/>
          <w:numId w:val="1012"/>
        </w:numPr>
        <w:pStyle w:val="Compact"/>
      </w:pPr>
      <w:r>
        <w:t xml:space="preserve">Multi-stream sprint kicked off 2026-02-11 – wells workflow</w:t>
      </w:r>
      <w:r>
        <w:t xml:space="preserve"> </w:t>
      </w:r>
      <w:r>
        <w:t xml:space="preserve">engine, CSV-based ingestion, app shell, Google Sheets export</w:t>
      </w:r>
    </w:p>
    <w:p>
      <w:pPr>
        <w:numPr>
          <w:ilvl w:val="0"/>
          <w:numId w:val="1012"/>
        </w:numPr>
        <w:pStyle w:val="Compact"/>
      </w:pPr>
      <w:r>
        <w:t xml:space="preserve">PCS SOAP due-diligence engineering 2026-02-12 – working client</w:t>
      </w:r>
      <w:r>
        <w:t xml:space="preserve"> </w:t>
      </w:r>
      <w:r>
        <w:t xml:space="preserve">built against available surfaces as groundwork while REST access</w:t>
      </w:r>
      <w:r>
        <w:t xml:space="preserve"> </w:t>
      </w:r>
      <w:r>
        <w:t xml:space="preserve">proceeds through PCS’s vendor process</w:t>
      </w:r>
    </w:p>
    <w:p>
      <w:pPr>
        <w:numPr>
          <w:ilvl w:val="0"/>
          <w:numId w:val="1012"/>
        </w:numPr>
        <w:pStyle w:val="Compact"/>
      </w:pPr>
      <w:r>
        <w:t xml:space="preserve">Buyer demo delivered 2026-03-04</w:t>
      </w:r>
    </w:p>
    <w:p>
      <w:pPr>
        <w:numPr>
          <w:ilvl w:val="0"/>
          <w:numId w:val="1012"/>
        </w:numPr>
        <w:pStyle w:val="Compact"/>
      </w:pPr>
      <w:r>
        <w:t xml:space="preserve">PCS REST API outreach drafted 2026-02-27; first vendor reply with</w:t>
      </w:r>
      <w:r>
        <w:t xml:space="preserve"> </w:t>
      </w:r>
      <w:r>
        <w:t xml:space="preserve">API docs 2026-03-06; formal questionnaire submitted 2026-03-09;</w:t>
      </w:r>
      <w:r>
        <w:t xml:space="preserve"> </w:t>
      </w:r>
      <w:r>
        <w:t xml:space="preserve">PCS ticket DO-2821 opened 2026-03-13</w:t>
      </w:r>
    </w:p>
    <w:p>
      <w:pPr>
        <w:numPr>
          <w:ilvl w:val="0"/>
          <w:numId w:val="1012"/>
        </w:numPr>
        <w:pStyle w:val="Compact"/>
      </w:pPr>
      <w:r>
        <w:t xml:space="preserve">Logistiq API client code built against published spec;</w:t>
      </w:r>
      <w:r>
        <w:t xml:space="preserve"> </w:t>
      </w:r>
      <w:r>
        <w:t xml:space="preserve">operational access formalized via contract execution late March /</w:t>
      </w:r>
      <w:r>
        <w:t xml:space="preserve"> </w:t>
      </w:r>
      <w:r>
        <w:t xml:space="preserve">early April 2026</w:t>
      </w:r>
    </w:p>
    <w:p>
      <w:pPr>
        <w:numPr>
          <w:ilvl w:val="0"/>
          <w:numId w:val="1012"/>
        </w:numPr>
        <w:pStyle w:val="Compact"/>
      </w:pPr>
      <w:r>
        <w:t xml:space="preserve">v2 architecture extraction planned 2026-03-30/31</w:t>
      </w:r>
    </w:p>
    <w:bookmarkEnd w:id="34"/>
    <w:bookmarkStart w:id="35" w:name="X88f4cc8d66fe83de024865e441a0c17dfb0fafc"/>
    <w:p>
      <w:pPr>
        <w:pStyle w:val="Heading3"/>
      </w:pPr>
      <w:r>
        <w:t xml:space="preserve">Phase 2 – v2 Rebuild + BOL Training + Go-Live (Current)</w:t>
      </w:r>
    </w:p>
    <w:p>
      <w:pPr>
        <w:pStyle w:val="FirstParagraph"/>
      </w:pPr>
      <w:r>
        <w:rPr>
          <w:bCs/>
          <w:b/>
        </w:rPr>
        <w:t xml:space="preserve">2026-03-31 -&gt; 2026-04-16</w:t>
      </w:r>
    </w:p>
    <w:p>
      <w:pPr>
        <w:numPr>
          <w:ilvl w:val="0"/>
          <w:numId w:val="1013"/>
        </w:numPr>
        <w:pStyle w:val="Compact"/>
      </w:pPr>
      <w:r>
        <w:t xml:space="preserve">v2 clean rebuild on Fastify + Drizzle + PostgreSQL + React 19</w:t>
      </w:r>
    </w:p>
    <w:p>
      <w:pPr>
        <w:numPr>
          <w:ilvl w:val="0"/>
          <w:numId w:val="1013"/>
        </w:numPr>
        <w:pStyle w:val="Compact"/>
      </w:pPr>
      <w:r>
        <w:t xml:space="preserve">Jessica validation walkthrough 2026-04-06 (1h 14m)</w:t>
      </w:r>
    </w:p>
    <w:p>
      <w:pPr>
        <w:numPr>
          <w:ilvl w:val="0"/>
          <w:numId w:val="1013"/>
        </w:numPr>
        <w:pStyle w:val="Compact"/>
      </w:pPr>
      <w:r>
        <w:t xml:space="preserve">Full-team follow-up 2026-04-09 (1h 2m)</w:t>
      </w:r>
    </w:p>
    <w:p>
      <w:pPr>
        <w:numPr>
          <w:ilvl w:val="0"/>
          <w:numId w:val="1013"/>
        </w:numPr>
        <w:pStyle w:val="Compact"/>
      </w:pPr>
      <w:r>
        <w:t xml:space="preserve">Round 2 consolidation – 38 issues surfaced, 43 of 52 total</w:t>
      </w:r>
      <w:r>
        <w:t xml:space="preserve"> </w:t>
      </w:r>
      <w:r>
        <w:t xml:space="preserve">asks shipped (83%) as of 2026-04-14</w:t>
      </w:r>
    </w:p>
    <w:p>
      <w:pPr>
        <w:numPr>
          <w:ilvl w:val="0"/>
          <w:numId w:val="1013"/>
        </w:numPr>
        <w:pStyle w:val="Compact"/>
      </w:pPr>
      <w:r>
        <w:t xml:space="preserve">BOL reconciliation engine hardened; discrepancy detection</w:t>
      </w:r>
      <w:r>
        <w:t xml:space="preserve"> </w:t>
      </w:r>
      <w:r>
        <w:t xml:space="preserve">online</w:t>
      </w:r>
    </w:p>
    <w:p>
      <w:pPr>
        <w:numPr>
          <w:ilvl w:val="0"/>
          <w:numId w:val="1013"/>
        </w:numPr>
        <w:pStyle w:val="Compact"/>
      </w:pPr>
      <w:r>
        <w:t xml:space="preserve">Dispatch team go-live: Wednesday, 2026-04-16 (or start of</w:t>
      </w:r>
      <w:r>
        <w:t xml:space="preserve"> </w:t>
      </w:r>
      <w:r>
        <w:t xml:space="preserve">following week per team preference)</w:t>
      </w:r>
    </w:p>
    <w:p>
      <w:pPr>
        <w:numPr>
          <w:ilvl w:val="0"/>
          <w:numId w:val="1013"/>
        </w:numPr>
        <w:pStyle w:val="Compact"/>
      </w:pPr>
      <w:r>
        <w:t xml:space="preserve">This SOW’s signoff triggers the Income + Clearing Report</w:t>
      </w:r>
      <w:r>
        <w:t xml:space="preserve"> </w:t>
      </w:r>
      <w:r>
        <w:t xml:space="preserve">work line (Section 2.2)</w:t>
      </w:r>
    </w:p>
    <w:bookmarkEnd w:id="35"/>
    <w:bookmarkStart w:id="36" w:name="Xe2661dc417b81fb3501a40e95d1ffa2142fc813"/>
    <w:p>
      <w:pPr>
        <w:pStyle w:val="Heading3"/>
      </w:pPr>
      <w:r>
        <w:t xml:space="preserve">Phase 3 – PCS Direct Integration (Pending External Dependency)</w:t>
      </w:r>
    </w:p>
    <w:p>
      <w:pPr>
        <w:pStyle w:val="FirstParagraph"/>
      </w:pPr>
      <w:r>
        <w:rPr>
          <w:bCs/>
          <w:b/>
        </w:rPr>
        <w:t xml:space="preserve">Target: within 2 weeks of receiving PCS OAuth credentials</w:t>
      </w:r>
    </w:p>
    <w:p>
      <w:pPr>
        <w:numPr>
          <w:ilvl w:val="0"/>
          <w:numId w:val="1014"/>
        </w:numPr>
        <w:pStyle w:val="Compact"/>
      </w:pPr>
      <w:r>
        <w:t xml:space="preserve">REST-based</w:t>
      </w:r>
      <w:r>
        <w:t xml:space="preserve"> </w:t>
      </w:r>
      <w:r>
        <w:rPr>
          <w:rStyle w:val="VerbatimChar"/>
        </w:rPr>
        <w:t xml:space="preserve">Push to PCS</w:t>
      </w:r>
      <w:r>
        <w:t xml:space="preserve"> </w:t>
      </w:r>
      <w:r>
        <w:t xml:space="preserve">replaces Copy Report button</w:t>
      </w:r>
    </w:p>
    <w:p>
      <w:pPr>
        <w:numPr>
          <w:ilvl w:val="0"/>
          <w:numId w:val="1014"/>
        </w:numPr>
        <w:pStyle w:val="Compact"/>
      </w:pPr>
      <w:r>
        <w:t xml:space="preserve">Batch push for ready loads</w:t>
      </w:r>
    </w:p>
    <w:p>
      <w:pPr>
        <w:numPr>
          <w:ilvl w:val="0"/>
          <w:numId w:val="1014"/>
        </w:numPr>
        <w:pStyle w:val="Compact"/>
      </w:pPr>
      <w:r>
        <w:t xml:space="preserve">Bidirectional status reconciliation</w:t>
      </w:r>
    </w:p>
    <w:p>
      <w:pPr>
        <w:numPr>
          <w:ilvl w:val="0"/>
          <w:numId w:val="1014"/>
        </w:numPr>
        <w:pStyle w:val="Compact"/>
      </w:pPr>
      <w:r>
        <w:t xml:space="preserve">File upload for BOL attachments via File-API</w:t>
      </w:r>
    </w:p>
    <w:p>
      <w:pPr>
        <w:pStyle w:val="FirstParagraph"/>
      </w:pPr>
      <w:r>
        <w:t xml:space="preserve">Timeline contingent on PCS approval process (submitted</w:t>
      </w:r>
      <w:r>
        <w:t xml:space="preserve"> </w:t>
      </w:r>
      <w:r>
        <w:t xml:space="preserve">2026-03-09, awaiting response).</w:t>
      </w:r>
    </w:p>
    <w:bookmarkEnd w:id="36"/>
    <w:bookmarkStart w:id="37" w:name="phase-4-ongoing-operations-improvement"/>
    <w:p>
      <w:pPr>
        <w:pStyle w:val="Heading3"/>
      </w:pPr>
      <w:r>
        <w:t xml:space="preserve">Phase 4 – Ongoing Operations &amp; Improvement</w:t>
      </w:r>
    </w:p>
    <w:p>
      <w:pPr>
        <w:pStyle w:val="FirstParagraph"/>
      </w:pPr>
      <w:r>
        <w:rPr>
          <w:bCs/>
          <w:b/>
        </w:rPr>
        <w:t xml:space="preserve">Ongoing from go-live</w:t>
      </w:r>
    </w:p>
    <w:p>
      <w:pPr>
        <w:numPr>
          <w:ilvl w:val="0"/>
          <w:numId w:val="1015"/>
        </w:numPr>
        <w:pStyle w:val="Compact"/>
      </w:pPr>
      <w:r>
        <w:t xml:space="preserve">Auto-matching accuracy climb via feedback loop</w:t>
      </w:r>
    </w:p>
    <w:p>
      <w:pPr>
        <w:numPr>
          <w:ilvl w:val="0"/>
          <w:numId w:val="1015"/>
        </w:numPr>
        <w:pStyle w:val="Compact"/>
      </w:pPr>
      <w:r>
        <w:t xml:space="preserve">Feature requests and enhancements per ES Express team priorities</w:t>
      </w:r>
    </w:p>
    <w:p>
      <w:pPr>
        <w:numPr>
          <w:ilvl w:val="0"/>
          <w:numId w:val="1015"/>
        </w:numPr>
        <w:pStyle w:val="Compact"/>
      </w:pPr>
      <w:r>
        <w:t xml:space="preserve">System monitoring, support, and incident response</w:t>
      </w:r>
    </w:p>
    <w:p>
      <w:pPr>
        <w:numPr>
          <w:ilvl w:val="0"/>
          <w:numId w:val="1015"/>
        </w:numPr>
        <w:pStyle w:val="Compact"/>
      </w:pPr>
      <w:r>
        <w:t xml:space="preserve">Reporting capabilities buildout per Section 2.2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erm-termination"/>
    <w:p>
      <w:pPr>
        <w:pStyle w:val="Heading2"/>
      </w:pPr>
      <w:r>
        <w:t xml:space="preserve">6. Term &amp; Termination</w:t>
      </w:r>
    </w:p>
    <w:bookmarkStart w:id="39" w:name="term"/>
    <w:p>
      <w:pPr>
        <w:pStyle w:val="Heading3"/>
      </w:pPr>
      <w:r>
        <w:t xml:space="preserve">6.1 Term</w:t>
      </w:r>
    </w:p>
    <w:p>
      <w:pPr>
        <w:pStyle w:val="FirstParagraph"/>
      </w:pPr>
      <w:r>
        <w:t xml:space="preserve">This agreement is effective on the date signed and continues on a</w:t>
      </w:r>
      <w:r>
        <w:t xml:space="preserve"> </w:t>
      </w:r>
      <w:r>
        <w:rPr>
          <w:bCs/>
          <w:b/>
        </w:rPr>
        <w:t xml:space="preserve">month-to-month</w:t>
      </w:r>
      <w:r>
        <w:t xml:space="preserve"> </w:t>
      </w:r>
      <w:r>
        <w:t xml:space="preserve">basis.</w:t>
      </w:r>
    </w:p>
    <w:bookmarkEnd w:id="39"/>
    <w:bookmarkStart w:id="40" w:name="termination"/>
    <w:p>
      <w:pPr>
        <w:pStyle w:val="Heading3"/>
      </w:pPr>
      <w:r>
        <w:t xml:space="preserve">6.2 Termination</w:t>
      </w:r>
    </w:p>
    <w:p>
      <w:pPr>
        <w:pStyle w:val="FirstParagraph"/>
      </w:pPr>
      <w:r>
        <w:t xml:space="preserve">Either party may terminate this agreement with</w:t>
      </w:r>
      <w:r>
        <w:t xml:space="preserve"> </w:t>
      </w:r>
      <w:r>
        <w:rPr>
          <w:bCs/>
          <w:b/>
        </w:rPr>
        <w:t xml:space="preserve">30 days written</w:t>
      </w:r>
      <w:r>
        <w:rPr>
          <w:bCs/>
          <w:b/>
        </w:rPr>
        <w:t xml:space="preserve"> </w:t>
      </w:r>
      <w:r>
        <w:rPr>
          <w:bCs/>
          <w:b/>
        </w:rPr>
        <w:t xml:space="preserve">notice</w:t>
      </w:r>
      <w:r>
        <w:t xml:space="preserve">. Upon termination:</w:t>
      </w:r>
    </w:p>
    <w:p>
      <w:pPr>
        <w:numPr>
          <w:ilvl w:val="0"/>
          <w:numId w:val="1016"/>
        </w:numPr>
        <w:pStyle w:val="Compact"/>
      </w:pPr>
      <w:r>
        <w:t xml:space="preserve">Lexcom will provide a complete data export per Section 4.3.</w:t>
      </w:r>
    </w:p>
    <w:p>
      <w:pPr>
        <w:numPr>
          <w:ilvl w:val="0"/>
          <w:numId w:val="1016"/>
        </w:numPr>
        <w:pStyle w:val="Compact"/>
      </w:pPr>
      <w:r>
        <w:t xml:space="preserve">ES Express retains all IP defined in Section 4.2.</w:t>
      </w:r>
    </w:p>
    <w:p>
      <w:pPr>
        <w:numPr>
          <w:ilvl w:val="0"/>
          <w:numId w:val="1016"/>
        </w:numPr>
        <w:pStyle w:val="Compact"/>
      </w:pPr>
      <w:r>
        <w:t xml:space="preserve">Platform access will end at the conclusion of the final paid</w:t>
      </w:r>
      <w:r>
        <w:t xml:space="preserve"> </w:t>
      </w:r>
      <w:r>
        <w:t xml:space="preserve">month.</w:t>
      </w:r>
    </w:p>
    <w:p>
      <w:pPr>
        <w:numPr>
          <w:ilvl w:val="0"/>
          <w:numId w:val="1016"/>
        </w:numPr>
        <w:pStyle w:val="Compact"/>
      </w:pPr>
      <w:r>
        <w:t xml:space="preserve">Any outstanding balance is due within 30 days of termination.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upport-communication"/>
    <w:p>
      <w:pPr>
        <w:pStyle w:val="Heading2"/>
      </w:pPr>
      <w:r>
        <w:t xml:space="preserve">7. Support &amp; Communication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Primary contact:</w:t>
      </w:r>
      <w:r>
        <w:t xml:space="preserve"> </w:t>
      </w:r>
      <w:r>
        <w:t xml:space="preserve">Jace Ryan (Lexcom) – available via phone,</w:t>
      </w:r>
      <w:r>
        <w:t xml:space="preserve"> </w:t>
      </w:r>
      <w:r>
        <w:t xml:space="preserve">text, and email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Response time:</w:t>
      </w:r>
      <w:r>
        <w:t xml:space="preserve"> </w:t>
      </w:r>
      <w:r>
        <w:t xml:space="preserve">same business day for urgent issues;</w:t>
      </w:r>
      <w:r>
        <w:t xml:space="preserve"> </w:t>
      </w:r>
      <w:r>
        <w:t xml:space="preserve">24 hours for standard requests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Scheduled maintenance:</w:t>
      </w:r>
      <w:r>
        <w:t xml:space="preserve"> </w:t>
      </w:r>
      <w:r>
        <w:t xml:space="preserve">advance notice provided for any</w:t>
      </w:r>
      <w:r>
        <w:t xml:space="preserve"> </w:t>
      </w:r>
      <w:r>
        <w:t xml:space="preserve">planned downtime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Progress updates:</w:t>
      </w:r>
      <w:r>
        <w:t xml:space="preserve"> </w:t>
      </w:r>
      <w:r>
        <w:t xml:space="preserve">regular communication with Jessica</w:t>
      </w:r>
      <w:r>
        <w:t xml:space="preserve"> </w:t>
      </w:r>
      <w:r>
        <w:t xml:space="preserve">Handlin and the ES Express team throughout active development</w:t>
      </w:r>
      <w:r>
        <w:t xml:space="preserve"> </w:t>
      </w:r>
      <w:r>
        <w:t xml:space="preserve">phases. We commit to improving on the communication cadence</w:t>
      </w:r>
      <w:r>
        <w:t xml:space="preserve"> </w:t>
      </w:r>
      <w:r>
        <w:t xml:space="preserve">that was not as consistent as it should have been earlier in</w:t>
      </w:r>
      <w:r>
        <w:t xml:space="preserve"> </w:t>
      </w:r>
      <w:r>
        <w:t xml:space="preserve">the engagement.</w:t>
      </w:r>
    </w:p>
    <w:p>
      <w:r>
        <w:pict>
          <v:rect style="width:0;height:1.5pt" o:hralign="center" o:hrstd="t" o:hr="t"/>
        </w:pict>
      </w:r>
    </w:p>
    <w:bookmarkEnd w:id="42"/>
    <w:bookmarkStart w:id="43" w:name="warranties-limitations"/>
    <w:p>
      <w:pPr>
        <w:pStyle w:val="Heading2"/>
      </w:pPr>
      <w:r>
        <w:t xml:space="preserve">8. Warranties &amp; Limitations</w:t>
      </w:r>
    </w:p>
    <w:p>
      <w:pPr>
        <w:numPr>
          <w:ilvl w:val="0"/>
          <w:numId w:val="1018"/>
        </w:numPr>
        <w:pStyle w:val="Compact"/>
      </w:pPr>
      <w:r>
        <w:t xml:space="preserve">Lexcom warrants that the Platform will perform substantially</w:t>
      </w:r>
      <w:r>
        <w:t xml:space="preserve"> </w:t>
      </w:r>
      <w:r>
        <w:t xml:space="preserve">in accordance with the capabilities described in Section 2.</w:t>
      </w:r>
    </w:p>
    <w:p>
      <w:pPr>
        <w:numPr>
          <w:ilvl w:val="0"/>
          <w:numId w:val="1018"/>
        </w:numPr>
        <w:pStyle w:val="Compact"/>
      </w:pPr>
      <w:r>
        <w:t xml:space="preserve">Lexcom will correct any material defects at no additional cost</w:t>
      </w:r>
      <w:r>
        <w:t xml:space="preserve"> </w:t>
      </w:r>
      <w:r>
        <w:t xml:space="preserve">during the term of this agreement.</w:t>
      </w:r>
    </w:p>
    <w:p>
      <w:pPr>
        <w:numPr>
          <w:ilvl w:val="0"/>
          <w:numId w:val="1018"/>
        </w:numPr>
        <w:pStyle w:val="Compact"/>
      </w:pPr>
      <w:r>
        <w:t xml:space="preserve">The Platform is provided for dispatch operations support and</w:t>
      </w:r>
      <w:r>
        <w:t xml:space="preserve"> </w:t>
      </w:r>
      <w:r>
        <w:t xml:space="preserve">does not replace human judgment for safety-critical decisions.</w:t>
      </w:r>
    </w:p>
    <w:p>
      <w:pPr>
        <w:numPr>
          <w:ilvl w:val="0"/>
          <w:numId w:val="1018"/>
        </w:numPr>
        <w:pStyle w:val="Compact"/>
      </w:pPr>
      <w:r>
        <w:t xml:space="preserve">The Platform is hosted on commercially available third-party</w:t>
      </w:r>
      <w:r>
        <w:t xml:space="preserve"> </w:t>
      </w:r>
      <w:r>
        <w:t xml:space="preserve">infrastructure (Railway, Vercel, cloud database providers).</w:t>
      </w:r>
      <w:r>
        <w:t xml:space="preserve"> </w:t>
      </w:r>
      <w:r>
        <w:t xml:space="preserve">Lexcom will use commercially reasonable efforts to maintain</w:t>
      </w:r>
      <w:r>
        <w:t xml:space="preserve"> </w:t>
      </w:r>
      <w:r>
        <w:t xml:space="preserve">Platform availability during business hours; however, specific</w:t>
      </w:r>
      <w:r>
        <w:t xml:space="preserve"> </w:t>
      </w:r>
      <w:r>
        <w:t xml:space="preserve">uptime percentages are not warranted given dependencies on</w:t>
      </w:r>
      <w:r>
        <w:t xml:space="preserve"> </w:t>
      </w:r>
      <w:r>
        <w:t xml:space="preserve">third-party API availability (PropX, Logistiq, PCS, JotForm,</w:t>
      </w:r>
      <w:r>
        <w:t xml:space="preserve"> </w:t>
      </w:r>
      <w:r>
        <w:t xml:space="preserve">hosting providers), scheduled maintenance, and factors outside</w:t>
      </w:r>
      <w:r>
        <w:t xml:space="preserve"> </w:t>
      </w:r>
      <w:r>
        <w:t xml:space="preserve">Lexcom’s direct control.</w:t>
      </w:r>
    </w:p>
    <w:p>
      <w:pPr>
        <w:numPr>
          <w:ilvl w:val="0"/>
          <w:numId w:val="1018"/>
        </w:numPr>
        <w:pStyle w:val="Compact"/>
      </w:pPr>
      <w:r>
        <w:t xml:space="preserve">Lexcom’s aggregate liability under this agreement is limited</w:t>
      </w:r>
      <w:r>
        <w:t xml:space="preserve"> </w:t>
      </w:r>
      <w:r>
        <w:t xml:space="preserve">to the fees paid by ES Express in the three (3) months preceding</w:t>
      </w:r>
      <w:r>
        <w:t xml:space="preserve"> </w:t>
      </w:r>
      <w:r>
        <w:t xml:space="preserve">any claim. This limitation does not apply to breaches of</w:t>
      </w:r>
      <w:r>
        <w:t xml:space="preserve"> </w:t>
      </w:r>
      <w:r>
        <w:t xml:space="preserve">confidentiality or willful misconduct.</w:t>
      </w:r>
    </w:p>
    <w:p>
      <w:pPr>
        <w:numPr>
          <w:ilvl w:val="0"/>
          <w:numId w:val="1018"/>
        </w:numPr>
        <w:pStyle w:val="Compact"/>
      </w:pPr>
      <w:r>
        <w:t xml:space="preserve">Neither party shall be liable for any failure or delay in</w:t>
      </w:r>
      <w:r>
        <w:t xml:space="preserve"> </w:t>
      </w:r>
      <w:r>
        <w:t xml:space="preserve">performance due to circumstances beyond reasonable control,</w:t>
      </w:r>
      <w:r>
        <w:t xml:space="preserve"> </w:t>
      </w:r>
      <w:r>
        <w:t xml:space="preserve">including but not limited to third-party service outages,</w:t>
      </w:r>
      <w:r>
        <w:t xml:space="preserve"> </w:t>
      </w:r>
      <w:r>
        <w:t xml:space="preserve">vendor approval delays, regulatory changes, or network</w:t>
      </w:r>
      <w:r>
        <w:t xml:space="preserve"> </w:t>
      </w:r>
      <w:r>
        <w:t xml:space="preserve">connectivity issues affecting the Platform’s infrastructure</w:t>
      </w:r>
      <w:r>
        <w:t xml:space="preserve"> </w:t>
      </w:r>
      <w:r>
        <w:t xml:space="preserve">providers.</w:t>
      </w:r>
    </w:p>
    <w:p>
      <w:r>
        <w:pict>
          <v:rect style="width:0;height:1.5pt" o:hralign="center" o:hrstd="t" o:hr="t"/>
        </w:pict>
      </w:r>
    </w:p>
    <w:bookmarkEnd w:id="43"/>
    <w:bookmarkStart w:id="44" w:name="shared-principles"/>
    <w:p>
      <w:pPr>
        <w:pStyle w:val="Heading2"/>
      </w:pPr>
      <w:r>
        <w:t xml:space="preserve">9. Shared Principles</w:t>
      </w:r>
    </w:p>
    <w:p>
      <w:pPr>
        <w:pStyle w:val="FirstParagraph"/>
      </w:pPr>
      <w:r>
        <w:t xml:space="preserve">We would like this engagement to operate on three principles we</w:t>
      </w:r>
      <w:r>
        <w:t xml:space="preserve"> </w:t>
      </w:r>
      <w:r>
        <w:t xml:space="preserve">offer for your review: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Honest communication on both sides.</w:t>
      </w:r>
      <w:r>
        <w:t xml:space="preserve"> </w:t>
      </w:r>
      <w:r>
        <w:t xml:space="preserve">When something ships,</w:t>
      </w:r>
      <w:r>
        <w:t xml:space="preserve"> </w:t>
      </w:r>
      <w:r>
        <w:t xml:space="preserve">we will tell you clearly what’s operational now and what’s</w:t>
      </w:r>
      <w:r>
        <w:t xml:space="preserve"> </w:t>
      </w:r>
      <w:r>
        <w:t xml:space="preserve">still hardening. When something is blocked, we’ll name the</w:t>
      </w:r>
      <w:r>
        <w:t xml:space="preserve"> </w:t>
      </w:r>
      <w:r>
        <w:t xml:space="preserve">dependency without shifting blame.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Data is yours, unconditionally.</w:t>
      </w:r>
      <w:r>
        <w:t xml:space="preserve"> </w:t>
      </w:r>
      <w:r>
        <w:t xml:space="preserve">Not just on termination –</w:t>
      </w:r>
      <w:r>
        <w:t xml:space="preserve"> </w:t>
      </w:r>
      <w:r>
        <w:t xml:space="preserve">on request, any time. If your team wants a CSV of every</w:t>
      </w:r>
      <w:r>
        <w:t xml:space="preserve"> </w:t>
      </w:r>
      <w:r>
        <w:t xml:space="preserve">validation decision for an internal audit, you get it.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Scope changes in writing.</w:t>
      </w:r>
      <w:r>
        <w:t xml:space="preserve"> </w:t>
      </w:r>
      <w:r>
        <w:t xml:space="preserve">Neither of us wants a</w:t>
      </w:r>
      <w:r>
        <w:t xml:space="preserve"> </w:t>
      </w:r>
      <w:r>
        <w:t xml:space="preserve">conversation in three months about whether X was in scope.</w:t>
      </w:r>
      <w:r>
        <w:t xml:space="preserve"> </w:t>
      </w:r>
      <w:r>
        <w:t xml:space="preserve">Any material additions get added to this SOW (or a companion</w:t>
      </w:r>
      <w:r>
        <w:t xml:space="preserve"> </w:t>
      </w:r>
      <w:r>
        <w:t xml:space="preserve">amendment) and acknowledged by both parties.</w:t>
      </w:r>
    </w:p>
    <w:p>
      <w:r>
        <w:pict>
          <v:rect style="width:0;height:1.5pt" o:hralign="center" o:hrstd="t" o:hr="t"/>
        </w:pict>
      </w:r>
    </w:p>
    <w:bookmarkEnd w:id="44"/>
    <w:bookmarkStart w:id="45" w:name="signatures"/>
    <w:p>
      <w:pPr>
        <w:pStyle w:val="Heading2"/>
      </w:pPr>
      <w:r>
        <w:t xml:space="preserve">10. Signatures</w:t>
      </w:r>
    </w:p>
    <w:p>
      <w:r>
        <w:pict>
          <v:rect style="width:0;height:1.5pt" o:hralign="center" o:hrstd="t" o:hr="t"/>
        </w:pict>
      </w:r>
    </w:p>
    <w:bookmarkEnd w:id="45"/>
    <w:bookmarkStart w:id="46" w:name="exhibits"/>
    <w:p>
      <w:pPr>
        <w:pStyle w:val="Heading2"/>
      </w:pPr>
      <w:r>
        <w:t xml:space="preserve">Exhibits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Exhibit A</w:t>
      </w:r>
      <w:r>
        <w:t xml:space="preserve"> </w:t>
      </w:r>
      <w:r>
        <w:t xml:space="preserve">– Engagement Timeline (attached as</w:t>
      </w:r>
      <w:r>
        <w:t xml:space="preserve"> </w:t>
      </w:r>
      <w:r>
        <w:rPr>
          <w:iCs/>
          <w:i/>
        </w:rPr>
        <w:t xml:space="preserve">ES_Express_Engagement_Timeline_2026-04-15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Exhibit B</w:t>
      </w:r>
      <w:r>
        <w:t xml:space="preserve"> </w:t>
      </w:r>
      <w:r>
        <w:t xml:space="preserve">– Feedback Ledger (attached as</w:t>
      </w:r>
      <w:r>
        <w:t xml:space="preserve"> </w:t>
      </w:r>
      <w:r>
        <w:rPr>
          <w:iCs/>
          <w:i/>
        </w:rPr>
        <w:t xml:space="preserve">ES_Express_Feedback_Ledger_2026-04-14</w:t>
      </w:r>
      <w:r>
        <w:t xml:space="preserve">)</w:t>
      </w:r>
    </w:p>
    <w:p>
      <w:pPr>
        <w:pStyle w:val="FirstParagraph"/>
      </w:pPr>
      <w:r>
        <w:t xml:space="preserve">Additional internal engineering artifacts (decision logs, commit</w:t>
      </w:r>
      <w:r>
        <w:t xml:space="preserve"> </w:t>
      </w:r>
      <w:r>
        <w:t xml:space="preserve">histories, pull request records) are available on request should</w:t>
      </w:r>
      <w:r>
        <w:t xml:space="preserve"> </w:t>
      </w:r>
      <w:r>
        <w:t xml:space="preserve">further backing be useful at any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Statement of Work constitutes the complete agreement between</w:t>
      </w:r>
      <w:r>
        <w:rPr>
          <w:iCs/>
          <w:i/>
        </w:rPr>
        <w:t xml:space="preserve"> </w:t>
      </w:r>
      <w:r>
        <w:rPr>
          <w:iCs/>
          <w:i/>
        </w:rPr>
        <w:t xml:space="preserve">the parties regarding the services described herein and supersedes</w:t>
      </w:r>
      <w:r>
        <w:rPr>
          <w:iCs/>
          <w:i/>
        </w:rPr>
        <w:t xml:space="preserve"> </w:t>
      </w:r>
      <w:r>
        <w:rPr>
          <w:iCs/>
          <w:i/>
        </w:rPr>
        <w:t xml:space="preserve">any prior verbal estimates or preliminary discussions, including</w:t>
      </w:r>
      <w:r>
        <w:rPr>
          <w:iCs/>
          <w:i/>
        </w:rPr>
        <w:t xml:space="preserve"> </w:t>
      </w:r>
      <w:r>
        <w:rPr>
          <w:iCs/>
          <w:i/>
        </w:rPr>
        <w:t xml:space="preserve">the 2026-04-13 draft. We welcome any notes, questions, or</w:t>
      </w:r>
      <w:r>
        <w:rPr>
          <w:iCs/>
          <w:i/>
        </w:rPr>
        <w:t xml:space="preserve"> </w:t>
      </w:r>
      <w:r>
        <w:rPr>
          <w:iCs/>
          <w:i/>
        </w:rPr>
        <w:t xml:space="preserve">adjustments to scope – this document is meant to align on</w:t>
      </w:r>
      <w:r>
        <w:rPr>
          <w:iCs/>
          <w:i/>
        </w:rPr>
        <w:t xml:space="preserve"> </w:t>
      </w:r>
      <w:r>
        <w:rPr>
          <w:iCs/>
          <w:i/>
        </w:rPr>
        <w:t xml:space="preserve">deliverables, not impose them.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Express LLC -- Statement of Work</dc:title>
  <dc:creator>Lexcom Systems Group USA, LLC</dc:creator>
  <cp:keywords/>
  <dcterms:created xsi:type="dcterms:W3CDTF">2026-04-15T15:31:17Z</dcterms:created>
  <dcterms:modified xsi:type="dcterms:W3CDTF">2026-04-15T15:31:17Z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