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uppressAutoHyphens w:val="true"/>
        <w:spacing w:lineRule="auto" w:line="240" w:before="0" w:after="0"/>
        <w:contextualSpacing/>
        <w:jc w:val="center"/>
        <w:rPr>
          <w:rFonts w:ascii="Calibri" w:hAnsi="Calibri" w:cs="Calibri" w:asciiTheme="majorHAnsi" w:cstheme="majorHAnsi" w:hAnsiTheme="majorHAnsi"/>
          <w:b/>
          <w:b/>
          <w:bCs/>
          <w:sz w:val="24"/>
          <w:szCs w:val="24"/>
        </w:rPr>
      </w:pPr>
      <w:bookmarkStart w:id="0" w:name="_GoBack"/>
      <w:bookmarkEnd w:id="0"/>
      <w:r>
        <w:rPr>
          <w:rFonts w:cs="Calibri" w:ascii="Calibri" w:hAnsi="Calibri" w:asciiTheme="majorHAnsi" w:cstheme="majorHAnsi" w:hAnsiTheme="majorHAnsi"/>
          <w:b/>
          <w:bCs/>
          <w:sz w:val="24"/>
          <w:szCs w:val="24"/>
        </w:rPr>
        <w:t>CS 410 Binary to Assembly Activity Template</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Step 1:</w:t>
      </w:r>
      <w:r>
        <w:rPr>
          <w:rFonts w:eastAsia="Calibri" w:cs="Calibri" w:ascii="Calibri" w:hAnsi="Calibri" w:asciiTheme="majorHAnsi" w:cstheme="majorHAnsi" w:hAnsiTheme="majorHAnsi"/>
        </w:rPr>
        <w:t xml:space="preserve"> List the binary file name.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 xml:space="preserve">Step 2: </w:t>
      </w:r>
      <w:r>
        <w:rPr>
          <w:rFonts w:eastAsia="Calibri" w:cs="Calibri" w:ascii="Calibri" w:hAnsi="Calibri" w:asciiTheme="majorHAnsi" w:cstheme="majorHAnsi" w:hAnsiTheme="majorHAnsi"/>
        </w:rPr>
        <w:t>Identify the functions in the binary file.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bCs/>
        </w:rPr>
        <w:t>Step 3</w:t>
      </w:r>
      <w:r>
        <w:rPr>
          <w:rFonts w:eastAsia="Calibri" w:cs="Calibri" w:ascii="Calibri" w:hAnsi="Calibri" w:asciiTheme="majorHAnsi" w:cstheme="majorHAnsi" w:hAnsiTheme="majorHAnsi"/>
        </w:rPr>
        <w:t>: Convert the binary file to assembly code.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Step 4:</w:t>
      </w:r>
      <w:r>
        <w:rPr>
          <w:rFonts w:eastAsia="Calibri" w:cs="Calibri" w:ascii="Calibri" w:hAnsi="Calibri" w:asciiTheme="majorHAnsi" w:cstheme="majorHAnsi" w:hAnsiTheme="majorHAnsi"/>
        </w:rPr>
        <w:t xml:space="preserve"> Align the blocks of assembly code with their corresponding function in the binary file.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Step 5:</w:t>
      </w:r>
      <w:r>
        <w:rPr>
          <w:rFonts w:eastAsia="Calibri" w:cs="Calibri" w:ascii="Calibri" w:hAnsi="Calibri" w:asciiTheme="majorHAnsi" w:cstheme="majorHAnsi" w:hAnsiTheme="majorHAnsi"/>
        </w:rPr>
        <w:t xml:space="preserve"> Explain the functionality of the blocks of assembly code.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 xml:space="preserve">File One: </w:t>
      </w:r>
      <w:r>
        <w:rPr/>
        <w:t>assignment3_1.o</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994"/>
        <w:gridCol w:w="4594"/>
        <w:gridCol w:w="3772"/>
      </w:tblGrid>
      <w:tr>
        <w:trPr>
          <w:tblHeader w:val="true"/>
        </w:trPr>
        <w:tc>
          <w:tcPr>
            <w:tcW w:w="994" w:type="dxa"/>
            <w:tcBorders/>
          </w:tcPr>
          <w:p>
            <w:pPr>
              <w:pStyle w:val="Normal"/>
              <w:pBdr/>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Functions</w:t>
            </w:r>
          </w:p>
        </w:tc>
        <w:tc>
          <w:tcPr>
            <w:tcW w:w="4594" w:type="dxa"/>
            <w:tcBorders/>
          </w:tcPr>
          <w:p>
            <w:pPr>
              <w:pStyle w:val="Normal"/>
              <w:pBdr/>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Blocks of Assembly Code</w:t>
            </w:r>
          </w:p>
        </w:tc>
        <w:tc>
          <w:tcPr>
            <w:tcW w:w="3772" w:type="dxa"/>
            <w:tcBorders/>
          </w:tcPr>
          <w:p>
            <w:pPr>
              <w:pStyle w:val="Normal"/>
              <w:pBdr/>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Explanation of Functionality</w:t>
            </w:r>
          </w:p>
        </w:tc>
      </w:tr>
      <w:tr>
        <w:trPr>
          <w:tblHeader w:val="true"/>
        </w:trPr>
        <w:tc>
          <w:tcPr>
            <w:tcW w:w="994" w:type="dxa"/>
            <w:tcBorders/>
          </w:tcPr>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main</w:t>
            </w:r>
          </w:p>
        </w:tc>
        <w:tc>
          <w:tcPr>
            <w:tcW w:w="4594" w:type="dxa"/>
            <w:tcBorders/>
          </w:tcPr>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push   %rbp</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%rsp,%rbp</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$0x400634,%edi</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0x400450 &lt;puts@plt&gt;</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$0x400648,%edi</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0x400450 &lt;puts@plt&gt;</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$0x40065c,%edi</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0x400450 &lt;puts@plt&gt;</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$0x0,%edi</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0x400480 &lt;exit@plt&gt;</w:t>
            </w:r>
          </w:p>
        </w:tc>
        <w:tc>
          <w:tcPr>
            <w:tcW w:w="3772" w:type="dxa"/>
            <w:tcBorders/>
          </w:tcPr>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 xml:space="preserve">The first two lines set up the stack frame.  Next the function stores a value to %edi and then calls the puts function to print it.  It does this three times for </w:t>
            </w:r>
            <w:r>
              <w:rPr>
                <w:rFonts w:eastAsia="Calibri" w:cs="Calibri" w:cstheme="majorHAnsi" w:ascii="Calibri" w:hAnsi="Calibri"/>
              </w:rPr>
              <w:t>each string.  The three strings print out as,</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S</w:t>
            </w:r>
            <w:r>
              <w:rPr>
                <w:rFonts w:eastAsia="Calibri" w:cs="Calibri" w:cstheme="majorHAnsi" w:ascii="Calibri" w:hAnsi="Calibri"/>
              </w:rPr>
              <w:t>hip to: John Smith</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123 Los Angeles Rd.</w:t>
            </w:r>
          </w:p>
          <w:p>
            <w:pPr>
              <w:pStyle w:val="Normal"/>
              <w:pBdr/>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Los Angeles, CA 90025</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 xml:space="preserve">File Two: </w:t>
      </w:r>
      <w:r>
        <w:rPr/>
        <w:t>assignment3_</w:t>
      </w:r>
      <w:r>
        <w:rPr/>
        <w:t>2</w:t>
      </w:r>
      <w:r>
        <w:rPr/>
        <w:t>.o</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994"/>
        <w:gridCol w:w="4594"/>
        <w:gridCol w:w="3772"/>
      </w:tblGrid>
      <w:tr>
        <w:trPr>
          <w:tblHeader w:val="true"/>
        </w:trPr>
        <w:tc>
          <w:tcPr>
            <w:tcW w:w="994" w:type="dxa"/>
            <w:tcBorders/>
            <w:shd w:color="auto" w:fill="auto" w:val="clear"/>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Functions</w:t>
            </w:r>
          </w:p>
        </w:tc>
        <w:tc>
          <w:tcPr>
            <w:tcW w:w="4594" w:type="dxa"/>
            <w:tcBorders/>
            <w:shd w:color="auto" w:fill="auto" w:val="clear"/>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Blocks of Assembly Code</w:t>
            </w:r>
          </w:p>
        </w:tc>
        <w:tc>
          <w:tcPr>
            <w:tcW w:w="3772" w:type="dxa"/>
            <w:tcBorders/>
            <w:shd w:color="auto" w:fill="auto" w:val="clear"/>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Explanation of Functionality</w:t>
            </w:r>
          </w:p>
        </w:tc>
      </w:tr>
      <w:tr>
        <w:trPr/>
        <w:tc>
          <w:tcPr>
            <w:tcW w:w="994" w:type="dxa"/>
            <w:tcBorders/>
            <w:shd w:color="auto" w:fill="auto" w:val="clear"/>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main</w:t>
            </w:r>
          </w:p>
        </w:tc>
        <w:tc>
          <w:tcPr>
            <w:tcW w:w="4594" w:type="dxa"/>
            <w:tcBorders/>
            <w:shd w:color="auto" w:fill="auto" w:val="clear"/>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sub    $0x20,%rsp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%fs:0x28,%rax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%rax,-0x8(%rbp)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xor    %eax,%eax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$0x400714,%edi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lea    -0x20(%rbp),%rax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%rax,%rsi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$0x40072b,%edi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0x400520 &lt;__isoc99_scanf@plt&gt;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lea    -0x20(%rbp),%rax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%rax,%rsi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$0x40072e,%edi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0x4004f0 &lt;printf@plt&gt;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mov    $0x0,%edi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callq  0x400530 &lt;exit@plt&gt;</w:t>
            </w:r>
          </w:p>
        </w:tc>
        <w:tc>
          <w:tcPr>
            <w:tcW w:w="3772" w:type="dxa"/>
            <w:tcBorders/>
            <w:shd w:color="auto" w:fill="auto" w:val="clear"/>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 xml:space="preserve">The first two lines set up the stack frame.  </w:t>
            </w:r>
            <w:r>
              <w:rPr>
                <w:rFonts w:eastAsia="Calibri" w:cs="Calibri" w:cstheme="majorHAnsi" w:ascii="Calibri" w:hAnsi="Calibri"/>
              </w:rPr>
              <w:t>Sub and move are done to shift around values in the registers.  Xor clears out eax.  Mov moves a string that is outputed using puts function.  More movement is done including another string.  Scanf is called to take user input.  Further movement is done and then printf is performed and edi is cleared out.  This results in a programs that asks for you name, takes input, and then prints out “Welcome Mr. “ [name].</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 xml:space="preserve">File Three: </w:t>
      </w:r>
      <w:r>
        <w:rPr/>
        <w:t>assignment3_</w:t>
      </w:r>
      <w:r>
        <w:rPr/>
        <w:t>3</w:t>
      </w:r>
      <w:r>
        <w:rPr/>
        <w:t>.o</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1800"/>
        <w:gridCol w:w="3788"/>
        <w:gridCol w:w="3772"/>
      </w:tblGrid>
      <w:tr>
        <w:trPr>
          <w:tblHeader w:val="true"/>
        </w:trPr>
        <w:tc>
          <w:tcPr>
            <w:tcW w:w="180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Functions</w:t>
            </w:r>
          </w:p>
        </w:tc>
        <w:tc>
          <w:tcPr>
            <w:tcW w:w="3788"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Blocks of Assembly Code</w:t>
            </w:r>
          </w:p>
        </w:tc>
        <w:tc>
          <w:tcPr>
            <w:tcW w:w="3772"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Explanation of Functionality</w:t>
            </w:r>
          </w:p>
        </w:tc>
      </w:tr>
      <w:tr>
        <w:trPr>
          <w:tblHeader w:val="true"/>
        </w:trPr>
        <w:tc>
          <w:tcPr>
            <w:tcW w:w="180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main</w:t>
            </w:r>
          </w:p>
        </w:tc>
        <w:tc>
          <w:tcPr>
            <w:tcW w:w="3788"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sub    $0x10,%rsp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$0x400734,%edi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lea    -0x8(%rbp),%rdx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lea    -0xc(%rbp),%rax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%rax,%rsi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$0x400747,%edi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0x400520 &lt;__isoc99_scanf@plt&gt;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-0x8(%rbp),%edx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-0xc(%rbp),%eax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%edx,%esi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0x40062d &lt;AddNumbers&gt;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%eax,-0x4(%rbp)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-0x8(%rbp),%edx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-0xc(%rbp),%eax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-0x4(%rbp),%ecx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$0x40074d,%edi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0x4004f0 &lt;printf@plt&gt;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0x400530 &lt;exit@plt&gt;</w:t>
            </w:r>
          </w:p>
        </w:tc>
        <w:tc>
          <w:tcPr>
            <w:tcW w:w="3772"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 xml:space="preserve">The stack is initialized.  </w:t>
            </w:r>
            <w:r>
              <w:rPr>
                <w:rFonts w:eastAsia="Calibri" w:cs="Calibri" w:cstheme="majorHAnsi" w:ascii="Calibri" w:hAnsi="Calibri"/>
              </w:rPr>
              <w:t>The string at  0x400734 is outputed.  Two values are stored using the function call to scanf.  The AddNumbers function is called using these values and adds them together.  The values are moved around on the stack and the string at  0x40074d is loaded.  Printf is called then to display the two numbers inputed as an addition equation with the result.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Enter two numbers:</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 xml:space="preserve">1   </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2</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1 + 2 = 3</w:t>
            </w:r>
          </w:p>
        </w:tc>
      </w:tr>
      <w:tr>
        <w:trPr>
          <w:tblHeader w:val="true"/>
        </w:trPr>
        <w:tc>
          <w:tcPr>
            <w:tcW w:w="180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AddNumbers</w:t>
            </w:r>
          </w:p>
        </w:tc>
        <w:tc>
          <w:tcPr>
            <w:tcW w:w="3788"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%edi,-0x4(%rbp)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%esi,-0x8(%rbp)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-0x4(%rbp),%edx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add    %edx,%eax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pop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retq</w:t>
            </w:r>
          </w:p>
        </w:tc>
        <w:tc>
          <w:tcPr>
            <w:tcW w:w="3772"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The stack is initilized.  The two values passed to the function are stored on the stack and moved to eax and edx.  They are then added to each other and the value is returned.</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 xml:space="preserve">File Four: </w:t>
      </w:r>
      <w:r>
        <w:rPr/>
        <w:t>assignment3_</w:t>
      </w:r>
      <w:r>
        <w:rPr/>
        <w:t>4</w:t>
      </w:r>
      <w:r>
        <w:rPr/>
        <w:t>.o</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1800"/>
        <w:gridCol w:w="4440"/>
        <w:gridCol w:w="3120"/>
      </w:tblGrid>
      <w:tr>
        <w:trPr>
          <w:tblHeader w:val="true"/>
        </w:trPr>
        <w:tc>
          <w:tcPr>
            <w:tcW w:w="180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Functions</w:t>
            </w:r>
          </w:p>
        </w:tc>
        <w:tc>
          <w:tcPr>
            <w:tcW w:w="444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Blocks of Assembly Code</w:t>
            </w:r>
          </w:p>
        </w:tc>
        <w:tc>
          <w:tcPr>
            <w:tcW w:w="312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Explanation of Functionality</w:t>
            </w:r>
          </w:p>
        </w:tc>
      </w:tr>
      <w:tr>
        <w:trPr/>
        <w:tc>
          <w:tcPr>
            <w:tcW w:w="180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PrintFact</w:t>
            </w:r>
          </w:p>
        </w:tc>
        <w:tc>
          <w:tcPr>
            <w:tcW w:w="444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sub    $0x20,%rsp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%edi,-0x14(%rbp)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movl   $0x1,-0x4(%rbp)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-0x14(%rbp),%eax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jmp    0x400669 &lt;PrintFact+60&gt;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imul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%eax,-0x4(%rbp)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$0x400844,%edi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0x4004f0 &lt;printf@plt&gt;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subl   $0x1,-0x8(%rbp)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cmpl   $0x0,-0x8(%rbp)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jg     0x400647 &lt;PrintFact+26&gt;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$0x400848,%edi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0x4004f0 &lt;printf@plt&gt;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leaveq </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retq </w:t>
            </w:r>
          </w:p>
        </w:tc>
        <w:tc>
          <w:tcPr>
            <w:tcW w:w="312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The stack is initialized.  The value passed to the function is stored and moved to a usable register.  The number inputed is printed  and decremented by 1.  This loops until the value equals 1 where it stops.  It then prints the facorial total in brackets and returns.</w:t>
            </w:r>
          </w:p>
        </w:tc>
      </w:tr>
      <w:tr>
        <w:trPr/>
        <w:tc>
          <w:tcPr>
            <w:tcW w:w="180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PrintSum</w:t>
            </w:r>
          </w:p>
        </w:tc>
        <w:tc>
          <w:tcPr>
            <w:tcW w:w="444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sub    $0x20,%rsp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%edi,-0x14(%rbp)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movl   $0x0,-0x4(%rbp)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-0x14(%rbp),%eax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jmp    0x4006c0 &lt;PrintSum+56&gt;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add    %eax,-0x4(%rbp)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$0x400844,%edi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0x4004f0 &lt;printf@plt&gt;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subl   $0x1,-0x8(%rbp)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cmpl   $0x0,-0x8(%rbp)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jg     0x4006a2 &lt;PrintSum+26&gt;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%eax,%esi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$0x400848,%edi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0x4004f0 &lt;printf@plt&gt;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leaveq </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retq</w:t>
            </w:r>
          </w:p>
        </w:tc>
        <w:tc>
          <w:tcPr>
            <w:tcW w:w="312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The stack is initialized.  Like the print factorial function a number is passed to the function for use.  It is stored and moved to a usable location.  The number is printed to ther console and decremented by 1.  It loops until the value equals 1 where it then prints the sum of all of the numbers in brackets.  The function then returns.</w:t>
            </w:r>
          </w:p>
        </w:tc>
      </w:tr>
      <w:tr>
        <w:trPr/>
        <w:tc>
          <w:tcPr>
            <w:tcW w:w="180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DisplayMenu</w:t>
            </w:r>
          </w:p>
        </w:tc>
        <w:tc>
          <w:tcPr>
            <w:tcW w:w="444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$0x400851,%edi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$0x400864,%edi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$0x400871,%edi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$0x40087e,%edi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mov    $0x400851,%edi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pop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retq </w:t>
            </w:r>
          </w:p>
        </w:tc>
        <w:tc>
          <w:tcPr>
            <w:tcW w:w="312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 xml:space="preserve">The stack is initialized.  The strings stored in data are moved to edi and outputed using the put function to display a menu.  </w:t>
            </w:r>
            <w:r>
              <w:rPr>
                <w:rFonts w:eastAsia="Calibri" w:cs="Calibri" w:cstheme="majorHAnsi" w:ascii="Calibri" w:hAnsi="Calibri"/>
              </w:rPr>
              <w:t>Below is the displayed menu.</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1. Factorial</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2. Summation</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3. Quit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Enter your number:</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tc>
      </w:tr>
      <w:tr>
        <w:trPr/>
        <w:tc>
          <w:tcPr>
            <w:tcW w:w="180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main</w:t>
            </w:r>
          </w:p>
        </w:tc>
        <w:tc>
          <w:tcPr>
            <w:tcW w:w="444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push   %rbp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%rsp,%rbp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sub    $0x10,%rsp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movl   $0x0,-0x8(%rbp)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jmp    0x4007a0 &lt;main+137&gt;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0x4006df &lt;DisplayMenu&gt;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$0x400886,%edi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lea    -0x8(%rbp),%rax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%rax,%rsi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$0x400899,%edi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0x400520 &lt;__isoc99_scanf@plt&gt;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cmp    $0x3,%eax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je     0x40077a &lt;main+99&gt;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$0x40089c,%edi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0x4004e0 &lt;puts@plt&gt;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lea    -0x4(%rbp),%rax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%rax,%rsi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$0x400899,%edi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$0x0,%eax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0x400520 &lt;__isoc99_scanf@plt&gt;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cmp    $0x1,%eax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jne    0x40078e &lt;main+119&gt;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%eax,%edi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0x40062d &lt;PrintFact&gt;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jmp    0x4007a0 &lt;main+137&gt;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cmp    $0x2,%eax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jne    0x4007a0 &lt;main+137&gt;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-0x4(%rbp),%eax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%eax,%edi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0x400688 &lt;PrintSum&gt;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-0x8(%rbp),%eax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cmp    $0x3,%eax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jne    0x400728 &lt;main+17&gt;</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mov    $0x0,%edi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xml:space="preserve">   </w:t>
            </w:r>
            <w:r>
              <w:rPr>
                <w:rFonts w:eastAsia="Calibri" w:cs="Calibri" w:ascii="Calibri" w:hAnsi="Calibri" w:asciiTheme="majorHAnsi" w:cstheme="majorHAnsi" w:hAnsiTheme="majorHAnsi"/>
              </w:rPr>
              <w:t>callq  0x400530 &lt;exit@plt&gt;</w:t>
            </w:r>
          </w:p>
        </w:tc>
        <w:tc>
          <w:tcPr>
            <w:tcW w:w="312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t xml:space="preserve">The stack is initialized.  The menu function is called to display the menu.  Scanf is also called to take user input. If 1 is selected then print factorial function is called, if 2 is selected print sum is called, and if 3 is selected the application terminates. </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Calibri">
    <w:charset w:val="01"/>
    <w:family w:val="roman"/>
    <w:pitch w:val="default"/>
  </w:font>
  <w:font w:name="Tahoma">
    <w:charset w:val="01"/>
    <w:family w:val="roman"/>
    <w:pitch w:val="default"/>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AutoHyphens w:val="true"/>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3438"/>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rsid w:val="00b62abb"/>
    <w:pPr>
      <w:suppressAutoHyphens w:val="true"/>
      <w:spacing w:lineRule="auto" w:line="240" w:before="0" w:after="0"/>
      <w:contextualSpacing/>
      <w:outlineLvl w:val="1"/>
    </w:pPr>
    <w:rPr>
      <w:rFonts w:ascii="Calibri" w:hAnsi="Calibri" w:eastAsia="Calibri" w:cs="Calibri" w:asciiTheme="majorHAnsi" w:cstheme="majorHAnsi" w:hAnsiTheme="majorHAnsi"/>
      <w:b/>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62533a"/>
    <w:rPr/>
  </w:style>
  <w:style w:type="character" w:styleId="FooterChar" w:customStyle="1">
    <w:name w:val="Footer Char"/>
    <w:basedOn w:val="DefaultParagraphFont"/>
    <w:link w:val="Footer"/>
    <w:uiPriority w:val="99"/>
    <w:qFormat/>
    <w:rsid w:val="0062533a"/>
    <w:rPr/>
  </w:style>
  <w:style w:type="character" w:styleId="BalloonTextChar" w:customStyle="1">
    <w:name w:val="Balloon Text Char"/>
    <w:basedOn w:val="DefaultParagraphFont"/>
    <w:link w:val="BalloonText"/>
    <w:uiPriority w:val="99"/>
    <w:semiHidden/>
    <w:qFormat/>
    <w:rsid w:val="0014135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62533a"/>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2533a"/>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14135b"/>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533a"/>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6C76B2-08E5-4649-BBD7-0B38F59B2EF5}">
  <ds:schemaRefs>
    <ds:schemaRef ds:uri="http://schemas.microsoft.com/sharepoint/v3/contenttype/forms"/>
  </ds:schemaRefs>
</ds:datastoreItem>
</file>

<file path=customXml/itemProps2.xml><?xml version="1.0" encoding="utf-8"?>
<ds:datastoreItem xmlns:ds="http://schemas.openxmlformats.org/officeDocument/2006/customXml" ds:itemID="{6B8A831C-2BE1-46A0-8C47-CFFD5FE62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95A84-2487-484B-A6E1-8D0CB5832D83}">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5</Pages>
  <Words>931</Words>
  <Characters>5521</Characters>
  <CharactersWithSpaces>6825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2020-11-23T21:12:00Z</dcterms:created>
  <dc:creator>Paul K</dc:creator>
  <dc:description/>
  <dc:language>en-US</dc:language>
  <cp:lastModifiedBy/>
  <dcterms:modified xsi:type="dcterms:W3CDTF">2022-01-14T16:31:13Z</dcterms:modified>
  <cp:revision>9</cp:revision>
  <dc:subject/>
  <dc:title>CS 410 Binary to Assembly Activity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0x0101003FC679AA94041F4BA4494D199A3447AF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