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1400"/>
        <w:jc w:val="center"/>
      </w:pPr>
      <w:r>
        <w:t>Contrato de Desenvolvimento e Implementação do Ecossistema Inteligente PrintPixel</w:t>
      </w:r>
    </w:p>
    <w:p>
      <w:pPr>
        <w:pStyle w:val="Subtitle"/>
        <w:widowControl/>
        <w:spacing w:after="600"/>
        <w:jc w:val="center"/>
      </w:pPr>
      <w:r>
        <w:t>Minuta de contrato para centralização de vendas, produção, faturação, gestão fiscal e inteligência artificial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436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Contrato e caderno de encargos integrado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Minuta para negociação e revisão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20 de outubro de 2026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rPr>
          <w:b/>
        </w:rPr>
        <w:t>Entidade cliente</w:t>
      </w:r>
      <w:r/>
    </w:p>
    <w:p>
      <w:pPr>
        <w:widowControl/>
        <w:jc w:val="center"/>
      </w:pPr>
      <w:r>
        <w:t>PRINT PIXEL — GRÁFICA E COMUNICAÇÃO VISUAL, LDA</w:t>
      </w:r>
    </w:p>
    <w:p>
      <w:pPr>
        <w:widowControl/>
        <w:jc w:val="center"/>
      </w:pPr>
      <w:r>
        <w:t>NIF/NIPC 515867136</w:t>
      </w:r>
    </w:p>
    <w:p>
      <w:pPr>
        <w:widowControl/>
        <w:jc w:val="center"/>
      </w:pPr>
      <w:r>
        <w:t>Rua Francisco Alexandre Ferreira, 207 R/C, 4400-469 Vila Nova de Gaia, Portugal</w:t>
      </w:r>
    </w:p>
    <w:p>
      <w:pPr>
        <w:widowControl/>
        <w:jc w:val="center"/>
      </w:pPr>
      <w:r>
        <w:rPr>
          <w:b/>
        </w:rPr>
        <w:t>Entidade prestadora</w:t>
      </w:r>
      <w:r/>
    </w:p>
    <w:p>
      <w:pPr>
        <w:widowControl/>
        <w:jc w:val="center"/>
      </w:pPr>
      <w:r>
        <w:t>[A identificar na versão para assinatura]</w:t>
      </w:r>
    </w:p>
    <w:p>
      <w:pPr>
        <w:widowControl/>
        <w:spacing w:before="560"/>
        <w:jc w:val="center"/>
      </w:pPr>
      <w:r>
        <w:rPr>
          <w:b/>
          <w:sz w:val="18"/>
        </w:rPr>
        <w:t>Aviso importante</w:t>
      </w:r>
    </w:p>
    <w:p>
      <w:pPr>
        <w:widowControl/>
        <w:jc w:val="center"/>
      </w:pPr>
      <w:r>
        <w:t>Esta minuta define o âmbito funcional, técnico e contratual pretendido. Deve ser validada por advogado e contabilista certificados antes da assinatura, em especial quanto a responsabilidade, proteção de dados, fiscalidade, propriedade intelectual e submissão de declarações fiscais.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Identificação das partes</w:t>
      </w:r>
    </w:p>
    <w:p>
      <w:pPr>
        <w:widowControl/>
      </w:pPr>
      <w:r>
        <w:t>Entre:</w:t>
      </w:r>
    </w:p>
    <w:p>
      <w:pPr>
        <w:widowControl/>
      </w:pPr>
      <w:r>
        <w:t>PRINT PIXEL — GRÁFICA E COMUNICAÇÃO VISUAL, LDA, pessoa coletiva n.º 515867136, com sede na Rua Francisco Alexandre Ferreira, 207 R/C, 4400-469 Vila Nova de Gaia, Portugal, adiante designada por Cliente ou PrintPixel;</w:t>
      </w:r>
    </w:p>
    <w:p>
      <w:pPr>
        <w:widowControl/>
      </w:pPr>
      <w:r>
        <w:t>e</w:t>
      </w:r>
    </w:p>
    <w:p>
      <w:pPr>
        <w:widowControl/>
      </w:pPr>
      <w:r>
        <w:t>[DENOMINAÇÃO SOCIAL DO PRESTADOR], pessoa coletiva n.º [a preencher], com sede em [a preencher], representada por [a preencher], adiante designada por Prestador;</w:t>
      </w:r>
    </w:p>
    <w:p>
      <w:pPr>
        <w:widowControl/>
      </w:pPr>
      <w:r>
        <w:t>é celebrado o presente Contrato de Desenvolvimento, Implementação, Integração, Manutenção e Suporte do Ecossistema Inteligente PrintPixel, que se rege pelas cláusulas seguintes e pelos anexos que dele fazem parte integrante.</w:t>
      </w:r>
    </w:p>
    <w:p>
      <w:pPr>
        <w:pStyle w:val="Heading1"/>
        <w:keepNext/>
        <w:widowControl/>
      </w:pPr>
      <w:r>
        <w:t>Considerandos</w:t>
      </w:r>
    </w:p>
    <w:p>
      <w:pPr>
        <w:pStyle w:val="ListNumber"/>
        <w:widowControl/>
        <w:spacing w:after="40"/>
      </w:pPr>
      <w:r>
        <w:t>A Cliente desenvolve e comercializa produtos personalizados de comunicação visual, incluindo neon LED, logótipos e peças em acrílico, elementos para montras, impressão 3D, corte laser, autocolantes, rótulos, sinalética, expositores e produtos especiais.</w:t>
      </w:r>
    </w:p>
    <w:p>
      <w:pPr>
        <w:pStyle w:val="ListNumber"/>
        <w:widowControl/>
        <w:spacing w:after="40"/>
      </w:pPr>
      <w:r>
        <w:t>A Cliente opera uma loja online em Shopify, denominada Print Pixel Studio, na qual o cliente final seleciona, personaliza, aprova e paga produtos sujeitos a IVA.</w:t>
      </w:r>
    </w:p>
    <w:p>
      <w:pPr>
        <w:pStyle w:val="ListNumber"/>
        <w:widowControl/>
        <w:spacing w:after="40"/>
      </w:pPr>
      <w:r>
        <w:t>A Cliente dispõe de um CRM próprio com módulos de orçamento, pedidos, produção, materiais, custos, comissões, pagamentos, faturação, integração Moloni e indicadores de gestão.</w:t>
      </w:r>
    </w:p>
    <w:p>
      <w:pPr>
        <w:pStyle w:val="ListNumber"/>
        <w:widowControl/>
        <w:spacing w:after="40"/>
      </w:pPr>
      <w:r>
        <w:t>As Partes pretendem evoluir o CRM para um ecossistema central, integrado e auditável, capaz de receber automaticamente encomendas da loja, apoiar orçamentos personalizados, organizar produção e agenda, apoiar faturação e apuramento trimestral de IVA e aprender com os resultados reais.</w:t>
      </w:r>
    </w:p>
    <w:p>
      <w:pPr>
        <w:pStyle w:val="ListNumber"/>
        <w:widowControl/>
        <w:spacing w:after="40"/>
      </w:pPr>
      <w:r>
        <w:t>A inteligência artificial deverá atuar como camada de assistência e interpretação, sem substituir as regras determinísticas de preço, a validação humana, o contabilista certificado ou as obrigações legais da Cliente.</w:t>
      </w:r>
    </w:p>
    <w:p>
      <w:pPr>
        <w:pStyle w:val="Heading1"/>
        <w:keepNext/>
        <w:widowControl/>
      </w:pPr>
      <w:r>
        <w:t>1 Objeto</w:t>
      </w:r>
    </w:p>
    <w:p>
      <w:pPr>
        <w:widowControl/>
      </w:pPr>
      <w:r>
        <w:t>1.1 O Prestador obriga-se a analisar, conceber, desenvolver, testar, documentar, implementar e suportar o Ecossistema Inteligente PrintPixel, adiante Sistema, nos termos do presente Contrato.</w:t>
      </w:r>
    </w:p>
    <w:p>
      <w:pPr>
        <w:widowControl/>
      </w:pPr>
      <w:r>
        <w:t>1.2 O Sistema deverá funcionar como fonte operacional central para clientes, orçamentos, encomendas, ficheiros de personalização, produção, agenda, materiais, pagamentos, documentos fiscais, indicadores de gestão e dados de aprendizagem.</w:t>
      </w:r>
    </w:p>
    <w:p>
      <w:pPr>
        <w:widowControl/>
      </w:pPr>
      <w:r>
        <w:t>1.3 O desenvolvimento será realizado por fases, com entregas verificáveis e aceitação formal, não se considerando incluída qualquer funcionalidade que não conste deste Contrato, dos seus anexos ou de pedido de alteração aprovado por escrito.</w:t>
      </w:r>
    </w:p>
    <w:p>
      <w:pPr>
        <w:pStyle w:val="Heading1"/>
        <w:keepNext/>
        <w:widowControl/>
      </w:pPr>
      <w:r>
        <w:t>2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80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CRM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Aplicação interna atualmente utilizada pela Cliente para gestão comercial, produção, financeira e administrativa.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Loja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Loja online Print Pixel Studio, atualmente suportada por Shopify e pelo editor de personalização associado.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Sistema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Conjunto integrado formado pelo CRM, serviços de integração, módulos de IA, base de dados, agenda, relatórios e conectores externos.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Encomenda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Pedido realizado na Loja, inserido manualmente ou convertido de orçamento.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Ordem de produção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Registo operacional que contém produto, ficheiros aprovados, materiais, etapas, responsáveis, prazos e controlo de qualidade.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Receita técnica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Conjunto versionado de materiais, fórmulas, processos, tempos, perdas, dependências e perguntas necessário para fabricar uma família de produto.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Serviços de inteligência artificial usados para interpretar texto, imagem e documentos, sugerir classificações, explicar dados e apoiar decisões.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Previsto e realizado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Comparação entre materiais, tempos, custos e prazos estimados e os efetivamente registados.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Integração fiscal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Ligação ao Moloni ou a outro software certificado aprovado, destinada à emissão, consulta e reconciliação de documentos fiscais.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3 Princípios obrigatórios de arquitetura</w:t>
      </w:r>
    </w:p>
    <w:p>
      <w:pPr>
        <w:pStyle w:val="ListBullet"/>
        <w:widowControl/>
        <w:spacing w:after="40"/>
      </w:pPr>
      <w:r>
        <w:t>Uma única identificação por cliente, encomenda, pagamento e documento fiscal, com rastreabilidade entre os sistemas.</w:t>
      </w:r>
    </w:p>
    <w:p>
      <w:pPr>
        <w:pStyle w:val="ListBullet"/>
        <w:widowControl/>
        <w:spacing w:after="40"/>
      </w:pPr>
      <w:r>
        <w:t>Cálculos de custo, preço, margem e IVA executados por regras determinísticas, versionadas e testáveis.</w:t>
      </w:r>
    </w:p>
    <w:p>
      <w:pPr>
        <w:pStyle w:val="ListBullet"/>
        <w:widowControl/>
        <w:spacing w:after="40"/>
      </w:pPr>
      <w:r>
        <w:t>IA utilizada para extração, classificação, previsão e explicação, nunca como única autoridade para preço, IVA ou obrigações fiscais.</w:t>
      </w:r>
    </w:p>
    <w:p>
      <w:pPr>
        <w:pStyle w:val="ListBullet"/>
        <w:widowControl/>
        <w:spacing w:after="40"/>
      </w:pPr>
      <w:r>
        <w:t>Confirmação humana sempre que existam dados em falta, baixa confiança, exceções, reembolsos, alterações de preço, emissão fiscal ou conflito entre fontes.</w:t>
      </w:r>
    </w:p>
    <w:p>
      <w:pPr>
        <w:pStyle w:val="ListBullet"/>
        <w:widowControl/>
        <w:spacing w:after="40"/>
      </w:pPr>
      <w:r>
        <w:t>Idempotência e prevenção de duplicações em todos os webhooks, importações e reprocessamentos.</w:t>
      </w:r>
    </w:p>
    <w:p>
      <w:pPr>
        <w:pStyle w:val="ListBullet"/>
        <w:widowControl/>
        <w:spacing w:after="40"/>
      </w:pPr>
      <w:r>
        <w:t>Registo de auditoria de ações humanas, automáticas e efetuadas por IA.</w:t>
      </w:r>
    </w:p>
    <w:p>
      <w:pPr>
        <w:pStyle w:val="ListBullet"/>
        <w:widowControl/>
        <w:spacing w:after="40"/>
      </w:pPr>
      <w:r>
        <w:t>Separação de permissões entre gestão, comercial, produção, financeiro, contabilista e administração técnica.</w:t>
      </w:r>
    </w:p>
    <w:p>
      <w:pPr>
        <w:pStyle w:val="ListBullet"/>
        <w:widowControl/>
        <w:spacing w:after="40"/>
      </w:pPr>
      <w:r>
        <w:t>Proteção de dados desde a conceção, minimização de dados, cifragem e retenção controlada.</w:t>
      </w:r>
    </w:p>
    <w:p>
      <w:pPr>
        <w:pStyle w:val="Heading1"/>
        <w:keepNext/>
        <w:widowControl/>
      </w:pPr>
      <w:r>
        <w:t>4 Âmbito funcional</w:t>
      </w:r>
    </w:p>
    <w:p>
      <w:pPr>
        <w:pStyle w:val="Heading2"/>
        <w:keepNext/>
        <w:widowControl/>
      </w:pPr>
      <w:r>
        <w:t>4.1 Cadastro central</w:t>
      </w:r>
    </w:p>
    <w:p>
      <w:pPr>
        <w:pStyle w:val="ListBullet"/>
        <w:widowControl/>
        <w:spacing w:after="40"/>
      </w:pPr>
      <w:r>
        <w:t>Clientes, contactos, moradas de faturação e entrega, NIF, país, preferências e consentimentos.</w:t>
      </w:r>
    </w:p>
    <w:p>
      <w:pPr>
        <w:pStyle w:val="ListBullet"/>
        <w:widowControl/>
        <w:spacing w:after="40"/>
      </w:pPr>
      <w:r>
        <w:t>Produtos, variantes, famílias, materiais, fornecedores, máquinas, processos, colaboradores e centros de custo.</w:t>
      </w:r>
    </w:p>
    <w:p>
      <w:pPr>
        <w:pStyle w:val="ListBullet"/>
        <w:widowControl/>
        <w:spacing w:after="40"/>
      </w:pPr>
      <w:r>
        <w:t>Receitas técnicas versionadas por família de produto e complexidade.</w:t>
      </w:r>
    </w:p>
    <w:p>
      <w:pPr>
        <w:pStyle w:val="ListBullet"/>
        <w:widowControl/>
        <w:spacing w:after="40"/>
      </w:pPr>
      <w:r>
        <w:t>Tabelas de IVA, isenções, regras geográficas e datas de vigência, sujeitas a validação contabilística.</w:t>
      </w:r>
    </w:p>
    <w:p>
      <w:pPr>
        <w:pStyle w:val="ListBullet"/>
        <w:widowControl/>
        <w:spacing w:after="40"/>
      </w:pPr>
      <w:r>
        <w:t>Mapeamento de produtos e variantes entre Shopify, CRM e software de faturação.</w:t>
      </w:r>
    </w:p>
    <w:p>
      <w:pPr>
        <w:pStyle w:val="Heading2"/>
        <w:keepNext/>
        <w:widowControl/>
      </w:pPr>
      <w:r>
        <w:t>4.2 Orçamentista assistido por IA</w:t>
      </w:r>
    </w:p>
    <w:p>
      <w:pPr>
        <w:pStyle w:val="ListBullet"/>
        <w:widowControl/>
        <w:spacing w:after="40"/>
      </w:pPr>
      <w:r>
        <w:t>Receção de texto, imagem, fotografia, PDF e ficheiro vetorial, quando o formato for tecnicamente suportado.</w:t>
      </w:r>
    </w:p>
    <w:p>
      <w:pPr>
        <w:pStyle w:val="ListBullet"/>
        <w:widowControl/>
        <w:spacing w:after="40"/>
      </w:pPr>
      <w:r>
        <w:t>Classificação do pedido numa família de produto: neon LED, logótipo em acrílico, logótipo iluminado, letras PETG ou 3D, corte laser, produto para montra, autocolante, rótulo, sinalética, expositor, troféu ou projeto especial.</w:t>
      </w:r>
    </w:p>
    <w:p>
      <w:pPr>
        <w:pStyle w:val="ListBullet"/>
        <w:widowControl/>
        <w:spacing w:after="40"/>
      </w:pPr>
      <w:r>
        <w:t>Extração de texto, número de elementos, cores, medidas declaradas, materiais aparentes e complexidade visual.</w:t>
      </w:r>
    </w:p>
    <w:p>
      <w:pPr>
        <w:pStyle w:val="ListBullet"/>
        <w:widowControl/>
        <w:spacing w:after="40"/>
      </w:pPr>
      <w:r>
        <w:t>Indicação de confiança e origem de cada dado extraído, distinguindo facto lido, inferência e informação fornecida pelo utilizador.</w:t>
      </w:r>
    </w:p>
    <w:p>
      <w:pPr>
        <w:pStyle w:val="ListBullet"/>
        <w:widowControl/>
        <w:spacing w:after="40"/>
      </w:pPr>
      <w:r>
        <w:t>Checklist dinâmico de perguntas em falta, incluindo dimensões, material, espessura, cor, iluminação, base, fixação, ambiente interior ou exterior, instalação, quantidade e prazo.</w:t>
      </w:r>
    </w:p>
    <w:p>
      <w:pPr>
        <w:pStyle w:val="ListBullet"/>
        <w:widowControl/>
        <w:spacing w:after="40"/>
      </w:pPr>
      <w:r>
        <w:t>Proposta de ficha técnica para validação humana antes do cálculo.</w:t>
      </w:r>
    </w:p>
    <w:p>
      <w:pPr>
        <w:pStyle w:val="ListBullet"/>
        <w:widowControl/>
        <w:spacing w:after="40"/>
      </w:pPr>
      <w:r>
        <w:t>Cálculo por meio do motor de custeio do CRM, incluindo materiais, perdas, máquina, energia, mão de obra, serviços externos, instalação, embalagem, comissão, margem e IVA.</w:t>
      </w:r>
    </w:p>
    <w:p>
      <w:pPr>
        <w:pStyle w:val="ListBullet"/>
        <w:widowControl/>
        <w:spacing w:after="40"/>
      </w:pPr>
      <w:r>
        <w:t>Apresentação de preço mínimo, preço sugerido, margem prevista, custo discriminado e alertas de risco.</w:t>
      </w:r>
    </w:p>
    <w:p>
      <w:pPr>
        <w:pStyle w:val="ListBullet"/>
        <w:widowControl/>
        <w:spacing w:after="40"/>
      </w:pPr>
      <w:r>
        <w:t>Geração de proposta comercial, link de aprovação e histórico de revisões.</w:t>
      </w:r>
    </w:p>
    <w:p>
      <w:pPr>
        <w:pStyle w:val="Heading2"/>
        <w:keepNext/>
        <w:widowControl/>
      </w:pPr>
      <w:r>
        <w:t>4.3 Famílias prioritárias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Família</w:t>
            </w:r>
          </w:p>
        </w:tc>
        <w:tc>
          <w:tcPr>
            <w:tcW w:type="dxa" w:w="351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Dados mínimos</w:t>
            </w:r>
          </w:p>
        </w:tc>
        <w:tc>
          <w:tcPr>
            <w:tcW w:type="dxa" w:w="396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Cálculos principais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Neon LED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Arte ou texto, largura, altura, cor, base, interior ou exterior, fixação, instalação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Comprimento do traçado, neon, acrílico, fonte, corte, montagem, cabos, embalagem e instalação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Logótipo em acrílico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Arte, dimensões, espessura, cor, iluminação, afastamento, aplicação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Área e aproveitamento, corte, impressão ou vinil, LED, fixadores e mão de obra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Letras PETG ou 3D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Texto ou vetor, altura, profundidade, largura real, material, acabamento e iluminação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Filamento, horas de impressão, energia, segmentação, falhas, LED e montagem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Corte laser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Ficheiro, material, espessura, dimensões, quantidade e acabamento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Área, comprimento de corte, tempo de máquina, preparação e perda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Autocolantes e rótulos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Formato, medidas, quantidade, material, corte, laminação e arte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Área, aproveitamento, impressão, corte, acabamento e embalagem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Projeto especial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Briefing, dimensões, componentes e prazo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Decomposição em materiais, processos, terceirização, eletrónica, montagem e risco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4.4 Integração automática da Loja Shopify</w:t>
      </w:r>
    </w:p>
    <w:p>
      <w:pPr>
        <w:widowControl/>
      </w:pPr>
      <w:r>
        <w:t>A integração deverá usar APIs e webhooks oficiais da Shopify e não depender de leitura manual de emails. Deverá suportar, no mínimo:</w:t>
      </w:r>
    </w:p>
    <w:p>
      <w:pPr>
        <w:pStyle w:val="ListBullet"/>
        <w:widowControl/>
        <w:spacing w:after="40"/>
      </w:pPr>
      <w:r>
        <w:t>Criação e atualização de encomendas, pagamentos, cancelamentos, reembolsos, dados de entrega e estados de expedição.</w:t>
      </w:r>
    </w:p>
    <w:p>
      <w:pPr>
        <w:pStyle w:val="ListBullet"/>
        <w:widowControl/>
        <w:spacing w:after="40"/>
      </w:pPr>
      <w:r>
        <w:t>Importação do cliente, NIF quando recolhido, moradas, contactos, produtos, variantes, quantidades, descontos, portes, impostos, moeda e identificadores Shopify.</w:t>
      </w:r>
    </w:p>
    <w:p>
      <w:pPr>
        <w:pStyle w:val="ListBullet"/>
        <w:widowControl/>
        <w:spacing w:after="40"/>
      </w:pPr>
      <w:r>
        <w:t>Importação ou referência segura dos ficheiros e pré-visualizações produzidos no editor de personalização.</w:t>
      </w:r>
    </w:p>
    <w:p>
      <w:pPr>
        <w:pStyle w:val="ListBullet"/>
        <w:widowControl/>
        <w:spacing w:after="40"/>
      </w:pPr>
      <w:r>
        <w:t>Criação automática do pedido no CRM apenas quando o evento e o estado de pagamento cumprirem as regras configuradas.</w:t>
      </w:r>
    </w:p>
    <w:p>
      <w:pPr>
        <w:pStyle w:val="ListBullet"/>
        <w:widowControl/>
        <w:spacing w:after="40"/>
      </w:pPr>
      <w:r>
        <w:t>Criação de ordem de produção a partir da receita técnica correspondente, com os ficheiros aprovados anexos.</w:t>
      </w:r>
    </w:p>
    <w:p>
      <w:pPr>
        <w:pStyle w:val="ListBullet"/>
        <w:widowControl/>
        <w:spacing w:after="40"/>
      </w:pPr>
      <w:r>
        <w:t>Fila de exceções para encomendas incompletas, ficheiros ausentes, variantes sem correspondência, divergências de IVA, pagamentos parciais ou produtos especiais.</w:t>
      </w:r>
    </w:p>
    <w:p>
      <w:pPr>
        <w:pStyle w:val="ListBullet"/>
        <w:widowControl/>
        <w:spacing w:after="40"/>
      </w:pPr>
      <w:r>
        <w:t>Sincronização do estado de produção ou expedição para a Loja quando tecnicamente permitido e aprovado.</w:t>
      </w:r>
    </w:p>
    <w:p>
      <w:pPr>
        <w:pStyle w:val="ListBullet"/>
        <w:widowControl/>
        <w:spacing w:after="40"/>
      </w:pPr>
      <w:r>
        <w:t>Reprocessamento seguro, registo de falhas, repetição automática com limites e alerta quando a intervenção humana for necessária.</w:t>
      </w:r>
    </w:p>
    <w:p>
      <w:pPr>
        <w:pStyle w:val="ListBullet"/>
        <w:widowControl/>
        <w:spacing w:after="40"/>
      </w:pPr>
      <w:r>
        <w:t>Rotina diária de reconciliação entre encomendas Shopify e pedidos CRM, identificando omissões, duplicações e diferenças de valor.</w:t>
      </w:r>
    </w:p>
    <w:p>
      <w:pPr>
        <w:pStyle w:val="Heading2"/>
        <w:keepNext/>
        <w:widowControl/>
      </w:pPr>
      <w:r>
        <w:t>4.5 Mapeamento mínimo Shopify para CRM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3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Origem Shopify</w:t>
            </w:r>
          </w:p>
        </w:tc>
        <w:tc>
          <w:tcPr>
            <w:tcW w:type="dxa" w:w="255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Destino CRM</w:t>
            </w:r>
          </w:p>
        </w:tc>
        <w:tc>
          <w:tcPr>
            <w:tcW w:type="dxa" w:w="419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order.id e order.name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externalId e número externo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Chave única; nunca recriar pedido existente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customer e billing_address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Cliente e faturação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Atualizar sem apagar histórico; validar NIF separadamente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shipping_address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Entrega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Manter distinta da morada fiscal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line_items e properties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Produtos e personalização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Preservar opções, texto, medidas e referências de arte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tax_lines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IVA por linha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Guardar taxa, base tributável e montante da fonte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discounts e shipping_lines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Descontos e portes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Linhas separadas para reconciliação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transactions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Pagamentos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Registar gateway, valor, estado, data e referência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refunds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Crédito ou reembolso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Exigir conciliação com documento fiscal aplicável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fulfillments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Expedição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Guardar transportadora, rastreio e estado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ficheiros do personalizador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Arte aprovada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Guardar referência imutável e cópia conforme política de retenção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4.6 Pedidos e produção</w:t>
      </w:r>
    </w:p>
    <w:p>
      <w:pPr>
        <w:pStyle w:val="ListBullet"/>
        <w:widowControl/>
        <w:spacing w:after="40"/>
      </w:pPr>
      <w:r>
        <w:t>Conversão de orçamento aprovado ou encomenda paga em pedido e ordem de produção.</w:t>
      </w:r>
    </w:p>
    <w:p>
      <w:pPr>
        <w:pStyle w:val="ListBullet"/>
        <w:widowControl/>
        <w:spacing w:after="40"/>
      </w:pPr>
      <w:r>
        <w:t>Roteiro por produto com etapas, dependências, tempo previsto, responsável e estado.</w:t>
      </w:r>
    </w:p>
    <w:p>
      <w:pPr>
        <w:pStyle w:val="ListBullet"/>
        <w:widowControl/>
        <w:spacing w:after="40"/>
      </w:pPr>
      <w:r>
        <w:t>Etapas configuráveis: validação da arte, prova ao cliente, aprovação, corte, impressão 3D, impressão, aplicação, LED e eletrónica, montagem, acabamento, controlo de qualidade, embalagem, expedição e instalação.</w:t>
      </w:r>
    </w:p>
    <w:p>
      <w:pPr>
        <w:pStyle w:val="ListBullet"/>
        <w:widowControl/>
        <w:spacing w:after="40"/>
      </w:pPr>
      <w:r>
        <w:t>Registo de início e fim, pausas, materiais consumidos, falhas, retrabalho, fotografias de controlo e observações.</w:t>
      </w:r>
    </w:p>
    <w:p>
      <w:pPr>
        <w:pStyle w:val="ListBullet"/>
        <w:widowControl/>
        <w:spacing w:after="40"/>
      </w:pPr>
      <w:r>
        <w:t>Baixa e reserva de materiais; alerta de falta e sugestão de compra.</w:t>
      </w:r>
    </w:p>
    <w:p>
      <w:pPr>
        <w:pStyle w:val="ListBullet"/>
        <w:widowControl/>
        <w:spacing w:after="40"/>
      </w:pPr>
      <w:r>
        <w:t>Controlo de qualidade e bloqueio da entrega enquanto existirem verificações obrigatórias por concluir.</w:t>
      </w:r>
    </w:p>
    <w:p>
      <w:pPr>
        <w:pStyle w:val="ListBullet"/>
        <w:widowControl/>
        <w:spacing w:after="40"/>
      </w:pPr>
      <w:r>
        <w:t>Histórico completo de alterações e responsáveis.</w:t>
      </w:r>
    </w:p>
    <w:p>
      <w:pPr>
        <w:pStyle w:val="Heading2"/>
        <w:keepNext/>
        <w:widowControl/>
      </w:pPr>
      <w:r>
        <w:t>4.7 Agenda e planeamento inteligente</w:t>
      </w:r>
    </w:p>
    <w:p>
      <w:pPr>
        <w:pStyle w:val="ListBullet"/>
        <w:widowControl/>
        <w:spacing w:after="40"/>
      </w:pPr>
      <w:r>
        <w:t>Agenda unificada de prazos comerciais, aprovações, produção, máquinas, colaboradores, instalações, recolhas e entregas.</w:t>
      </w:r>
    </w:p>
    <w:p>
      <w:pPr>
        <w:pStyle w:val="ListBullet"/>
        <w:widowControl/>
        <w:spacing w:after="40"/>
      </w:pPr>
      <w:r>
        <w:t>Planeamento com base em capacidade disponível, duração estimada, dependências, prioridade, data prometida, material disponível e indisponibilidades.</w:t>
      </w:r>
    </w:p>
    <w:p>
      <w:pPr>
        <w:pStyle w:val="ListBullet"/>
        <w:widowControl/>
        <w:spacing w:after="40"/>
      </w:pPr>
      <w:r>
        <w:t>Carga específica das impressoras 3D, incluindo trabalhos noturnos, duração, fila, manutenção e falhas.</w:t>
      </w:r>
    </w:p>
    <w:p>
      <w:pPr>
        <w:pStyle w:val="ListBullet"/>
        <w:widowControl/>
        <w:spacing w:after="40"/>
      </w:pPr>
      <w:r>
        <w:t>Resumo diário com tarefas prioritárias, bloqueios, aprovações pendentes, compras necessárias e pedidos em risco.</w:t>
      </w:r>
    </w:p>
    <w:p>
      <w:pPr>
        <w:pStyle w:val="ListBullet"/>
        <w:widowControl/>
        <w:spacing w:after="40"/>
      </w:pPr>
      <w:r>
        <w:t>Sugestões de replaneamento explicadas; alterações automáticas de datas externas apenas após autorização expressa.</w:t>
      </w:r>
    </w:p>
    <w:p>
      <w:pPr>
        <w:pStyle w:val="ListBullet"/>
        <w:widowControl/>
        <w:spacing w:after="40"/>
      </w:pPr>
      <w:r>
        <w:t>Alertas de atraso provável, conflito de recursos e ausência de material, com antecedência configurável.</w:t>
      </w:r>
    </w:p>
    <w:p>
      <w:pPr>
        <w:pStyle w:val="ListBullet"/>
        <w:widowControl/>
        <w:spacing w:after="40"/>
      </w:pPr>
      <w:r>
        <w:t>Registo da data inicialmente prometida, datas revistas, motivo e responsável.</w:t>
      </w:r>
    </w:p>
    <w:p>
      <w:pPr>
        <w:pStyle w:val="Heading2"/>
        <w:keepNext/>
        <w:widowControl/>
      </w:pPr>
      <w:r>
        <w:t>4.8 Faturação e pagamentos</w:t>
      </w:r>
    </w:p>
    <w:p>
      <w:pPr>
        <w:pStyle w:val="ListBullet"/>
        <w:widowControl/>
        <w:spacing w:after="40"/>
      </w:pPr>
      <w:r>
        <w:t>Integração com Moloni ou outro software de faturação certificado aprovado pela Cliente.</w:t>
      </w:r>
    </w:p>
    <w:p>
      <w:pPr>
        <w:pStyle w:val="ListBullet"/>
        <w:widowControl/>
        <w:spacing w:after="40"/>
      </w:pPr>
      <w:r>
        <w:t>Validação do NIF, país, natureza das linhas, taxas de IVA, isenções, portes, descontos, pagamentos e saldo antes da emissão.</w:t>
      </w:r>
    </w:p>
    <w:p>
      <w:pPr>
        <w:pStyle w:val="ListBullet"/>
        <w:widowControl/>
        <w:spacing w:after="40"/>
      </w:pPr>
      <w:r>
        <w:t>Sugestão do documento aplicável conforme regras aprovadas: fatura, fatura-recibo, recibo, nota de crédito ou outro documento suportado.</w:t>
      </w:r>
    </w:p>
    <w:p>
      <w:pPr>
        <w:pStyle w:val="ListBullet"/>
        <w:widowControl/>
        <w:spacing w:after="40"/>
      </w:pPr>
      <w:r>
        <w:t>Pré-visualização obrigatória e emissão apenas por utilizador autorizado ou por regra de automatização expressamente aprovada.</w:t>
      </w:r>
    </w:p>
    <w:p>
      <w:pPr>
        <w:pStyle w:val="ListBullet"/>
        <w:widowControl/>
        <w:spacing w:after="40"/>
      </w:pPr>
      <w:r>
        <w:t>Prevenção de duplicação mediante referência estável entre pedido, documento fiscal e pagamento.</w:t>
      </w:r>
    </w:p>
    <w:p>
      <w:pPr>
        <w:pStyle w:val="ListBullet"/>
        <w:widowControl/>
        <w:spacing w:after="40"/>
      </w:pPr>
      <w:r>
        <w:t>Registo no CRM do identificador, número, estado, data, valor, PDF ou ligação segura ao documento fiscal.</w:t>
      </w:r>
    </w:p>
    <w:p>
      <w:pPr>
        <w:pStyle w:val="ListBullet"/>
        <w:widowControl/>
        <w:spacing w:after="40"/>
      </w:pPr>
      <w:r>
        <w:t>Tratamento de pagamentos parciais, reembolsos, cancelamentos, notas de crédito e diferenças de arredondamento.</w:t>
      </w:r>
    </w:p>
    <w:p>
      <w:pPr>
        <w:pStyle w:val="ListBullet"/>
        <w:widowControl/>
        <w:spacing w:after="40"/>
      </w:pPr>
      <w:r>
        <w:t>Conciliação entre Shopify, CRM, gateway de pagamento e software de faturação.</w:t>
      </w:r>
    </w:p>
    <w:p>
      <w:pPr>
        <w:pStyle w:val="Heading2"/>
        <w:keepNext/>
        <w:widowControl/>
      </w:pPr>
      <w:r>
        <w:t>4.9 Apoio ao IVA trimestral</w:t>
      </w:r>
    </w:p>
    <w:p>
      <w:pPr>
        <w:widowControl/>
      </w:pPr>
      <w:r>
        <w:t>O módulo fiscal será uma ferramenta de preparação, conferência e evidência. Não substituirá o contabilista certificado nem garantirá, por si só, o cumprimento de obrigações declarativas.</w:t>
      </w:r>
    </w:p>
    <w:p>
      <w:pPr>
        <w:pStyle w:val="ListBullet"/>
        <w:widowControl/>
        <w:spacing w:after="40"/>
      </w:pPr>
      <w:r>
        <w:t>Livro de vendas com base tributável, taxa, IVA liquidado, país, cliente, documento, estado e data fiscal.</w:t>
      </w:r>
    </w:p>
    <w:p>
      <w:pPr>
        <w:pStyle w:val="ListBullet"/>
        <w:widowControl/>
        <w:spacing w:after="40"/>
      </w:pPr>
      <w:r>
        <w:t>Livro de compras e despesas com fornecedor, NIF, documento, base, IVA suportado, percentagem dedutível, categoria e comprovativo.</w:t>
      </w:r>
    </w:p>
    <w:p>
      <w:pPr>
        <w:pStyle w:val="ListBullet"/>
        <w:widowControl/>
        <w:spacing w:after="40"/>
      </w:pPr>
      <w:r>
        <w:t>Classificação de despesas recorrentes por fornecedor e regras aprovadas pelo contabilista.</w:t>
      </w:r>
    </w:p>
    <w:p>
      <w:pPr>
        <w:pStyle w:val="ListBullet"/>
        <w:widowControl/>
        <w:spacing w:after="40"/>
      </w:pPr>
      <w:r>
        <w:t>Períodos trimestrais bloqueáveis, com registo de alterações posteriores ao fecho.</w:t>
      </w:r>
    </w:p>
    <w:p>
      <w:pPr>
        <w:pStyle w:val="ListBullet"/>
        <w:widowControl/>
        <w:spacing w:after="40"/>
      </w:pPr>
      <w:r>
        <w:t>Deteção de documentos em falta, duplicados, anulados, não faturados, sem NIF, com taxa divergente ou sem comprovativo.</w:t>
      </w:r>
    </w:p>
    <w:p>
      <w:pPr>
        <w:pStyle w:val="ListBullet"/>
        <w:widowControl/>
        <w:spacing w:after="40"/>
      </w:pPr>
      <w:r>
        <w:t>Reconciliação entre vendas, documentos fiscais, pagamentos e notas de crédito.</w:t>
      </w:r>
    </w:p>
    <w:p>
      <w:pPr>
        <w:pStyle w:val="ListBullet"/>
        <w:widowControl/>
        <w:spacing w:after="40"/>
      </w:pPr>
      <w:r>
        <w:t>Resumo de IVA liquidado, IVA dedutível, regularizações, valor estimado a pagar ou crédito a reportar.</w:t>
      </w:r>
    </w:p>
    <w:p>
      <w:pPr>
        <w:pStyle w:val="ListBullet"/>
        <w:widowControl/>
        <w:spacing w:after="40"/>
      </w:pPr>
      <w:r>
        <w:t>Exportação do dossier do período para contabilista, incluindo tabelas, documentos de suporte e lista de exceções.</w:t>
      </w:r>
    </w:p>
    <w:p>
      <w:pPr>
        <w:pStyle w:val="ListBullet"/>
        <w:widowControl/>
        <w:spacing w:after="40"/>
      </w:pPr>
      <w:r>
        <w:t>Lembretes de preparação e validação do trimestre configuráveis.</w:t>
      </w:r>
    </w:p>
    <w:p>
      <w:pPr>
        <w:pStyle w:val="ListBullet"/>
        <w:widowControl/>
        <w:spacing w:after="40"/>
      </w:pPr>
      <w:r>
        <w:t>Proibição de submissão automática à Autoridade Tributária sem aditamento contratual, credenciais adequadas, testes, validação jurídica e confirmação final da Cliente.</w:t>
      </w:r>
    </w:p>
    <w:p>
      <w:pPr>
        <w:pStyle w:val="Heading2"/>
        <w:keepNext/>
        <w:widowControl/>
      </w:pPr>
      <w:r>
        <w:t>4.10 Painel de gestão e assistente conversacional</w:t>
      </w:r>
    </w:p>
    <w:p>
      <w:pPr>
        <w:pStyle w:val="ListBullet"/>
        <w:widowControl/>
        <w:spacing w:after="40"/>
      </w:pPr>
      <w:r>
        <w:t>Vendas, margem, lucro previsto e real, ticket médio, conversão de orçamentos e ponto de equilíbrio.</w:t>
      </w:r>
    </w:p>
    <w:p>
      <w:pPr>
        <w:pStyle w:val="ListBullet"/>
        <w:widowControl/>
        <w:spacing w:after="40"/>
      </w:pPr>
      <w:r>
        <w:t>Pedidos em curso, atrasados, bloqueados, a aguardar cliente, controlo de qualidade ou material.</w:t>
      </w:r>
    </w:p>
    <w:p>
      <w:pPr>
        <w:pStyle w:val="ListBullet"/>
        <w:widowControl/>
        <w:spacing w:after="40"/>
      </w:pPr>
      <w:r>
        <w:t>Carga por colaborador, máquina e etapa; tempos de espera e perdas por ociosidade.</w:t>
      </w:r>
    </w:p>
    <w:p>
      <w:pPr>
        <w:pStyle w:val="ListBullet"/>
        <w:widowControl/>
        <w:spacing w:after="40"/>
      </w:pPr>
      <w:r>
        <w:t>Estoque, reservas, necessidade de compra e materiais sem rotação.</w:t>
      </w:r>
    </w:p>
    <w:p>
      <w:pPr>
        <w:pStyle w:val="ListBullet"/>
        <w:widowControl/>
        <w:spacing w:after="40"/>
      </w:pPr>
      <w:r>
        <w:t>Contas a receber, pagamentos não conciliados, documentos por emitir e fluxo de caixa projetado.</w:t>
      </w:r>
    </w:p>
    <w:p>
      <w:pPr>
        <w:pStyle w:val="ListBullet"/>
        <w:widowControl/>
        <w:spacing w:after="40"/>
      </w:pPr>
      <w:r>
        <w:t>Perguntas em linguagem natural sobre dados autorizados, com ligação ao registo que sustenta cada resposta.</w:t>
      </w:r>
    </w:p>
    <w:p>
      <w:pPr>
        <w:pStyle w:val="ListBullet"/>
        <w:widowControl/>
        <w:spacing w:after="40"/>
      </w:pPr>
      <w:r>
        <w:t>Respostas limitadas pelas permissões do utilizador e identificação clara de estimativas.</w:t>
      </w:r>
    </w:p>
    <w:p>
      <w:pPr>
        <w:pStyle w:val="Heading2"/>
        <w:keepNext/>
        <w:widowControl/>
      </w:pPr>
      <w:r>
        <w:t>4.11 Aprendizagem contínua</w:t>
      </w:r>
    </w:p>
    <w:p>
      <w:pPr>
        <w:pStyle w:val="ListBullet"/>
        <w:widowControl/>
        <w:spacing w:after="40"/>
      </w:pPr>
      <w:r>
        <w:t>Comparação por trabalho entre material, tempo, custo, prazo e margem previstos e realizados.</w:t>
      </w:r>
    </w:p>
    <w:p>
      <w:pPr>
        <w:pStyle w:val="ListBullet"/>
        <w:widowControl/>
        <w:spacing w:after="40"/>
      </w:pPr>
      <w:r>
        <w:t>Cálculo de fatores por família, dimensão, complexidade, material, máquina e processo, com exclusão de anomalias justificadas.</w:t>
      </w:r>
    </w:p>
    <w:p>
      <w:pPr>
        <w:pStyle w:val="ListBullet"/>
        <w:widowControl/>
        <w:spacing w:after="40"/>
      </w:pPr>
      <w:r>
        <w:t>Número mínimo de amostras configurável antes de apresentar recomendação.</w:t>
      </w:r>
    </w:p>
    <w:p>
      <w:pPr>
        <w:pStyle w:val="ListBullet"/>
        <w:widowControl/>
        <w:spacing w:after="40"/>
      </w:pPr>
      <w:r>
        <w:t>Sugestões de alteração de perdas, tempos, produtividade, custos e capacidade, sempre acompanhadas de amostra, impacto e nível de confiança.</w:t>
      </w:r>
    </w:p>
    <w:p>
      <w:pPr>
        <w:pStyle w:val="ListBullet"/>
        <w:widowControl/>
        <w:spacing w:after="40"/>
      </w:pPr>
      <w:r>
        <w:t>Aprovação humana obrigatória antes de alterar receitas técnicas ou preços.</w:t>
      </w:r>
    </w:p>
    <w:p>
      <w:pPr>
        <w:pStyle w:val="ListBullet"/>
        <w:widowControl/>
        <w:spacing w:after="40"/>
      </w:pPr>
      <w:r>
        <w:t>Versionamento, data de vigência e possibilidade de reversão de cada alteração.</w:t>
      </w:r>
    </w:p>
    <w:p>
      <w:pPr>
        <w:pStyle w:val="ListBullet"/>
        <w:widowControl/>
        <w:spacing w:after="40"/>
      </w:pPr>
      <w:r>
        <w:t>Medição do desempenho das sugestões, incluindo erro médio, taxa de aceitação e impacto na margem.</w:t>
      </w:r>
    </w:p>
    <w:p>
      <w:pPr>
        <w:pStyle w:val="Heading1"/>
        <w:keepNext/>
        <w:widowControl/>
      </w:pPr>
      <w:r>
        <w:t>5 Requisitos de inteligência artificial</w:t>
      </w:r>
    </w:p>
    <w:p>
      <w:pPr>
        <w:widowControl/>
      </w:pPr>
      <w:r>
        <w:t>5.1 O Prestador deverá implementar mecanismos para que a IA produza saídas estruturadas e validáveis, e não apenas texto livre.</w:t>
      </w:r>
    </w:p>
    <w:p>
      <w:pPr>
        <w:widowControl/>
      </w:pPr>
      <w:r>
        <w:t>5.2 Cada análise deverá separar dados confirmados, dados inferidos, dados em falta, nível de confiança, perguntas recomendadas e referências usadas.</w:t>
      </w:r>
    </w:p>
    <w:p>
      <w:pPr>
        <w:widowControl/>
      </w:pPr>
      <w:r>
        <w:t>5.3 O Sistema não poderá enviar dados pessoais, ficheiros de clientes ou informação financeira a fornecedor de IA não aprovado pela Cliente e não coberto por acordo de tratamento de dados.</w:t>
      </w:r>
    </w:p>
    <w:p>
      <w:pPr>
        <w:widowControl/>
      </w:pPr>
      <w:r>
        <w:t>5.4 Os dados da Cliente não poderão ser usados para treino geral de modelos de terceiros, salvo consentimento escrito, específico e revogável.</w:t>
      </w:r>
    </w:p>
    <w:p>
      <w:pPr>
        <w:widowControl/>
      </w:pPr>
      <w:r>
        <w:t>5.5 O Prestador implementará limites de custo, registo de utilização, anonimização quando possível, filtros de conteúdo, proteção contra instruções maliciosas incorporadas em ficheiros e fallback manual em caso de indisponibilidade.</w:t>
      </w:r>
    </w:p>
    <w:p>
      <w:pPr>
        <w:widowControl/>
      </w:pPr>
      <w:r>
        <w:t>5.6 A IA não emitirá documentos fiscais, alterará preços, prometerá datas ao cliente, efetuará compras ou enviará comunicações externas sem regra aprovada e permissões adequadas.</w:t>
      </w:r>
    </w:p>
    <w:p>
      <w:pPr>
        <w:keepNext w:val="0"/>
        <w:keepLines/>
      </w:pPr>
      <w:r>
        <w:t>5.7 O modelo predefinido para o assistente de texto e para o agente executado por meio do Codex será o GPT-5.6 Sol, com nível de raciocínio médio, enquanto esse modelo e esse nível estiverem disponíveis e autorizados na subscrição ChatGPT Pro da Cliente.</w:t>
      </w:r>
    </w:p>
    <w:p>
      <w:pPr>
        <w:keepNext w:val="0"/>
        <w:keepLines/>
      </w:pPr>
      <w:r>
        <w:t>5.8 A ligação à inteligência artificial deverá utilizar, como primeira opção, o mecanismo oficial Sign in with ChatGPT, mediante OAuth, e o acesso ao plano ChatGPT autorizado pela Cliente. Quando seja utilizado o Codex app-server, este deverá ser configurado com o fornecedor openai_chatgpt_plan ou mecanismo oficial equivalente que o substitua. A integração não deverá exigir a partilha da palavra-passe da Cliente nem expor tokens de acesso no navegador, nos registos ou no código-fonte.</w:t>
      </w:r>
    </w:p>
    <w:p>
      <w:pPr>
        <w:keepNext w:val="0"/>
        <w:keepLines/>
      </w:pPr>
      <w:r>
        <w:t>5.9 O Sistema deverá consultar os modelos efetivamente disponibilizados à conta autenticada antes de iniciar cada sessão aplicável e selecionar o GPT-5.6 Sol com raciocínio médio. Se esse modelo, nível ou modalidade não estiver disponível, o Sistema não poderá substituí-lo silenciosamente. Deverá informar o utilizador autorizado, manter operacionais as funções determinísticas e solicitar aprovação administrativa antes de utilizar qualquer alternativa.</w:t>
      </w:r>
    </w:p>
    <w:p>
      <w:pPr>
        <w:keepNext w:val="0"/>
        <w:keepLines/>
      </w:pPr>
      <w:r>
        <w:t>5.10 A utilização efetuada pelo CRM deverá ser imputada, sempre que tecnicamente elegível, aos limites incluídos no plano ChatGPT Pro da Cliente. O Sistema deverá apresentar o estado da ligação, o modelo selecionado, os pedidos efetuados, os erros conhecidos e os limites de utilização disponíveis, bem como permitir à Cliente definir um limite semanal para o CRM e revogar a ligação.</w:t>
      </w:r>
    </w:p>
    <w:p>
      <w:pPr>
        <w:keepNext w:val="0"/>
        <w:keepLines/>
      </w:pPr>
      <w:r>
        <w:t>5.11 A ativação de créditos adicionais, recarga automática, chave de API faturada separadamente ou outro serviço pago de inteligência artificial dependerá de autorização prévia e escrita da Cliente, com indicação do fornecedor, modelo, finalidade, limite de despesa e responsável pela aprovação.</w:t>
      </w:r>
    </w:p>
    <w:p>
      <w:pPr>
        <w:keepNext w:val="0"/>
        <w:keepLines/>
      </w:pPr>
      <w:r>
        <w:t>5.12 O assistente de texto deverá usar o acesso ao plano para análise, classificação, explicação e geração de saídas estruturadas. O Codex app-server apenas será utilizado quando a tarefa exigir ferramentas ou execução de processos. Os respetivos acessos deverão obedecer ao princípio do menor privilégio, sem acesso irrestrito ao sistema operativo, credenciais, ficheiros ou serviços externos.</w:t>
      </w:r>
    </w:p>
    <w:p>
      <w:pPr>
        <w:keepNext w:val="0"/>
        <w:keepLines/>
      </w:pPr>
      <w:r>
        <w:t>5.13 A integração com o plano ChatGPT encontra-se dependente da elegibilidade da conta, das condições do fornecedor e da disponibilidade técnica da funcionalidade, atualmente sujeita a limitações de pré-visualização. A alteração, suspensão ou retirada dessa funcionalidade não autoriza automaticamente a contratação de API paga. Qualquer solução alternativa será tratada por pedido de alteração, com impacto, custos, segurança e proteção de dados previamente aprovados pela Cliente.</w:t>
      </w:r>
    </w:p>
    <w:p>
      <w:pPr>
        <w:pStyle w:val="Heading1"/>
        <w:keepNext/>
        <w:widowControl/>
      </w:pPr>
      <w:r>
        <w:t>6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37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Requisito mínimo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Segurança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HTTPS, cifragem de segredos, autenticação forte, sessões seguras, princípio do menor privilégio, proteção contra abuso e revisão de dependências.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Auditoria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Registo de utilizador, data, ação, origem, valor anterior e valor posterior para eventos críticos.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Disponibilidade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Objetivo e janela de manutenção definidos no Anexo F; degradação controlada quando integrações externas falharem.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Desempenho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Operações comuns responsivas; tarefas pesadas assíncronas com estado, progresso, repetição e notificação.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Backup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Cópias automáticas, retenção definida, restauro testado e documentação do ponto e tempo objetivo de recuperação.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Portabilidade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Exportação dos dados operacionais da Cliente em formatos abertos e documentação do esquema.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Observabilidade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Logs, métricas, alertas, correlação por encomenda e painel de estado das integrações.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Acessibilidade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Interfaces principais compatíveis com navegação por teclado, contraste adequado e etiquetas compreensíveis.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Compatibilidade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Navegadores modernos e utilização móvel nas operações de produção e gestão diária.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7 Proteção de dados e RGPD</w:t>
      </w:r>
    </w:p>
    <w:p>
      <w:pPr>
        <w:widowControl/>
      </w:pPr>
      <w:r>
        <w:t>7.1 A Cliente atua como responsável pelo tratamento dos dados dos seus clientes, colaboradores e fornecedores. O Prestador atuará como subcontratante sempre que trate dados por conta da Cliente, devendo as Partes celebrar o acordo previsto no artigo 28.º do RGPD.</w:t>
      </w:r>
    </w:p>
    <w:p>
      <w:pPr>
        <w:widowControl/>
      </w:pPr>
      <w:r>
        <w:t>7.2 O Prestador tratará apenas os dados documentadamente instruídos pela Cliente, garantirá confidencialidade, medidas técnicas e organizativas adequadas, apoio a direitos dos titulares, gestão de incidentes, eliminação ou devolução no termo e controlo de subcontratantes ulteriores.</w:t>
      </w:r>
    </w:p>
    <w:p>
      <w:pPr>
        <w:widowControl/>
      </w:pPr>
      <w:r>
        <w:t>7.3 Qualquer transferência para fora do Espaço Económico Europeu dependerá de mecanismo legal válido, avaliação de risco e aprovação prévia da Cliente.</w:t>
      </w:r>
    </w:p>
    <w:p>
      <w:pPr>
        <w:widowControl/>
      </w:pPr>
      <w:r>
        <w:t>7.4 Incidentes com potencial impacto em dados pessoais deverão ser comunicados à Cliente sem demora injustificada e dentro do prazo operacional definido no Anexo F, com factos conhecidos, medidas tomadas e plano de contenção.</w:t>
      </w:r>
    </w:p>
    <w:p>
      <w:pPr>
        <w:widowControl/>
      </w:pPr>
      <w:r>
        <w:t>7.5 Ficheiros de arte, imagens e documentos deverão obedecer a prazos de retenção definidos e ser eliminados de cópias operacionais quando deixarem de ser necessários, sem prejuízo de retenção legal e backups protegidos.</w:t>
      </w:r>
    </w:p>
    <w:p>
      <w:pPr>
        <w:pStyle w:val="Heading1"/>
        <w:keepNext/>
        <w:widowControl/>
      </w:pPr>
      <w:r>
        <w:t>8 Plano de implementação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8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402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36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Entregável e condição de passagem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 Diagnóstico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Inventário de dados, fluxos, Shopify, personalizador, Moloni, CRM, permissões, custos e riscos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Documento de arquitetura, mapeamento e backlog aprovado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1 Fundação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Identidades, cadastros, receitas, auditoria, permissões, filas, segredos, backups e observabilidade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Base técnica testada e ambiente de homologação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2 Shopify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Webhooks, importação, ficheiros, pagamentos, reembolsos, reconciliação e exceções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Encomendas de teste reproduzidas no CRM sem duplicação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3 Produção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Ordens, etapas, agenda, capacidade, materiais, apontamentos e controlo de qualidade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Pedido importado percorre o ciclo até à expedição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4 Fiscal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Moloni, pagamentos, documentos, despesas, IVA, fecho e exportação contabilística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Período de teste reconciliado e validado pelo contabilista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5 Orçamentista IA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Entradas multimodais, classificação, checklist, ficha técnica e proposta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Casos de teste das famílias prioritárias dentro das tolerâncias acordadas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6 Gestor IA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Resumo diário, perguntas, alertas, risco de atraso e planeamento assistido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Respostas rastreáveis e permissões validadas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7 Aprendizagem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Previsto e realizado, fatores, recomendações, versionamento e reversão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Recomendações geradas a partir de conjunto validado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8 Entrada em produção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Migração, formação, operação paralela, contingência e estabilização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Auto de entrada em produção e plano de suporte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9 Entregáveis</w:t>
      </w:r>
    </w:p>
    <w:p>
      <w:pPr>
        <w:pStyle w:val="ListBullet"/>
        <w:widowControl/>
        <w:spacing w:after="40"/>
      </w:pPr>
      <w:r>
        <w:t>Código-fonte e histórico de versões produzido no âmbito do projeto.</w:t>
      </w:r>
    </w:p>
    <w:p>
      <w:pPr>
        <w:pStyle w:val="ListBullet"/>
        <w:widowControl/>
        <w:spacing w:after="40"/>
      </w:pPr>
      <w:r>
        <w:t>Esquema de dados, documentação de APIs, webhooks, filas, integrações e mapeamentos.</w:t>
      </w:r>
    </w:p>
    <w:p>
      <w:pPr>
        <w:pStyle w:val="ListBullet"/>
        <w:widowControl/>
        <w:spacing w:after="40"/>
      </w:pPr>
      <w:r>
        <w:t>Configuração de ambientes de desenvolvimento, homologação e produção.</w:t>
      </w:r>
    </w:p>
    <w:p>
      <w:pPr>
        <w:pStyle w:val="ListBullet"/>
        <w:widowControl/>
        <w:spacing w:after="40"/>
      </w:pPr>
      <w:r>
        <w:t>Testes automatizados e relatório de testes funcionais, integração, segurança e recuperação.</w:t>
      </w:r>
    </w:p>
    <w:p>
      <w:pPr>
        <w:pStyle w:val="ListBullet"/>
        <w:widowControl/>
        <w:spacing w:after="40"/>
      </w:pPr>
      <w:r>
        <w:t>Manual de administração, operação, contingência e resolução de falhas comuns.</w:t>
      </w:r>
    </w:p>
    <w:p>
      <w:pPr>
        <w:pStyle w:val="ListBullet"/>
        <w:widowControl/>
        <w:spacing w:after="40"/>
      </w:pPr>
      <w:r>
        <w:t>Manual de utilizador por perfil e materiais de formação.</w:t>
      </w:r>
    </w:p>
    <w:p>
      <w:pPr>
        <w:pStyle w:val="ListBullet"/>
        <w:widowControl/>
        <w:spacing w:after="40"/>
      </w:pPr>
      <w:r>
        <w:t>Registo de decisões, dependências externas, limitações e dívida técnica aceite.</w:t>
      </w:r>
    </w:p>
    <w:p>
      <w:pPr>
        <w:pStyle w:val="ListBullet"/>
        <w:widowControl/>
        <w:spacing w:after="40"/>
      </w:pPr>
      <w:r>
        <w:t>Plano de backup, restauro, continuidade, saída e portabilidade.</w:t>
      </w:r>
    </w:p>
    <w:p>
      <w:pPr>
        <w:pStyle w:val="ListBullet"/>
        <w:widowControl/>
        <w:spacing w:after="40"/>
      </w:pPr>
      <w:r>
        <w:t>Relatório de entrada em produção e período de estabilização.</w:t>
      </w:r>
    </w:p>
    <w:p>
      <w:pPr>
        <w:pStyle w:val="Heading1"/>
        <w:keepNext/>
        <w:widowControl/>
      </w:pPr>
      <w:r>
        <w:t>10 Responsabilidades da Cliente</w:t>
      </w:r>
    </w:p>
    <w:p>
      <w:pPr>
        <w:pStyle w:val="ListBullet"/>
        <w:widowControl/>
        <w:spacing w:after="40"/>
      </w:pPr>
      <w:r>
        <w:t>Disponibilizar acessos técnicos autorizados, documentação, contas de teste e interlocutores competentes.</w:t>
      </w:r>
    </w:p>
    <w:p>
      <w:pPr>
        <w:pStyle w:val="ListBullet"/>
        <w:widowControl/>
        <w:spacing w:after="40"/>
      </w:pPr>
      <w:r>
        <w:t>Garantir a licitude dos dados e ficheiros fornecidos e definir as políticas de retenção.</w:t>
      </w:r>
    </w:p>
    <w:p>
      <w:pPr>
        <w:pStyle w:val="ListBullet"/>
        <w:widowControl/>
        <w:spacing w:after="40"/>
      </w:pPr>
      <w:r>
        <w:t>Validar receitas técnicas, custos, margens, etapas, calendários, permissões e modelos de comunicação.</w:t>
      </w:r>
    </w:p>
    <w:p>
      <w:pPr>
        <w:pStyle w:val="ListBullet"/>
        <w:widowControl/>
        <w:spacing w:after="40"/>
      </w:pPr>
      <w:r>
        <w:t>Obter do contabilista certificado a validação das regras de IVA, dedutibilidade, documentos e mapas trimestrais.</w:t>
      </w:r>
    </w:p>
    <w:p>
      <w:pPr>
        <w:pStyle w:val="ListBullet"/>
        <w:widowControl/>
        <w:spacing w:after="40"/>
      </w:pPr>
      <w:r>
        <w:t>Executar testes de aceitação dentro dos prazos acordados e documentar anomalias reproduzíveis.</w:t>
      </w:r>
    </w:p>
    <w:p>
      <w:pPr>
        <w:pStyle w:val="ListBullet"/>
        <w:widowControl/>
        <w:spacing w:after="40"/>
      </w:pPr>
      <w:r>
        <w:t>Manter contratos e subscrições de Shopify, personalizador, Moloni, gateways, alojamento e fornecedores de IA, salvo estipulação comercial em contrário.</w:t>
      </w:r>
    </w:p>
    <w:p>
      <w:pPr>
        <w:pStyle w:val="ListBullet"/>
        <w:widowControl/>
        <w:spacing w:after="40"/>
      </w:pPr>
      <w:r>
        <w:t>Não partilhar credenciais pessoais; criar acessos técnicos dedicados e revogáveis.</w:t>
      </w:r>
    </w:p>
    <w:p>
      <w:pPr>
        <w:pStyle w:val="Heading1"/>
        <w:keepNext/>
        <w:widowControl/>
      </w:pPr>
      <w:r>
        <w:t>11 Responsabilidades do Prestador</w:t>
      </w:r>
    </w:p>
    <w:p>
      <w:pPr>
        <w:pStyle w:val="ListBullet"/>
        <w:widowControl/>
        <w:spacing w:after="40"/>
      </w:pPr>
      <w:r>
        <w:t>Executar os trabalhos de acordo com boas práticas de engenharia, segurança, proteção de dados e documentação.</w:t>
      </w:r>
    </w:p>
    <w:p>
      <w:pPr>
        <w:pStyle w:val="ListBullet"/>
        <w:widowControl/>
        <w:spacing w:after="40"/>
      </w:pPr>
      <w:r>
        <w:t>Não alterar produção sem processo de implantação, cópia de segurança, plano de reversão e autorização aplicável.</w:t>
      </w:r>
    </w:p>
    <w:p>
      <w:pPr>
        <w:pStyle w:val="ListBullet"/>
        <w:widowControl/>
        <w:spacing w:after="40"/>
      </w:pPr>
      <w:r>
        <w:t>Informar riscos, atrasos, dependências e custos externos assim que sejam identificados.</w:t>
      </w:r>
    </w:p>
    <w:p>
      <w:pPr>
        <w:pStyle w:val="ListBullet"/>
        <w:widowControl/>
        <w:spacing w:after="40"/>
      </w:pPr>
      <w:r>
        <w:t>Preservar alterações e dados existentes da Cliente e evitar operações destrutivas não autorizadas.</w:t>
      </w:r>
    </w:p>
    <w:p>
      <w:pPr>
        <w:pStyle w:val="ListBullet"/>
        <w:widowControl/>
        <w:spacing w:after="40"/>
      </w:pPr>
      <w:r>
        <w:t>Corrigir, sem custo adicional, defeitos que representem desconformidade com requisitos aceites durante o período de garantia.</w:t>
      </w:r>
    </w:p>
    <w:p>
      <w:pPr>
        <w:pStyle w:val="ListBullet"/>
        <w:widowControl/>
        <w:spacing w:after="40"/>
      </w:pPr>
      <w:r>
        <w:t>Manter segregação entre ambientes e não usar dados reais em desenvolvimento quando dados anonimizados forem suficientes.</w:t>
      </w:r>
    </w:p>
    <w:p>
      <w:pPr>
        <w:pStyle w:val="ListBullet"/>
        <w:widowControl/>
        <w:spacing w:after="40"/>
      </w:pPr>
      <w:r>
        <w:t>Fornecer cooperação razoável ao contabilista, encarregado de proteção de dados e auditor autorizado da Cliente.</w:t>
      </w:r>
    </w:p>
    <w:p>
      <w:pPr>
        <w:pStyle w:val="Heading1"/>
        <w:keepNext/>
        <w:widowControl/>
      </w:pPr>
      <w:r>
        <w:t>12 Aceitação</w:t>
      </w:r>
    </w:p>
    <w:p>
      <w:pPr>
        <w:widowControl/>
      </w:pPr>
      <w:r>
        <w:t>12.1 Cada fase será entregue em ambiente de homologação com nota de versão, testes, documentação e lista de limitações conhecidas.</w:t>
      </w:r>
    </w:p>
    <w:p>
      <w:pPr>
        <w:widowControl/>
      </w:pPr>
      <w:r>
        <w:t>12.2 A Cliente disporá de [10] dias úteis para aceitar ou rejeitar fundamentadamente a entrega. O silêncio apenas valerá como aceitação se tal for expressamente confirmado na versão assinada.</w:t>
      </w:r>
    </w:p>
    <w:p>
      <w:pPr>
        <w:widowControl/>
      </w:pPr>
      <w:r>
        <w:t>12.3 A rejeição deverá identificar o requisito, passos de reprodução, resultado obtido e resultado esperado. Defeitos críticos impedem a aceitação; defeitos menores podem constar de lista de correções com prazo acordado.</w:t>
      </w:r>
    </w:p>
    <w:p>
      <w:pPr>
        <w:widowControl/>
      </w:pPr>
      <w:r>
        <w:t>12.4 A entrada em produção não implica renúncia a defeitos ocultos, vulnerabilidades ou desconformidades não detetáveis no teste razoável.</w:t>
      </w:r>
    </w:p>
    <w:p>
      <w:pPr>
        <w:pStyle w:val="Heading1"/>
        <w:keepNext/>
        <w:widowControl/>
      </w:pPr>
      <w:r>
        <w:t>13 Critérios essenciais de aceitação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640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Resultado obrigatório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Encomenda Shopify paga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Criação única no CRM com cliente, linhas, impostos, pagamento e ficheiros corretos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Webhook repetido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Nenhuma duplicação; evento registado como já processado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Produto sem mapeamento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Fila de exceção; não criar ordem de produção incorreta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Orçamento por imagem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Dados extraídos, confiança, perguntas em falta e confirmação antes do preço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Pedido aprovado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Ordem de produção com receita, etapas, responsáveis e prazo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Reembolso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Pagamento, pedido e documento fiscal sinalizados para tratamento coerente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Documento fiscal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Referência única, valores reconciliados e bloqueio de duplicados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Trimestre IVA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Vendas, compras, créditos e exceções conciliados com evidência exportável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Pergunta à IA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Resposta baseada em dados autorizados, identificando fontes e estimativas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Alteração aprendida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Recomendação explicada, aprovação, versão e reversão disponíveis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14 Alterações de âmbito</w:t>
      </w:r>
    </w:p>
    <w:p>
      <w:pPr>
        <w:widowControl/>
      </w:pPr>
      <w:r>
        <w:t>14.1 Qualquer alteração ao âmbito será formalizada por pedido de alteração com descrição, fundamento, impacto em arquitetura, segurança, dados, preço, prazo, testes e suporte.</w:t>
      </w:r>
    </w:p>
    <w:p>
      <w:pPr>
        <w:widowControl/>
      </w:pPr>
      <w:r>
        <w:t>14.2 O Prestador não iniciará trabalho adicional antes da aprovação escrita da Cliente, exceto medidas urgentes de contenção de incidente, devidamente registadas.</w:t>
      </w:r>
    </w:p>
    <w:p>
      <w:pPr>
        <w:widowControl/>
      </w:pPr>
      <w:r>
        <w:t>14.3 Atualizações obrigatórias impostas por Shopify, Moloni, Autoridade Tributária, fornecedor de IA ou outro terceiro serão avaliadas quanto ao impacto e tratadas segundo o modelo comercial acordado.</w:t>
      </w:r>
    </w:p>
    <w:p>
      <w:pPr>
        <w:pStyle w:val="Heading1"/>
        <w:keepNext/>
        <w:widowControl/>
      </w:pPr>
      <w:r>
        <w:t>15 Preço e condições comerciais</w:t>
      </w:r>
    </w:p>
    <w:p>
      <w:pPr>
        <w:widowControl/>
      </w:pPr>
      <w:r>
        <w:t>15.1 O preço de implementação é de € [a preencher], acrescido de IVA à taxa legal em vigor, conforme distribuição por fases constante do Anexo G.</w:t>
      </w:r>
    </w:p>
    <w:p>
      <w:pPr>
        <w:widowControl/>
      </w:pPr>
      <w:r>
        <w:t>15.2 A manutenção e suporte terão o valor de € [a preencher] por [mês/ano], acrescido de IVA.</w:t>
      </w:r>
    </w:p>
    <w:p>
      <w:pPr>
        <w:widowControl/>
      </w:pPr>
      <w:r>
        <w:t>15.3 Custos de terceiros, incluindo Shopify, aplicações, Moloni, alojamento, armazenamento, email, SMS, gateways, modelos de IA e monitorização, serão suportados por [a preencher] e previamente aprovados quando variáveis. A subscrição ChatGPT Pro será mantida pela Cliente. O Prestador deverá privilegiar o consumo dos limites incluídos nessa subscrição, nos termos da cláusula 5, antes de propor API ou créditos adicionais.</w:t>
      </w:r>
    </w:p>
    <w:p>
      <w:pPr>
        <w:widowControl/>
      </w:pPr>
      <w:r>
        <w:t>15.4 Nenhum valor baseado em consumo poderá exceder o limite mensal aprovado sem alerta e autorização.</w:t>
      </w:r>
    </w:p>
    <w:p>
      <w:pPr>
        <w:widowControl/>
      </w:pPr>
      <w:r>
        <w:t>15.5 As faturas vencem em [a preencher] dias. A suspensão por falta de pagamento deverá respeitar aviso prévio, preservação de dados e continuidade mínima acordada.</w:t>
      </w:r>
    </w:p>
    <w:p>
      <w:pPr>
        <w:pStyle w:val="Heading1"/>
        <w:keepNext/>
        <w:widowControl/>
      </w:pPr>
      <w:r>
        <w:t>16 Cronograma</w:t>
      </w:r>
    </w:p>
    <w:p>
      <w:pPr>
        <w:widowControl/>
      </w:pPr>
      <w:r>
        <w:t>16.1 As datas, duração, dependências e responsáveis serão preenchidos no Anexo E após a fase de diagnóstico.</w:t>
      </w:r>
    </w:p>
    <w:p>
      <w:pPr>
        <w:widowControl/>
      </w:pPr>
      <w:r>
        <w:t>16.2 O cronograma será ajustado quando existam atrasos imputáveis à falta de acessos, validações, dados, decisões, serviços de terceiros ou pedidos de alteração, devendo o impacto ser documentado.</w:t>
      </w:r>
    </w:p>
    <w:p>
      <w:pPr>
        <w:widowControl/>
      </w:pPr>
      <w:r>
        <w:t>16.3 Nenhuma data de entrada em produção será confirmada sem conclusão dos testes críticos, plano de reversão, formação e validação fiscal aplicável.</w:t>
      </w:r>
    </w:p>
    <w:p>
      <w:pPr>
        <w:pStyle w:val="Heading1"/>
        <w:keepNext/>
        <w:widowControl/>
      </w:pPr>
      <w:r>
        <w:t>17 Garantia manutenção e suporte</w:t>
      </w:r>
    </w:p>
    <w:p>
      <w:pPr>
        <w:widowControl/>
      </w:pPr>
      <w:r>
        <w:t>17.1 O período de garantia será de [a preencher] dias após a aceitação de cada fase ou da entrada em produção, prevalecendo o que for mais favorável à Cliente na versão assinada.</w:t>
      </w:r>
    </w:p>
    <w:p>
      <w:pPr>
        <w:widowControl/>
      </w:pPr>
      <w:r>
        <w:t>17.2 A garantia cobre defeitos de conformidade e não inclui novas funcionalidades, alterações de terceiros, utilização contrária à documentação ou intervenções não autorizadas.</w:t>
      </w:r>
    </w:p>
    <w:p>
      <w:pPr>
        <w:widowControl/>
      </w:pPr>
      <w:r>
        <w:t>17.3 Os níveis de serviço, horários, canais, prioridades, tempos de resposta, tempos de restauro e manutenção programada constam do Anexo F.</w:t>
      </w:r>
    </w:p>
    <w:p>
      <w:pPr>
        <w:pStyle w:val="Heading1"/>
        <w:keepNext/>
        <w:widowControl/>
      </w:pPr>
      <w:r>
        <w:t>18 Propriedade intelectual</w:t>
      </w:r>
    </w:p>
    <w:p>
      <w:pPr>
        <w:widowControl/>
      </w:pPr>
      <w:r>
        <w:t>18.1 Os dados, conteúdos, ficheiros, marcas, receitas técnicas, regras comerciais, documentação interna e modelos específicos da operação pertencem à Cliente.</w:t>
      </w:r>
    </w:p>
    <w:p>
      <w:pPr>
        <w:widowControl/>
      </w:pPr>
      <w:r>
        <w:t>18.2 O regime de titularidade do código desenvolvido deverá ser selecionado no Anexo G entre cessão à Cliente, licença perpétua ou licença de utilização, identificando componentes preexistentes e de código aberto.</w:t>
      </w:r>
    </w:p>
    <w:p>
      <w:pPr>
        <w:widowControl/>
      </w:pPr>
      <w:r>
        <w:t>18.3 O Prestador entregará lista de dependências e respetivas licenças e não incorporará componente que imponha divulgação do código proprietário sem aprovação escrita.</w:t>
      </w:r>
    </w:p>
    <w:p>
      <w:pPr>
        <w:widowControl/>
      </w:pPr>
      <w:r>
        <w:t>18.4 O Prestador não poderá reutilizar dados, segredos comerciais, receitas técnicas ou identidade da Cliente para benefício de terceiros.</w:t>
      </w:r>
    </w:p>
    <w:p>
      <w:pPr>
        <w:pStyle w:val="Heading1"/>
        <w:keepNext/>
        <w:widowControl/>
      </w:pPr>
      <w:r>
        <w:t>19 Confidencialidade</w:t>
      </w:r>
    </w:p>
    <w:p>
      <w:pPr>
        <w:widowControl/>
      </w:pPr>
      <w:r>
        <w:t>19.1 Cada Parte protegerá informação técnica, comercial, financeira, fiscal, operacional e pessoal da outra Parte e limitará o acesso a quem necessite de a conhecer.</w:t>
      </w:r>
    </w:p>
    <w:p>
      <w:pPr>
        <w:widowControl/>
      </w:pPr>
      <w:r>
        <w:t>19.2 A obrigação não se aplica a informação pública sem violação, legitimamente conhecida, recebida de terceiro autorizado ou exigida por lei, mediante aviso quando permitido.</w:t>
      </w:r>
    </w:p>
    <w:p>
      <w:pPr>
        <w:widowControl/>
      </w:pPr>
      <w:r>
        <w:t>19.3 A confidencialidade vigorará durante o Contrato e por [cinco] anos após o seu termo, sem limite para segredos comerciais enquanto mantiverem essa natureza.</w:t>
      </w:r>
    </w:p>
    <w:p>
      <w:pPr>
        <w:pStyle w:val="Heading1"/>
        <w:keepNext/>
        <w:widowControl/>
      </w:pPr>
      <w:r>
        <w:t>20 Segurança e incidentes</w:t>
      </w:r>
    </w:p>
    <w:p>
      <w:pPr>
        <w:widowControl/>
      </w:pPr>
      <w:r>
        <w:t>20.1 O Prestador manterá plano de resposta a incidentes, contactos de emergência, classificação de severidade, contenção, preservação de evidência, recuperação e análise de causa raiz.</w:t>
      </w:r>
    </w:p>
    <w:p>
      <w:pPr>
        <w:widowControl/>
      </w:pPr>
      <w:r>
        <w:t>20.2 Vulnerabilidades críticas conhecidas e exploráveis deverão ser tratadas com prioridade. Os prazos concretos constam do Anexo F.</w:t>
      </w:r>
    </w:p>
    <w:p>
      <w:pPr>
        <w:widowControl/>
      </w:pPr>
      <w:r>
        <w:t>20.3 Testes de segurança não poderão afetar sistemas de produção ou terceiros sem autorização e janela aprovada.</w:t>
      </w:r>
    </w:p>
    <w:p>
      <w:pPr>
        <w:pStyle w:val="Heading1"/>
        <w:keepNext/>
        <w:widowControl/>
      </w:pPr>
      <w:r>
        <w:t>21 Responsabilidade</w:t>
      </w:r>
    </w:p>
    <w:p>
      <w:pPr>
        <w:widowControl/>
      </w:pPr>
      <w:r>
        <w:t>21.1 Cada Parte responde pelos danos diretos causados por incumprimento culposo, nos limites admitidos por lei e no limite financeiro a negociar no Anexo G.</w:t>
      </w:r>
    </w:p>
    <w:p>
      <w:pPr>
        <w:widowControl/>
      </w:pPr>
      <w:r>
        <w:t>21.2 Nenhuma limitação se aplica quando proibida por lei, designadamente em caso de dolo, violação de confidencialidade, infração de propriedade intelectual ou responsabilidade por dados pessoais na medida legalmente inderrogável.</w:t>
      </w:r>
    </w:p>
    <w:p>
      <w:pPr>
        <w:widowControl/>
      </w:pPr>
      <w:r>
        <w:t>21.3 A Cliente reconhece que previsões de IA e planeamento são probabilísticos e exigem validação. O Prestador continua responsável por implementar os controlos, avisos e limites contratualmente previstos.</w:t>
      </w:r>
    </w:p>
    <w:p>
      <w:pPr>
        <w:pStyle w:val="Heading1"/>
        <w:keepNext/>
        <w:widowControl/>
      </w:pPr>
      <w:r>
        <w:t>22 Duração e cessação</w:t>
      </w:r>
    </w:p>
    <w:p>
      <w:pPr>
        <w:widowControl/>
      </w:pPr>
      <w:r>
        <w:t>22.1 O Contrato inicia-se na data da assinatura e mantém-se até à conclusão da implementação, seguindo-se o período de manutenção definido no Anexo G.</w:t>
      </w:r>
    </w:p>
    <w:p>
      <w:pPr>
        <w:widowControl/>
      </w:pPr>
      <w:r>
        <w:t>22.2 Qualquer Parte poderá resolver por incumprimento material não sanado no prazo de [30] dias após notificação, sem prejuízo de resolução imediata quando legalmente justificada.</w:t>
      </w:r>
    </w:p>
    <w:p>
      <w:pPr>
        <w:widowControl/>
      </w:pPr>
      <w:r>
        <w:t>22.3 No termo, o Prestador entregará dados, código e documentação devidos, revogará acessos, eliminará cópias não sujeitas a retenção e prestará transição pelo período e preço acordados.</w:t>
      </w:r>
    </w:p>
    <w:p>
      <w:pPr>
        <w:widowControl/>
      </w:pPr>
      <w:r>
        <w:t>22.4 A cessação não poderá ser usada para reter dados operacionais da Cliente nem impedir a respetiva exportação.</w:t>
      </w:r>
    </w:p>
    <w:p>
      <w:pPr>
        <w:pStyle w:val="Heading1"/>
        <w:keepNext/>
        <w:widowControl/>
      </w:pPr>
      <w:r>
        <w:t>23 Força maior e dependências externas</w:t>
      </w:r>
    </w:p>
    <w:p>
      <w:pPr>
        <w:widowControl/>
      </w:pPr>
      <w:r>
        <w:t>Nenhuma Parte será responsável por atraso causado por evento fora do controlo razoável, devendo informar a outra, reduzir o impacto e manter plano de contingência. Indisponibilidade de Shopify, Moloni, gateway ou fornecedor de IA será tratada conforme mecanismos de fila, repetição e operação manual previstos.</w:t>
      </w:r>
    </w:p>
    <w:p>
      <w:pPr>
        <w:pStyle w:val="Heading1"/>
        <w:keepNext/>
        <w:widowControl/>
      </w:pPr>
      <w:r>
        <w:t>24 Comunicações e governação</w:t>
      </w:r>
    </w:p>
    <w:p>
      <w:pPr>
        <w:widowControl/>
      </w:pPr>
      <w:r>
        <w:t>24.1 As Partes nomearão gestor de projeto, responsável técnico, responsável funcional e contactos para segurança e fiscalidade.</w:t>
      </w:r>
    </w:p>
    <w:p>
      <w:pPr>
        <w:widowControl/>
      </w:pPr>
      <w:r>
        <w:t>24.2 Decisões sobre preço, fiscalidade, proteção de dados, entrada em produção e alteração de âmbito exigem registo escrito.</w:t>
      </w:r>
    </w:p>
    <w:p>
      <w:pPr>
        <w:widowControl/>
      </w:pPr>
      <w:r>
        <w:t>24.3 Serão realizadas reuniões de acompanhamento com periodicidade [a preencher], acompanhadas de resumo de progresso, riscos, decisões e próximos passos.</w:t>
      </w:r>
    </w:p>
    <w:p>
      <w:pPr>
        <w:pStyle w:val="Heading1"/>
        <w:keepNext/>
        <w:widowControl/>
      </w:pPr>
      <w:r>
        <w:t>25 Lei aplicável e foro</w:t>
      </w:r>
    </w:p>
    <w:p>
      <w:pPr>
        <w:widowControl/>
      </w:pPr>
      <w:r>
        <w:t>25.1 O Contrato rege-se pela lei portuguesa.</w:t>
      </w:r>
    </w:p>
    <w:p>
      <w:pPr>
        <w:widowControl/>
      </w:pPr>
      <w:r>
        <w:t>25.2 As Partes procurarão resolver divergências por negociação de boa-fé. Na falta de acordo, será competente o tribunal da comarca a definir na versão assinada, sem prejuízo de regras imperativas.</w:t>
      </w:r>
    </w:p>
    <w:p>
      <w:pPr>
        <w:pStyle w:val="Heading1"/>
        <w:keepNext/>
        <w:widowControl/>
      </w:pPr>
      <w:r>
        <w:t>26 Disposições finais</w:t>
      </w:r>
    </w:p>
    <w:p>
      <w:pPr>
        <w:widowControl/>
      </w:pPr>
      <w:r>
        <w:t>26.1 Os anexos fazem parte integrante do Contrato. Em caso de conflito, prevalece o texto contratual, seguido do aditamento mais recente, do anexo de âmbito e da documentação técnica aprovada.</w:t>
      </w:r>
    </w:p>
    <w:p>
      <w:pPr>
        <w:widowControl/>
      </w:pPr>
      <w:r>
        <w:t>26.2 A invalidade de uma disposição não afeta as restantes. A não exigência pontual de um direito não constitui renúncia.</w:t>
      </w:r>
    </w:p>
    <w:p>
      <w:pPr>
        <w:widowControl/>
      </w:pPr>
      <w:r>
        <w:t>26.3 O Contrato apenas poderá ser alterado por escrito e assinado por representantes autorizados.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Anexo A Matriz de âmbito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Incluído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Decisão em aberto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CRM e base operacional central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Estratégia de evolução e alojamento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Integração Shopify por APIs e webhooks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Acessos, aplicação privada e campos do personalizador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Integração Moloni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Regras finais e credenciais técnicas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Orçamentista por texto e imagem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Fornecedor de IA e limites de consumo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Leitura de vetor e cálculo geométrico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Planeado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Formatos e tolerâncias por família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Produção agenda e capacidade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Calendários, máquinas e horários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Apoio ao IVA trimestral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Regras validadas pelo contabilista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Submissão automática à AT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Não incluída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Somente por aditamento específico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Comunicações automáticas ao cliente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Condicional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Canais, modelos, consentimento e aprovação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Aplicação móvel nativa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Não presumida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Avaliar aplicação web responsiva primeiro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Anexo B Dados de aprendizagem por trabalho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6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Previsto</w:t>
            </w:r>
          </w:p>
        </w:tc>
        <w:tc>
          <w:tcPr>
            <w:tcW w:type="dxa" w:w="36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Realizado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Materiais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Filamento, acrílico, LED, vinil, placas, consumíveis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Consumo, desperdício, substituições e sobras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Máquinas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Tempo de impressão, corte e preparação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Tempo efetivo, pausa, falha e repetição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Mão de obra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Design, produção, montagem, acabamento e instalação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Tempo por pessoa, etapa e retrabalho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Prazo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Início, fim e entrega prometida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Datas efetivas e motivo de desvio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Custo, preço, margem e comissão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Custo real, lucro real e diferença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Qualidade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Risco e controlos planeados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Falhas, devoluções, reclamações e correções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Anexo C Matriz de permissões a completar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96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Acesso previsto</w:t>
            </w:r>
          </w:p>
        </w:tc>
        <w:tc>
          <w:tcPr>
            <w:tcW w:type="dxa" w:w="345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Restrições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Administração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Configuração, integrações, utilizadores e auditoria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Ações críticas com confirmação e autenticação reforçada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Gestão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Indicadores, margens, agenda, custos e aprovações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Sem acesso a segredos técnicos desnecessários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Comercial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Clientes, orçamentos, propostas e seguimento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Margens e descontos conforme limite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Ordens atribuídas, ficheiros, etapas e consumos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Sem preços, dados fiscais ou financeiros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Pagamentos, documentos, despesas, IVA e reconciliação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Sem alterar receitas técnicas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Contabilista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Mapas fiscais, documentos, exceções e exportações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Leitura ou validação conforme mandato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Anexo D Lista de decisões antes do arranque</w:t>
      </w:r>
    </w:p>
    <w:p>
      <w:pPr>
        <w:pStyle w:val="ListBullet"/>
        <w:widowControl/>
        <w:spacing w:after="40"/>
      </w:pPr>
      <w:r>
        <w:t>Identificação e poderes do Prestador e dos signatários.</w:t>
      </w:r>
    </w:p>
    <w:p>
      <w:pPr>
        <w:pStyle w:val="ListBullet"/>
        <w:widowControl/>
        <w:spacing w:after="40"/>
      </w:pPr>
      <w:r>
        <w:t>Preço, fases de pagamento, retenções, despesas e custos de terceiros.</w:t>
      </w:r>
    </w:p>
    <w:p>
      <w:pPr>
        <w:pStyle w:val="ListBullet"/>
        <w:widowControl/>
        <w:spacing w:after="40"/>
      </w:pPr>
      <w:r>
        <w:t>Cronograma, equipa, disponibilidade da Cliente e data objetivo.</w:t>
      </w:r>
    </w:p>
    <w:p>
      <w:pPr>
        <w:pStyle w:val="ListBullet"/>
        <w:widowControl/>
        <w:spacing w:after="40"/>
      </w:pPr>
      <w:r>
        <w:t>Modelo de propriedade intelectual e repositório do código.</w:t>
      </w:r>
    </w:p>
    <w:p>
      <w:pPr>
        <w:pStyle w:val="ListBullet"/>
        <w:widowControl/>
        <w:spacing w:after="40"/>
      </w:pPr>
      <w:r>
        <w:t>Alojamento, região de dados, backups, retenção e recuperação.</w:t>
      </w:r>
    </w:p>
    <w:p>
      <w:pPr>
        <w:pStyle w:val="ListBullet"/>
        <w:widowControl/>
        <w:spacing w:after="40"/>
      </w:pPr>
      <w:r>
        <w:t>Conta ChatGPT Pro da Cliente, elegibilidade do Sign in with ChatGPT, política de dados, limite semanal do CRM, modelos autorizados e procedimento de aprovação de créditos ou API pagos.</w:t>
      </w:r>
    </w:p>
    <w:p>
      <w:pPr>
        <w:pStyle w:val="ListBullet"/>
        <w:widowControl/>
        <w:spacing w:after="40"/>
      </w:pPr>
      <w:r>
        <w:t>Acessos Shopify, personalizador, Moloni, gateways e email.</w:t>
      </w:r>
    </w:p>
    <w:p>
      <w:pPr>
        <w:pStyle w:val="ListBullet"/>
        <w:widowControl/>
        <w:spacing w:after="40"/>
      </w:pPr>
      <w:r>
        <w:t>Regras fiscais aprovadas pelo contabilista e conjunto de teste trimestral.</w:t>
      </w:r>
    </w:p>
    <w:p>
      <w:pPr>
        <w:pStyle w:val="ListBullet"/>
        <w:widowControl/>
        <w:spacing w:after="40"/>
      </w:pPr>
      <w:r>
        <w:t>Famílias e receitas técnicas prioritárias para a primeira versão.</w:t>
      </w:r>
    </w:p>
    <w:p>
      <w:pPr>
        <w:pStyle w:val="ListBullet"/>
        <w:widowControl/>
        <w:spacing w:after="40"/>
      </w:pPr>
      <w:r>
        <w:t>Níveis de serviço, garantia, responsabilidade e plano de saída.</w:t>
      </w:r>
    </w:p>
    <w:p>
      <w:pPr>
        <w:pStyle w:val="Heading1"/>
        <w:keepNext/>
        <w:widowControl/>
      </w:pPr>
      <w:r>
        <w:t>Anexo E Cronograma contratual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Início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Fim</w:t>
            </w:r>
          </w:p>
        </w:tc>
        <w:tc>
          <w:tcPr>
            <w:tcW w:type="dxa" w:w="209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249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Dependências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Diagnóstico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Acessos e interlocutores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Fundação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Arquitetura aprovada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Shopify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Aplicação e webhooks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Receitas e equipa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Fiscal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Moloni e contabilista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IA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Casos e dados de teste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Entrada em produção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Aceitação e formação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Anexo F Níveis de serviço a negociar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158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Resposta</w:t>
            </w:r>
          </w:p>
        </w:tc>
        <w:tc>
          <w:tcPr>
            <w:tcW w:type="dxa" w:w="187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Restauro ou plano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P1 Crítica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Sistema indisponível, perda de dados, pedidos duplicados ou emissão fiscal incorreta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P2 Alta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Integração parada, produção bloqueada ou reconciliação materialmente incorreta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P3 Normal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Função degradada com alternativa manual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P4 Baixa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Dúvida, melhoria ou defeito cosmético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A preencher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Anexo G Condições comerciais e assinaturas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6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61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Valor ou decisão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Preço de implementação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€ [a preencher] + IVA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Manutenção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€ [a preencher] + IVA por [mês/ano]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Prazo de pagamento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[a preencher] dias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Período de garantia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[a preencher] dias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Limite de responsabilidade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[a negociar após revisão jurídica]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Modelo de propriedade do código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F3F8"/>
          </w:tcPr>
          <w:p>
            <w:pPr>
              <w:spacing w:after="0" w:line="252" w:lineRule="auto"/>
            </w:pPr>
            <w:r>
              <w:rPr>
                <w:sz w:val="17"/>
              </w:rPr>
              <w:t>[cessão/licença perpétua/licença de utilização]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Foro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[a preencher]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Feito em duplicado, em [local], aos [dia] de [mês] de [ano].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8"/>
              </w:rPr>
              <w:t>Pela Cliente</w:t>
            </w:r>
          </w:p>
        </w:tc>
        <w:tc>
          <w:tcPr>
            <w:tcW w:type="dxa" w:w="4873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8"/>
              </w:rPr>
              <w:t>Pelo Prestador</w:t>
            </w:r>
          </w:p>
        </w:tc>
      </w:tr>
      <w:tr>
        <w:tc>
          <w:tcPr>
            <w:tcW w:type="dxa" w:w="4873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8"/>
              </w:rPr>
              <w:br/>
              <w:br/>
              <w:t>________________________________</w:t>
              <w:br/>
              <w:t>Nome: [a preencher]</w:t>
              <w:br/>
              <w:t>Qualidade: [a preencher]</w:t>
            </w:r>
          </w:p>
        </w:tc>
        <w:tc>
          <w:tcPr>
            <w:tcW w:type="dxa" w:w="4873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8"/>
              </w:rPr>
              <w:br/>
              <w:br/>
              <w:t>________________________________</w:t>
              <w:br/>
              <w:t>Nome: [a preencher]</w:t>
              <w:br/>
              <w:t>Qualidade: [a preencher]</w:t>
            </w:r>
          </w:p>
        </w:tc>
      </w:tr>
      <w:tr>
        <w:tc>
          <w:tcPr>
            <w:tcW w:type="dxa" w:w="4873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8"/>
              </w:rPr>
              <w:t>Data: ____ / ____ / ______</w:t>
            </w:r>
          </w:p>
        </w:tc>
        <w:tc>
          <w:tcPr>
            <w:tcW w:type="dxa" w:w="4873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8"/>
              </w:rPr>
              <w:t>Data: ____ / ____ / 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 xml:space="preserve">MINUTA PARA REVISÃO JURÍDICA E CONTABILÍSTICA  |  Ecossistema Inteligente PrintPixel  |  </w:t>
    </w:r>
  </w:p>
  <w:p>
    <w:pPr>
      <w:jc w:val="right"/>
    </w:pPr>
    <w:r>
      <w:rPr>
        <w:sz w:val="16"/>
      </w:rPr>
      <w:t xml:space="preserve">Página </w:t>
    </w:r>
    <w:fldSimple w:instr="PAGE"/>
    <w:r>
      <w:rPr>
        <w:sz w:val="16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Desenvolvimento e Implementação do Ecossistema Inteligente PrintPixel</dc:title>
  <dc:subject>Versão atualizada com regras de utilização do ChatGPT Pro e do Codex</dc:subject>
  <dc:creator>PrintPixel</dc:creator>
  <cp:keywords>CRM, Shopify, inteligência artificial, produção, Moloni, IVA, RGPD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