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6D353" w14:textId="6C2ED8D5" w:rsidR="00FF6B13" w:rsidRPr="008712F6" w:rsidRDefault="008712F6">
      <w:pPr>
        <w:rPr>
          <w:rFonts w:ascii="Segoe UI" w:hAnsi="Segoe UI" w:cs="Segoe UI"/>
          <w:color w:val="000000"/>
          <w:sz w:val="30"/>
          <w:szCs w:val="30"/>
          <w:shd w:val="clear" w:color="auto" w:fill="FFFFFF"/>
        </w:rPr>
      </w:pPr>
      <w:r w:rsidRPr="008712F6">
        <w:rPr>
          <w:rFonts w:ascii="Segoe UI" w:hAnsi="Segoe UI" w:cs="Segoe UI"/>
          <w:color w:val="000000"/>
          <w:sz w:val="30"/>
          <w:szCs w:val="30"/>
          <w:shd w:val="clear" w:color="auto" w:fill="FFFFFF"/>
        </w:rPr>
        <w:t>Azure Governance Hack</w:t>
      </w:r>
    </w:p>
    <w:p w14:paraId="66F23281" w14:textId="77777777" w:rsidR="008712F6" w:rsidRDefault="008712F6" w:rsidP="008712F6">
      <w:pPr>
        <w:spacing w:before="300" w:after="300"/>
        <w:rPr>
          <w:rFonts w:ascii="Segoe UI" w:hAnsi="Segoe UI" w:cs="Segoe UI"/>
          <w:color w:val="000000"/>
          <w:sz w:val="30"/>
          <w:szCs w:val="30"/>
        </w:rPr>
      </w:pPr>
      <w:r>
        <w:rPr>
          <w:rFonts w:ascii="Segoe UI" w:hAnsi="Segoe UI" w:cs="Segoe UI"/>
          <w:color w:val="000000"/>
          <w:sz w:val="30"/>
          <w:szCs w:val="30"/>
          <w:shd w:val="clear" w:color="auto" w:fill="FFFFFF"/>
        </w:rPr>
        <w:t xml:space="preserve">Objective: </w:t>
      </w:r>
    </w:p>
    <w:p w14:paraId="74886E94" w14:textId="77777777" w:rsidR="008712F6" w:rsidRDefault="008712F6" w:rsidP="008712F6">
      <w:pPr>
        <w:numPr>
          <w:ilvl w:val="0"/>
          <w:numId w:val="1"/>
        </w:numPr>
        <w:spacing w:before="60" w:after="60" w:line="240" w:lineRule="auto"/>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Build a governance strategy using Management Groups, Azure Policy, and Blueprints</w:t>
      </w:r>
    </w:p>
    <w:p w14:paraId="31071D4D" w14:textId="77777777" w:rsidR="008712F6" w:rsidRDefault="008712F6" w:rsidP="008712F6">
      <w:pPr>
        <w:numPr>
          <w:ilvl w:val="0"/>
          <w:numId w:val="1"/>
        </w:numPr>
        <w:spacing w:before="60" w:after="60" w:line="240" w:lineRule="auto"/>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Group and organize your subscriptions in a logical hierarchy that support the deployment of other Governance services in a structured way</w:t>
      </w:r>
    </w:p>
    <w:p w14:paraId="78FBDE6C" w14:textId="77777777" w:rsidR="008712F6" w:rsidRDefault="008712F6" w:rsidP="008712F6">
      <w:pPr>
        <w:rPr>
          <w:rFonts w:ascii="Segoe UI" w:hAnsi="Segoe UI" w:cs="Segoe UI"/>
          <w:color w:val="000000"/>
          <w:sz w:val="21"/>
          <w:szCs w:val="21"/>
          <w:shd w:val="clear" w:color="auto" w:fill="FFFFFF"/>
        </w:rPr>
      </w:pPr>
    </w:p>
    <w:p w14:paraId="7190D210" w14:textId="77777777" w:rsidR="008712F6" w:rsidRDefault="008712F6" w:rsidP="008712F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The topics covered are:</w:t>
      </w:r>
    </w:p>
    <w:p w14:paraId="5BD7A154" w14:textId="77777777" w:rsidR="008712F6" w:rsidRDefault="008712F6" w:rsidP="008712F6">
      <w:pPr>
        <w:numPr>
          <w:ilvl w:val="0"/>
          <w:numId w:val="2"/>
        </w:numPr>
        <w:spacing w:after="0" w:line="240" w:lineRule="auto"/>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Subscriptions and Portals</w:t>
      </w:r>
    </w:p>
    <w:p w14:paraId="7A54F48B" w14:textId="77777777" w:rsidR="008712F6" w:rsidRDefault="008712F6" w:rsidP="008712F6">
      <w:pPr>
        <w:numPr>
          <w:ilvl w:val="0"/>
          <w:numId w:val="2"/>
        </w:numPr>
        <w:spacing w:after="0" w:line="240" w:lineRule="auto"/>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Resource Locks and RBAC</w:t>
      </w:r>
    </w:p>
    <w:p w14:paraId="28368151" w14:textId="77777777" w:rsidR="008712F6" w:rsidRDefault="008712F6" w:rsidP="008712F6">
      <w:pPr>
        <w:numPr>
          <w:ilvl w:val="0"/>
          <w:numId w:val="2"/>
        </w:numPr>
        <w:spacing w:after="0" w:line="240" w:lineRule="auto"/>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Management Groups</w:t>
      </w:r>
    </w:p>
    <w:p w14:paraId="4E0BCDFA" w14:textId="77777777" w:rsidR="008712F6" w:rsidRDefault="008712F6" w:rsidP="008712F6">
      <w:pPr>
        <w:numPr>
          <w:ilvl w:val="0"/>
          <w:numId w:val="2"/>
        </w:numPr>
        <w:spacing w:after="0" w:line="240" w:lineRule="auto"/>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Azure Policy</w:t>
      </w:r>
    </w:p>
    <w:p w14:paraId="35E9C996" w14:textId="77777777" w:rsidR="008712F6" w:rsidRDefault="008712F6" w:rsidP="008712F6">
      <w:pPr>
        <w:numPr>
          <w:ilvl w:val="0"/>
          <w:numId w:val="2"/>
        </w:numPr>
        <w:spacing w:after="0" w:line="240" w:lineRule="auto"/>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Blueprints</w:t>
      </w:r>
    </w:p>
    <w:p w14:paraId="64E74A32" w14:textId="77777777" w:rsidR="008712F6" w:rsidRDefault="008712F6" w:rsidP="008712F6">
      <w:pPr>
        <w:numPr>
          <w:ilvl w:val="0"/>
          <w:numId w:val="2"/>
        </w:numPr>
        <w:spacing w:after="0" w:line="240" w:lineRule="auto"/>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Resource Graph</w:t>
      </w:r>
    </w:p>
    <w:p w14:paraId="18163DAD" w14:textId="77777777" w:rsidR="008712F6" w:rsidRDefault="008712F6" w:rsidP="008712F6">
      <w:pPr>
        <w:textAlignment w:val="center"/>
        <w:rPr>
          <w:rFonts w:ascii="Segoe UI" w:hAnsi="Segoe UI" w:cs="Segoe UI"/>
          <w:color w:val="000000"/>
          <w:sz w:val="21"/>
          <w:szCs w:val="21"/>
          <w:shd w:val="clear" w:color="auto" w:fill="FFFFFF"/>
        </w:rPr>
      </w:pPr>
    </w:p>
    <w:p w14:paraId="2848E3B3" w14:textId="77777777" w:rsidR="008712F6" w:rsidRDefault="008712F6" w:rsidP="008712F6">
      <w:pPr>
        <w:pStyle w:val="ListParagraph"/>
        <w:numPr>
          <w:ilvl w:val="0"/>
          <w:numId w:val="3"/>
        </w:numPr>
        <w:textAlignment w:val="center"/>
        <w:rPr>
          <w:rFonts w:ascii="Segoe UI" w:eastAsia="Times New Roman" w:hAnsi="Segoe UI" w:cs="Segoe UI"/>
          <w:b/>
          <w:bCs/>
          <w:color w:val="000000"/>
          <w:sz w:val="21"/>
          <w:szCs w:val="21"/>
          <w:shd w:val="clear" w:color="auto" w:fill="FFFFFF"/>
        </w:rPr>
      </w:pPr>
      <w:r>
        <w:rPr>
          <w:rFonts w:ascii="Segoe UI" w:eastAsia="Times New Roman" w:hAnsi="Segoe UI" w:cs="Segoe UI"/>
          <w:b/>
          <w:bCs/>
          <w:color w:val="000000"/>
          <w:sz w:val="21"/>
          <w:szCs w:val="21"/>
          <w:shd w:val="clear" w:color="auto" w:fill="FFFFFF"/>
        </w:rPr>
        <w:t>Prepare Environment</w:t>
      </w:r>
    </w:p>
    <w:p w14:paraId="0F54194E" w14:textId="77777777" w:rsidR="008712F6" w:rsidRDefault="008712F6" w:rsidP="008712F6">
      <w:pPr>
        <w:pStyle w:val="ListParagraph"/>
        <w:numPr>
          <w:ilvl w:val="1"/>
          <w:numId w:val="4"/>
        </w:numPr>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Create a new AD Tenant</w:t>
      </w:r>
    </w:p>
    <w:p w14:paraId="285B7F8F" w14:textId="77777777" w:rsidR="008712F6" w:rsidRDefault="008712F6" w:rsidP="008712F6">
      <w:pPr>
        <w:pStyle w:val="ListParagraph"/>
        <w:numPr>
          <w:ilvl w:val="1"/>
          <w:numId w:val="4"/>
        </w:numPr>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Create Azure Subscription</w:t>
      </w:r>
    </w:p>
    <w:p w14:paraId="59394998" w14:textId="77777777" w:rsidR="008712F6" w:rsidRDefault="008712F6" w:rsidP="008712F6">
      <w:pPr>
        <w:pStyle w:val="ListParagraph"/>
        <w:numPr>
          <w:ilvl w:val="1"/>
          <w:numId w:val="4"/>
        </w:numPr>
        <w:textAlignment w:val="cente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Deploy environment using ARM templates (The template I am currently using is a DC with 2 VMs and using unmanaged disk. The hack has a policy to identify VMs with unmanaged disk)</w:t>
      </w:r>
    </w:p>
    <w:p w14:paraId="05C9325A" w14:textId="77777777" w:rsidR="008712F6" w:rsidRDefault="008712F6" w:rsidP="008712F6">
      <w:pPr>
        <w:textAlignment w:val="center"/>
        <w:rPr>
          <w:rFonts w:ascii="Calibri" w:hAnsi="Calibri" w:cs="Calibri"/>
        </w:rPr>
      </w:pPr>
    </w:p>
    <w:p w14:paraId="129D49EA" w14:textId="77777777" w:rsidR="008712F6" w:rsidRDefault="008712F6" w:rsidP="008712F6">
      <w:pPr>
        <w:pStyle w:val="ListParagraph"/>
        <w:numPr>
          <w:ilvl w:val="0"/>
          <w:numId w:val="3"/>
        </w:numPr>
        <w:textAlignment w:val="center"/>
        <w:rPr>
          <w:rFonts w:eastAsia="Times New Roman"/>
        </w:rPr>
      </w:pPr>
      <w:r>
        <w:rPr>
          <w:rFonts w:ascii="Segoe UI" w:eastAsia="Times New Roman" w:hAnsi="Segoe UI" w:cs="Segoe UI"/>
          <w:b/>
          <w:bCs/>
          <w:color w:val="000000"/>
          <w:sz w:val="21"/>
          <w:szCs w:val="21"/>
          <w:shd w:val="clear" w:color="auto" w:fill="FFFFFF"/>
        </w:rPr>
        <w:t>Management Groups</w:t>
      </w:r>
      <w:r>
        <w:rPr>
          <w:rFonts w:ascii="Segoe UI" w:eastAsia="Times New Roman" w:hAnsi="Segoe UI" w:cs="Segoe UI"/>
          <w:color w:val="000000"/>
          <w:sz w:val="21"/>
          <w:szCs w:val="21"/>
          <w:shd w:val="clear" w:color="auto" w:fill="FFFFFF"/>
        </w:rPr>
        <w:t xml:space="preserve">: The very first step in implementing a governance strategy in Azure is to create a </w:t>
      </w:r>
      <w:r>
        <w:rPr>
          <w:rFonts w:ascii="Segoe UI" w:eastAsia="Times New Roman" w:hAnsi="Segoe UI" w:cs="Segoe UI"/>
          <w:b/>
          <w:bCs/>
          <w:color w:val="000000"/>
          <w:sz w:val="21"/>
          <w:szCs w:val="21"/>
          <w:shd w:val="clear" w:color="auto" w:fill="FFFFFF"/>
        </w:rPr>
        <w:t>logical hierarchy in Management Groups</w:t>
      </w:r>
    </w:p>
    <w:p w14:paraId="372957B9" w14:textId="38E99FDB" w:rsidR="008712F6" w:rsidRDefault="008712F6" w:rsidP="008712F6">
      <w:pPr>
        <w:ind w:left="360"/>
        <w:textAlignment w:val="center"/>
      </w:pPr>
      <w:r>
        <w:rPr>
          <w:noProof/>
        </w:rPr>
        <w:drawing>
          <wp:inline distT="0" distB="0" distL="0" distR="0" wp14:anchorId="4A1A9BA0" wp14:editId="5276F6DF">
            <wp:extent cx="2216785" cy="2143125"/>
            <wp:effectExtent l="0" t="0" r="0" b="9525"/>
            <wp:docPr id="2" name="Picture 2" descr="e2kmoa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kmoayg.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216785" cy="2143125"/>
                    </a:xfrm>
                    <a:prstGeom prst="rect">
                      <a:avLst/>
                    </a:prstGeom>
                    <a:noFill/>
                    <a:ln>
                      <a:noFill/>
                    </a:ln>
                  </pic:spPr>
                </pic:pic>
              </a:graphicData>
            </a:graphic>
          </wp:inline>
        </w:drawing>
      </w:r>
    </w:p>
    <w:p w14:paraId="48171326" w14:textId="77777777" w:rsidR="008712F6" w:rsidRDefault="008712F6" w:rsidP="008712F6"/>
    <w:p w14:paraId="38466276" w14:textId="77777777" w:rsidR="008712F6" w:rsidRDefault="008712F6" w:rsidP="008712F6"/>
    <w:p w14:paraId="7F3C118B" w14:textId="77777777" w:rsidR="008712F6" w:rsidRDefault="008712F6" w:rsidP="008712F6">
      <w:pPr>
        <w:pStyle w:val="ListParagraph"/>
        <w:numPr>
          <w:ilvl w:val="0"/>
          <w:numId w:val="3"/>
        </w:numPr>
        <w:rPr>
          <w:rFonts w:eastAsia="Times New Roman"/>
        </w:rPr>
      </w:pPr>
      <w:r>
        <w:rPr>
          <w:rFonts w:ascii="Segoe UI" w:eastAsia="Times New Roman" w:hAnsi="Segoe UI" w:cs="Segoe UI"/>
          <w:b/>
          <w:bCs/>
          <w:color w:val="000000"/>
          <w:sz w:val="21"/>
          <w:szCs w:val="21"/>
          <w:shd w:val="clear" w:color="auto" w:fill="FFFFFF"/>
        </w:rPr>
        <w:t>Policies</w:t>
      </w:r>
      <w:r>
        <w:rPr>
          <w:rFonts w:ascii="Segoe UI" w:eastAsia="Times New Roman" w:hAnsi="Segoe UI" w:cs="Segoe UI"/>
          <w:color w:val="000000"/>
          <w:sz w:val="21"/>
          <w:szCs w:val="21"/>
          <w:shd w:val="clear" w:color="auto" w:fill="FFFFFF"/>
        </w:rPr>
        <w:t>:</w:t>
      </w:r>
    </w:p>
    <w:p w14:paraId="3E7A090B" w14:textId="77777777" w:rsidR="008712F6" w:rsidRDefault="008712F6" w:rsidP="008712F6">
      <w:pPr>
        <w:pStyle w:val="ListParagraph"/>
        <w:numPr>
          <w:ilvl w:val="1"/>
          <w:numId w:val="5"/>
        </w:numP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Use out of the box policy to identify virtual machines that aren't using managed disks. At the end of this process, you'll successfully identify virtual machines that aren't using managed disks. They're non-compliant with the policy assignment.</w:t>
      </w:r>
    </w:p>
    <w:p w14:paraId="6AB9B519" w14:textId="77777777" w:rsidR="008712F6" w:rsidRDefault="008712F6" w:rsidP="008712F6">
      <w:pPr>
        <w:pStyle w:val="ListParagraph"/>
        <w:numPr>
          <w:ilvl w:val="1"/>
          <w:numId w:val="5"/>
        </w:numPr>
        <w:rPr>
          <w:rFonts w:ascii="Segoe UI" w:eastAsia="Times New Roman" w:hAnsi="Segoe UI" w:cs="Segoe UI"/>
          <w:color w:val="000000"/>
          <w:sz w:val="21"/>
          <w:szCs w:val="21"/>
          <w:shd w:val="clear" w:color="auto" w:fill="FFFFFF"/>
        </w:rPr>
      </w:pPr>
      <w:r>
        <w:rPr>
          <w:rFonts w:ascii="Segoe UI" w:eastAsia="Times New Roman" w:hAnsi="Segoe UI" w:cs="Segoe UI"/>
          <w:color w:val="000000"/>
          <w:sz w:val="21"/>
          <w:szCs w:val="21"/>
          <w:shd w:val="clear" w:color="auto" w:fill="FFFFFF"/>
        </w:rPr>
        <w:t>Implement a new custom policy to not allow/Deny certain VM SKUs</w:t>
      </w:r>
    </w:p>
    <w:p w14:paraId="71657292" w14:textId="77777777" w:rsidR="008712F6" w:rsidRDefault="008712F6" w:rsidP="008712F6">
      <w:pPr>
        <w:pStyle w:val="ListParagraph"/>
        <w:rPr>
          <w:rFonts w:ascii="Segoe UI" w:hAnsi="Segoe UI" w:cs="Segoe UI"/>
          <w:color w:val="000000"/>
          <w:sz w:val="21"/>
          <w:szCs w:val="21"/>
          <w:shd w:val="clear" w:color="auto" w:fill="FFFFFF"/>
        </w:rPr>
      </w:pPr>
    </w:p>
    <w:p w14:paraId="5BE939DB" w14:textId="77777777" w:rsidR="008712F6" w:rsidRDefault="008712F6" w:rsidP="008712F6">
      <w:pPr>
        <w:pStyle w:val="ListParagraph"/>
        <w:rPr>
          <w:rFonts w:ascii="Segoe UI" w:hAnsi="Segoe UI" w:cs="Segoe UI"/>
          <w:color w:val="000000"/>
          <w:sz w:val="21"/>
          <w:szCs w:val="21"/>
          <w:shd w:val="clear" w:color="auto" w:fill="FFFFFF"/>
        </w:rPr>
      </w:pPr>
    </w:p>
    <w:p w14:paraId="1D5D7947" w14:textId="77777777" w:rsidR="008712F6" w:rsidRDefault="008712F6" w:rsidP="008712F6">
      <w:pPr>
        <w:pStyle w:val="ListParagraph"/>
        <w:numPr>
          <w:ilvl w:val="0"/>
          <w:numId w:val="3"/>
        </w:numPr>
        <w:rPr>
          <w:rFonts w:eastAsia="Times New Roman"/>
          <w:b/>
          <w:bCs/>
        </w:rPr>
      </w:pPr>
      <w:r>
        <w:rPr>
          <w:rFonts w:eastAsia="Times New Roman"/>
          <w:b/>
          <w:bCs/>
        </w:rPr>
        <w:t xml:space="preserve">Blueprints:  </w:t>
      </w:r>
      <w:r>
        <w:rPr>
          <w:rFonts w:eastAsia="Times New Roman"/>
        </w:rPr>
        <w:t>The blueprint should do the following:</w:t>
      </w:r>
    </w:p>
    <w:p w14:paraId="26024FCB" w14:textId="77777777" w:rsidR="008712F6" w:rsidRDefault="008712F6" w:rsidP="008712F6">
      <w:pPr>
        <w:pStyle w:val="ListParagraph"/>
        <w:numPr>
          <w:ilvl w:val="1"/>
          <w:numId w:val="6"/>
        </w:numPr>
        <w:rPr>
          <w:rFonts w:eastAsia="Times New Roman"/>
        </w:rPr>
      </w:pPr>
      <w:r>
        <w:rPr>
          <w:rFonts w:eastAsia="Times New Roman"/>
        </w:rPr>
        <w:t>RBAC-Contribute permissions to Security Compliance group to all environment/Subscription under Contoso Management Group. The user/group should be a parameter that allows values during the blueprint assignment.</w:t>
      </w:r>
    </w:p>
    <w:p w14:paraId="41BBDEA9" w14:textId="77777777" w:rsidR="008712F6" w:rsidRDefault="008712F6" w:rsidP="008712F6">
      <w:pPr>
        <w:pStyle w:val="ListParagraph"/>
        <w:numPr>
          <w:ilvl w:val="1"/>
          <w:numId w:val="6"/>
        </w:numPr>
        <w:rPr>
          <w:rFonts w:eastAsia="Times New Roman"/>
          <w:b/>
          <w:bCs/>
        </w:rPr>
      </w:pPr>
      <w:r>
        <w:rPr>
          <w:rFonts w:eastAsia="Times New Roman"/>
        </w:rPr>
        <w:t xml:space="preserve">Required Tagging for every resource group with CostCenter. The value of the Tag should be a parameter that allows values during the blueprint assignment. </w:t>
      </w:r>
    </w:p>
    <w:p w14:paraId="5F59D0E9" w14:textId="77777777" w:rsidR="008712F6" w:rsidRDefault="008712F6" w:rsidP="008712F6">
      <w:pPr>
        <w:pStyle w:val="ListParagraph"/>
        <w:numPr>
          <w:ilvl w:val="1"/>
          <w:numId w:val="6"/>
        </w:numPr>
        <w:rPr>
          <w:rFonts w:eastAsia="Times New Roman"/>
          <w:b/>
          <w:bCs/>
        </w:rPr>
      </w:pPr>
      <w:r>
        <w:rPr>
          <w:rFonts w:eastAsia="Times New Roman"/>
        </w:rPr>
        <w:t>There should be a new Resource Group and a Storage Blob created in the scope where the BluePrint is assigned.</w:t>
      </w:r>
    </w:p>
    <w:p w14:paraId="13B05A7B" w14:textId="77777777" w:rsidR="008712F6" w:rsidRDefault="008712F6" w:rsidP="008712F6">
      <w:pPr>
        <w:pStyle w:val="ListParagraph"/>
        <w:numPr>
          <w:ilvl w:val="1"/>
          <w:numId w:val="6"/>
        </w:numPr>
        <w:rPr>
          <w:rFonts w:eastAsia="Times New Roman"/>
          <w:b/>
          <w:bCs/>
        </w:rPr>
      </w:pPr>
      <w:r>
        <w:rPr>
          <w:rFonts w:eastAsia="Times New Roman"/>
        </w:rPr>
        <w:t>RBAC Contributor role assigned to the business lead for Resource Group</w:t>
      </w:r>
    </w:p>
    <w:p w14:paraId="6F8BE05F" w14:textId="77777777" w:rsidR="008712F6" w:rsidRDefault="008712F6" w:rsidP="008712F6">
      <w:pPr>
        <w:pStyle w:val="ListParagraph"/>
        <w:numPr>
          <w:ilvl w:val="1"/>
          <w:numId w:val="6"/>
        </w:numPr>
        <w:rPr>
          <w:rFonts w:eastAsia="Times New Roman"/>
          <w:b/>
          <w:bCs/>
        </w:rPr>
      </w:pPr>
      <w:r>
        <w:rPr>
          <w:rFonts w:eastAsia="Times New Roman"/>
        </w:rPr>
        <w:t>Create a new version of blueprint with some modifications</w:t>
      </w:r>
    </w:p>
    <w:p w14:paraId="642B857C" w14:textId="77777777" w:rsidR="008712F6" w:rsidRDefault="008712F6" w:rsidP="008712F6">
      <w:pPr>
        <w:pStyle w:val="ListParagraph"/>
        <w:rPr>
          <w:b/>
          <w:bCs/>
        </w:rPr>
      </w:pPr>
      <w:r>
        <w:t>My final Blueprint looked like this:</w:t>
      </w:r>
    </w:p>
    <w:p w14:paraId="74ACD251" w14:textId="10C1FF75" w:rsidR="008712F6" w:rsidRDefault="008712F6" w:rsidP="008712F6">
      <w:pPr>
        <w:pStyle w:val="ListParagraph"/>
        <w:rPr>
          <w:b/>
          <w:bCs/>
        </w:rPr>
      </w:pPr>
      <w:r>
        <w:rPr>
          <w:noProof/>
        </w:rPr>
        <w:drawing>
          <wp:inline distT="0" distB="0" distL="0" distR="0" wp14:anchorId="79D1212A" wp14:editId="619E4B77">
            <wp:extent cx="8156575" cy="3306445"/>
            <wp:effectExtent l="0" t="0" r="0" b="8255"/>
            <wp:docPr id="1" name="Picture 1" descr="cid:image009.jpg@01D4DFCE.66DFF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9.jpg@01D4DFCE.66DFFF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8156575" cy="3306445"/>
                    </a:xfrm>
                    <a:prstGeom prst="rect">
                      <a:avLst/>
                    </a:prstGeom>
                    <a:noFill/>
                    <a:ln>
                      <a:noFill/>
                    </a:ln>
                  </pic:spPr>
                </pic:pic>
              </a:graphicData>
            </a:graphic>
          </wp:inline>
        </w:drawing>
      </w:r>
    </w:p>
    <w:p w14:paraId="250D5953" w14:textId="6FB9B67C" w:rsidR="008712F6" w:rsidRDefault="008712F6" w:rsidP="00196DE1">
      <w:pPr>
        <w:pStyle w:val="ListParagraph"/>
        <w:numPr>
          <w:ilvl w:val="0"/>
          <w:numId w:val="3"/>
        </w:numPr>
        <w:spacing w:before="60" w:after="60"/>
        <w:textAlignment w:val="center"/>
        <w:rPr>
          <w:rFonts w:ascii="Segoe UI" w:eastAsia="Times New Roman" w:hAnsi="Segoe UI" w:cs="Segoe UI"/>
          <w:color w:val="000000"/>
          <w:sz w:val="21"/>
          <w:szCs w:val="21"/>
          <w:shd w:val="clear" w:color="auto" w:fill="FFFFFF"/>
        </w:rPr>
      </w:pPr>
      <w:bookmarkStart w:id="0" w:name="_GoBack"/>
      <w:bookmarkEnd w:id="0"/>
      <w:r>
        <w:rPr>
          <w:rFonts w:eastAsia="Times New Roman"/>
          <w:b/>
          <w:bCs/>
        </w:rPr>
        <w:t xml:space="preserve">Resource Graph: </w:t>
      </w:r>
      <w:r>
        <w:rPr>
          <w:rFonts w:ascii="Segoe UI" w:eastAsia="Times New Roman" w:hAnsi="Segoe UI" w:cs="Segoe UI"/>
          <w:color w:val="000000"/>
          <w:sz w:val="21"/>
          <w:szCs w:val="21"/>
          <w:shd w:val="clear" w:color="auto" w:fill="FFFFFF"/>
        </w:rPr>
        <w:t>Monitor and review all resources deployed through Resource Graph</w:t>
      </w:r>
    </w:p>
    <w:p w14:paraId="0C288E36" w14:textId="77777777" w:rsidR="008712F6" w:rsidRDefault="008712F6" w:rsidP="008712F6">
      <w:pPr>
        <w:pStyle w:val="ListParagraph"/>
        <w:spacing w:before="60" w:after="60"/>
        <w:textAlignment w:val="center"/>
        <w:rPr>
          <w:rFonts w:ascii="Segoe UI" w:hAnsi="Segoe UI" w:cs="Segoe UI"/>
          <w:color w:val="000000"/>
          <w:sz w:val="21"/>
          <w:szCs w:val="21"/>
        </w:rPr>
      </w:pPr>
      <w:r>
        <w:rPr>
          <w:rFonts w:ascii="Segoe UI" w:hAnsi="Segoe UI" w:cs="Segoe UI"/>
          <w:color w:val="000000"/>
          <w:sz w:val="21"/>
          <w:szCs w:val="21"/>
        </w:rPr>
        <w:t>CloudShell Azure CLI:</w:t>
      </w:r>
    </w:p>
    <w:p w14:paraId="0AE464EB" w14:textId="77777777" w:rsidR="008712F6" w:rsidRDefault="008712F6" w:rsidP="008712F6">
      <w:pPr>
        <w:pStyle w:val="ListParagraph"/>
        <w:numPr>
          <w:ilvl w:val="0"/>
          <w:numId w:val="7"/>
        </w:numPr>
        <w:spacing w:before="60" w:after="60"/>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t>List resources sorted by name</w:t>
      </w:r>
    </w:p>
    <w:p w14:paraId="770040CB" w14:textId="77777777" w:rsidR="008712F6" w:rsidRDefault="008712F6" w:rsidP="008712F6">
      <w:pPr>
        <w:pStyle w:val="ListParagraph"/>
        <w:numPr>
          <w:ilvl w:val="0"/>
          <w:numId w:val="7"/>
        </w:numPr>
        <w:spacing w:before="60" w:after="60"/>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t>Virtual machines by SKU</w:t>
      </w:r>
    </w:p>
    <w:p w14:paraId="5FC29924" w14:textId="7ABD433E" w:rsidR="008712F6" w:rsidRDefault="008712F6" w:rsidP="008712F6">
      <w:pPr>
        <w:pStyle w:val="ListParagraph"/>
        <w:numPr>
          <w:ilvl w:val="0"/>
          <w:numId w:val="7"/>
        </w:numPr>
        <w:spacing w:before="60" w:after="60"/>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t>Count Azure resources</w:t>
      </w:r>
    </w:p>
    <w:p w14:paraId="49C98B3F" w14:textId="7DA207FA" w:rsidR="00EF2BD2" w:rsidRDefault="00EF2BD2" w:rsidP="00EF2BD2">
      <w:pPr>
        <w:spacing w:before="60" w:after="60"/>
        <w:textAlignment w:val="center"/>
        <w:rPr>
          <w:rFonts w:ascii="Segoe UI" w:eastAsia="Times New Roman" w:hAnsi="Segoe UI" w:cs="Segoe UI"/>
          <w:color w:val="000000"/>
          <w:sz w:val="21"/>
          <w:szCs w:val="21"/>
        </w:rPr>
      </w:pPr>
    </w:p>
    <w:p w14:paraId="4C18F2E3" w14:textId="6D3840B0" w:rsidR="00EF2BD2" w:rsidRPr="00EF2BD2" w:rsidRDefault="00EF2BD2" w:rsidP="00EF2BD2">
      <w:pPr>
        <w:spacing w:before="60" w:after="60"/>
        <w:textAlignment w:val="center"/>
        <w:rPr>
          <w:rFonts w:ascii="Segoe UI" w:eastAsia="Times New Roman" w:hAnsi="Segoe UI" w:cs="Segoe UI"/>
          <w:b/>
          <w:color w:val="000000"/>
          <w:sz w:val="21"/>
          <w:szCs w:val="21"/>
        </w:rPr>
      </w:pPr>
      <w:r w:rsidRPr="00EF2BD2">
        <w:rPr>
          <w:rFonts w:ascii="Segoe UI" w:eastAsia="Times New Roman" w:hAnsi="Segoe UI" w:cs="Segoe UI"/>
          <w:b/>
          <w:color w:val="000000"/>
          <w:sz w:val="21"/>
          <w:szCs w:val="21"/>
        </w:rPr>
        <w:t>Azure Cost Management</w:t>
      </w:r>
    </w:p>
    <w:p w14:paraId="5C414DC7" w14:textId="77777777" w:rsidR="008712F6" w:rsidRDefault="008712F6"/>
    <w:p w14:paraId="49F8E325" w14:textId="77777777" w:rsidR="008712F6" w:rsidRDefault="008712F6"/>
    <w:sectPr w:rsidR="00871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EBF26" w14:textId="77777777" w:rsidR="003D430C" w:rsidRDefault="003D430C" w:rsidP="008712F6">
      <w:pPr>
        <w:spacing w:after="0" w:line="240" w:lineRule="auto"/>
      </w:pPr>
      <w:r>
        <w:separator/>
      </w:r>
    </w:p>
  </w:endnote>
  <w:endnote w:type="continuationSeparator" w:id="0">
    <w:p w14:paraId="1103DD4B" w14:textId="77777777" w:rsidR="003D430C" w:rsidRDefault="003D430C" w:rsidP="0087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Times New Roman"/>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E38E9" w14:textId="77777777" w:rsidR="003D430C" w:rsidRDefault="003D430C" w:rsidP="008712F6">
      <w:pPr>
        <w:spacing w:after="0" w:line="240" w:lineRule="auto"/>
      </w:pPr>
      <w:r>
        <w:separator/>
      </w:r>
    </w:p>
  </w:footnote>
  <w:footnote w:type="continuationSeparator" w:id="0">
    <w:p w14:paraId="3354B0D6" w14:textId="77777777" w:rsidR="003D430C" w:rsidRDefault="003D430C" w:rsidP="00871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6D01"/>
    <w:multiLevelType w:val="hybridMultilevel"/>
    <w:tmpl w:val="5B9AA792"/>
    <w:lvl w:ilvl="0" w:tplc="CFE89EEC">
      <w:start w:val="1"/>
      <w:numFmt w:val="decimal"/>
      <w:lvlText w:val="%1."/>
      <w:lvlJc w:val="left"/>
      <w:pPr>
        <w:ind w:left="720" w:hanging="360"/>
      </w:pPr>
      <w:rPr>
        <w:rFonts w:ascii="Segoe UI" w:hAnsi="Segoe UI" w:cs="Segoe UI" w:hint="default"/>
        <w:color w:val="000000"/>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5B4457"/>
    <w:multiLevelType w:val="multilevel"/>
    <w:tmpl w:val="AC581D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A0768"/>
    <w:multiLevelType w:val="multilevel"/>
    <w:tmpl w:val="AC581D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D955EF"/>
    <w:multiLevelType w:val="multilevel"/>
    <w:tmpl w:val="FE7C5D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00E09"/>
    <w:multiLevelType w:val="multilevel"/>
    <w:tmpl w:val="E66A10B0"/>
    <w:lvl w:ilvl="0">
      <w:start w:val="1"/>
      <w:numFmt w:val="bullet"/>
      <w:lvlText w:val=""/>
      <w:lvlJc w:val="left"/>
      <w:pPr>
        <w:tabs>
          <w:tab w:val="num" w:pos="1260"/>
        </w:tabs>
        <w:ind w:left="1260" w:hanging="360"/>
      </w:pPr>
      <w:rPr>
        <w:rFonts w:ascii="Symbol" w:hAnsi="Symbol" w:hint="default"/>
        <w:sz w:val="20"/>
      </w:rPr>
    </w:lvl>
    <w:lvl w:ilvl="1">
      <w:start w:val="1"/>
      <w:numFmt w:val="bullet"/>
      <w:lvlText w:val=""/>
      <w:lvlJc w:val="left"/>
      <w:pPr>
        <w:tabs>
          <w:tab w:val="num" w:pos="1980"/>
        </w:tabs>
        <w:ind w:left="1980" w:hanging="360"/>
      </w:pPr>
      <w:rPr>
        <w:rFonts w:ascii="Symbol" w:hAnsi="Symbol" w:hint="default"/>
        <w:sz w:val="20"/>
      </w:rPr>
    </w:lvl>
    <w:lvl w:ilvl="2">
      <w:start w:val="1"/>
      <w:numFmt w:val="bullet"/>
      <w:lvlText w:val=""/>
      <w:lvlJc w:val="left"/>
      <w:pPr>
        <w:tabs>
          <w:tab w:val="num" w:pos="2700"/>
        </w:tabs>
        <w:ind w:left="2700" w:hanging="360"/>
      </w:pPr>
      <w:rPr>
        <w:rFonts w:ascii="Symbol" w:hAnsi="Symbol" w:hint="default"/>
        <w:sz w:val="20"/>
      </w:rPr>
    </w:lvl>
    <w:lvl w:ilvl="3">
      <w:start w:val="1"/>
      <w:numFmt w:val="bullet"/>
      <w:lvlText w:val=""/>
      <w:lvlJc w:val="left"/>
      <w:pPr>
        <w:tabs>
          <w:tab w:val="num" w:pos="3420"/>
        </w:tabs>
        <w:ind w:left="3420" w:hanging="360"/>
      </w:pPr>
      <w:rPr>
        <w:rFonts w:ascii="Symbol" w:hAnsi="Symbol" w:hint="default"/>
        <w:sz w:val="20"/>
      </w:rPr>
    </w:lvl>
    <w:lvl w:ilvl="4">
      <w:start w:val="1"/>
      <w:numFmt w:val="bullet"/>
      <w:lvlText w:val=""/>
      <w:lvlJc w:val="left"/>
      <w:pPr>
        <w:tabs>
          <w:tab w:val="num" w:pos="4140"/>
        </w:tabs>
        <w:ind w:left="4140" w:hanging="360"/>
      </w:pPr>
      <w:rPr>
        <w:rFonts w:ascii="Symbol" w:hAnsi="Symbol" w:hint="default"/>
        <w:sz w:val="20"/>
      </w:rPr>
    </w:lvl>
    <w:lvl w:ilvl="5">
      <w:start w:val="1"/>
      <w:numFmt w:val="bullet"/>
      <w:lvlText w:val=""/>
      <w:lvlJc w:val="left"/>
      <w:pPr>
        <w:tabs>
          <w:tab w:val="num" w:pos="4860"/>
        </w:tabs>
        <w:ind w:left="4860" w:hanging="360"/>
      </w:pPr>
      <w:rPr>
        <w:rFonts w:ascii="Symbol" w:hAnsi="Symbol" w:hint="default"/>
        <w:sz w:val="20"/>
      </w:rPr>
    </w:lvl>
    <w:lvl w:ilvl="6">
      <w:start w:val="1"/>
      <w:numFmt w:val="bullet"/>
      <w:lvlText w:val=""/>
      <w:lvlJc w:val="left"/>
      <w:pPr>
        <w:tabs>
          <w:tab w:val="num" w:pos="5580"/>
        </w:tabs>
        <w:ind w:left="5580" w:hanging="360"/>
      </w:pPr>
      <w:rPr>
        <w:rFonts w:ascii="Symbol" w:hAnsi="Symbol" w:hint="default"/>
        <w:sz w:val="20"/>
      </w:rPr>
    </w:lvl>
    <w:lvl w:ilvl="7">
      <w:start w:val="1"/>
      <w:numFmt w:val="bullet"/>
      <w:lvlText w:val=""/>
      <w:lvlJc w:val="left"/>
      <w:pPr>
        <w:tabs>
          <w:tab w:val="num" w:pos="6300"/>
        </w:tabs>
        <w:ind w:left="6300" w:hanging="360"/>
      </w:pPr>
      <w:rPr>
        <w:rFonts w:ascii="Symbol" w:hAnsi="Symbol" w:hint="default"/>
        <w:sz w:val="20"/>
      </w:rPr>
    </w:lvl>
    <w:lvl w:ilvl="8">
      <w:start w:val="1"/>
      <w:numFmt w:val="bullet"/>
      <w:lvlText w:val=""/>
      <w:lvlJc w:val="left"/>
      <w:pPr>
        <w:tabs>
          <w:tab w:val="num" w:pos="7020"/>
        </w:tabs>
        <w:ind w:left="7020" w:hanging="360"/>
      </w:pPr>
      <w:rPr>
        <w:rFonts w:ascii="Symbol" w:hAnsi="Symbol" w:hint="default"/>
        <w:sz w:val="20"/>
      </w:rPr>
    </w:lvl>
  </w:abstractNum>
  <w:abstractNum w:abstractNumId="5" w15:restartNumberingAfterBreak="0">
    <w:nsid w:val="58EE664B"/>
    <w:multiLevelType w:val="multilevel"/>
    <w:tmpl w:val="AC581D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140A72"/>
    <w:multiLevelType w:val="multilevel"/>
    <w:tmpl w:val="AC581D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F6"/>
    <w:rsid w:val="00036EAF"/>
    <w:rsid w:val="00196DE1"/>
    <w:rsid w:val="003D430C"/>
    <w:rsid w:val="008712F6"/>
    <w:rsid w:val="00EF2BD2"/>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CA71"/>
  <w15:chartTrackingRefBased/>
  <w15:docId w15:val="{EAAB60BF-DDBA-4F47-B077-8CD541D7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2F6"/>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20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4E096.9429F18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cid:image003.jpg@01D4E096.9429F180"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Farida Bharmal</cp:lastModifiedBy>
  <cp:revision>3</cp:revision>
  <dcterms:created xsi:type="dcterms:W3CDTF">2019-03-22T20:51:00Z</dcterms:created>
  <dcterms:modified xsi:type="dcterms:W3CDTF">2019-05-10T09:39:00Z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2019-03-22T20:52:30.7403925Z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b5a4f907-ae34-4454-9913-f15cf00d889a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