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9" w:lineRule="auto"/>
        <w:jc w:val="left"/>
      </w:pPr>
      <w:r>
        <w:rPr>
          <w:b/>
          <w:sz w:val="40"/>
        </w:rPr>
        <w:t>Adrabetadex ARM Billing Code Reference</w:t>
      </w:r>
    </w:p>
    <w:p>
      <w:pPr>
        <w:spacing w:after="80" w:line="269" w:lineRule="auto"/>
        <w:jc w:val="left"/>
      </w:pPr>
      <w:r>
        <w:t>Field-use script for ARM conversations, escalation routing, and compliant language boundaries.</w:t>
      </w:r>
    </w:p>
    <w:p>
      <w:pPr>
        <w:spacing w:after="80" w:line="269" w:lineRule="auto"/>
      </w:pPr>
      <w:r>
        <w:rPr>
          <w:i/>
        </w:rPr>
        <w:t>JL Policy Consulting | Adrabetadex ARM Package Refresh | April 29, 2026</w:t>
      </w:r>
    </w:p>
    <w:p>
      <w:pPr>
        <w:pStyle w:val="Heading2"/>
        <w:spacing w:after="80" w:line="269" w:lineRule="auto"/>
      </w:pPr>
      <w:r>
        <w:t>Start with the claim pathway</w:t>
      </w:r>
    </w:p>
    <w:p>
      <w:pPr>
        <w:spacing w:after="80" w:line="269" w:lineRule="auto"/>
      </w:pPr>
      <w:r>
        <w:t>ARM first question: Is the account discussing a hospital outpatient institutional claim or a professional/supplier claim?</w:t>
      </w:r>
    </w:p>
    <w:p>
      <w:pPr>
        <w:pStyle w:val="ListBullet"/>
        <w:spacing w:after="80" w:line="269" w:lineRule="auto"/>
      </w:pPr>
      <w:r>
        <w:t>Hospital outpatient / institutional: UB-04 / CMS-1450 paper claim or electronic 837I.</w:t>
      </w:r>
    </w:p>
    <w:p>
      <w:pPr>
        <w:pStyle w:val="ListBullet"/>
        <w:spacing w:after="80" w:line="269" w:lineRule="auto"/>
      </w:pPr>
      <w:r>
        <w:t>Professional / supplier: CMS-1500 paper claim or electronic 837P.</w:t>
      </w:r>
    </w:p>
    <w:p>
      <w:pPr>
        <w:spacing w:after="80" w:line="269" w:lineRule="auto"/>
      </w:pPr>
      <w:r>
        <w:t>The same product may require different claim fields depending on who bills, where care is furnished, which payer is reviewing the claim, and whether the claim is submitted as an institutional or professional transaction.</w:t>
      </w:r>
    </w:p>
    <w:p>
      <w:pPr>
        <w:pStyle w:val="Heading2"/>
        <w:spacing w:after="80" w:line="269" w:lineRule="auto"/>
      </w:pPr>
      <w:r>
        <w:t>Claim-form resources for ARM conversations</w:t>
      </w:r>
    </w:p>
    <w:p>
      <w:pPr>
        <w:spacing w:after="80" w:line="269" w:lineRule="auto"/>
      </w:pPr>
      <w:r>
        <w:t>Use these materials for field orientation and provider discussion support:</w:t>
      </w:r>
    </w:p>
    <w:p>
      <w:pPr>
        <w:pStyle w:val="ListBullet"/>
        <w:spacing w:after="80" w:line="269" w:lineRule="auto"/>
      </w:pPr>
      <w:r>
        <w:t>UB-04 / CMS-1450 reference copy: ../resources/claim-form-materials/UB-04_CMS-1450_Reference_Copy.pdf</w:t>
      </w:r>
    </w:p>
    <w:p>
      <w:pPr>
        <w:pStyle w:val="ListBullet"/>
        <w:spacing w:after="80" w:line="269" w:lineRule="auto"/>
      </w:pPr>
      <w:r>
        <w:t>CMS-1500 sample form: ../resources/claim-form-materials/CMS-1500_Claim_Form_Sample.pdf</w:t>
      </w:r>
    </w:p>
    <w:p>
      <w:pPr>
        <w:pStyle w:val="ListBullet"/>
        <w:spacing w:after="80" w:line="269" w:lineRule="auto"/>
      </w:pPr>
      <w:r>
        <w:t>UB-04 vs CMS-1500 line-by-line instructions: ../resources/claim-form-materials/UB04_vs_CMS1500_Line_by_Line_Instructions.pdf</w:t>
      </w:r>
    </w:p>
    <w:p>
      <w:pPr>
        <w:pStyle w:val="ListBullet"/>
        <w:spacing w:after="80" w:line="269" w:lineRule="auto"/>
      </w:pPr>
      <w:r>
        <w:t>Editable companion and package ZIP: ../resources/claim-form-materials/UB04_vs_CMS1500_Line_by_Line_Instructions.docx and ../resources/claim-form-materials/Claim_Form_Copies_and_Line_by_Line_Instructions.zip</w:t>
      </w:r>
    </w:p>
    <w:p>
      <w:pPr>
        <w:spacing w:after="80" w:line="269" w:lineRule="auto"/>
      </w:pPr>
      <w:r>
        <w:t>These materials are for education and claim-pathway alignment. They are not payer-specific billing instructions and do not replace provider coding review, payer policy, MAC instructions, NUBC/NUCC manuals, X12 implementation guides, clearinghouse edits, or institutional revenue-cycle policy.</w:t>
      </w:r>
    </w:p>
    <w:p>
      <w:pPr>
        <w:spacing w:after="80" w:line="269" w:lineRule="auto"/>
      </w:pPr>
      <w:r>
        <w:t>Live claim submission warning: downloaded, photocopied, or sample form copies may not be accepted for paper claim submission because approved paper forms require exact color, scale, and printing specifications.</w:t>
      </w:r>
    </w:p>
    <w:p>
      <w:pPr>
        <w:pStyle w:val="Heading2"/>
        <w:spacing w:after="80" w:line="269" w:lineRule="auto"/>
      </w:pPr>
      <w:r>
        <w:t>ARM talk track, first 5 minutes</w:t>
      </w:r>
    </w:p>
    <w:p>
      <w:pPr>
        <w:pStyle w:val="ListBullet"/>
        <w:spacing w:after="80" w:line="269" w:lineRule="auto"/>
      </w:pPr>
      <w:r>
        <w:t>Start with claim pathway and billing entity, then split institutional versus professional logic.</w:t>
      </w:r>
    </w:p>
    <w:p>
      <w:pPr>
        <w:pStyle w:val="ListBullet"/>
        <w:spacing w:after="80" w:line="269" w:lineRule="auto"/>
      </w:pPr>
      <w:r>
        <w:t>Confirm payer segment, sourcing model, and authorization status before code discussion.</w:t>
      </w:r>
    </w:p>
    <w:p>
      <w:pPr>
        <w:pStyle w:val="ListBullet"/>
        <w:spacing w:after="80" w:line="269" w:lineRule="auto"/>
      </w:pPr>
      <w:r>
        <w:t>Frame C9399, J3490, and J3590 as candidate pathways, not default instructions.</w:t>
      </w:r>
    </w:p>
    <w:p>
      <w:pPr>
        <w:pStyle w:val="ListBullet"/>
        <w:spacing w:after="80" w:line="269" w:lineRule="auto"/>
      </w:pPr>
      <w:r>
        <w:t>Confirm who owns final claim build: coding, compliance, pharmacy, revenue-cycle, and payer/MAC validation.</w:t>
      </w:r>
    </w:p>
    <w:p>
      <w:pPr>
        <w:pStyle w:val="ListBullet"/>
        <w:spacing w:after="80" w:line="269" w:lineRule="auto"/>
      </w:pPr>
      <w:r>
        <w:t>Close with action list and handoff owner before first administration date.</w:t>
      </w:r>
    </w:p>
    <w:p>
      <w:pPr>
        <w:pStyle w:val="Heading2"/>
        <w:spacing w:after="80" w:line="269" w:lineRule="auto"/>
      </w:pPr>
      <w:r>
        <w:t>Compact claim-form field orientation</w:t>
      </w:r>
    </w:p>
    <w:tbl>
      <w:tblPr>
        <w:tblW w:type="pct" w:w="5000"/>
        <w:jc w:val="center"/>
        <w:tblLook w:firstColumn="1" w:firstRow="1" w:lastColumn="0" w:lastRow="0" w:noHBand="0" w:noVBand="1" w:val="04A0"/>
      </w:tblPr>
      <w:tblGrid>
        <w:gridCol w:w="2880"/>
        <w:gridCol w:w="2880"/>
        <w:gridCol w:w="2880"/>
      </w:tblGrid>
      <w:tr>
        <w:tc>
          <w:tcPr>
            <w:tcW w:type="dxa" w:w="2880"/>
            <w:vAlign w:val="top"/>
            <w:tcMar>
              <w:top w:w="90" w:type="dxa"/>
              <w:bottom w:w="90" w:type="dxa"/>
              <w:start w:w="110" w:type="dxa"/>
              <w:end w:w="110" w:type="dxa"/>
            </w:tcMar>
          </w:tcPr>
          <w:p>
            <w:pPr>
              <w:spacing w:before="0" w:after="40" w:line="259" w:lineRule="auto"/>
            </w:pPr>
            <w:r>
              <w:rPr>
                <w:rFonts w:ascii="Calibri" w:hAnsi="Calibri"/>
                <w:b/>
                <w:sz w:val="21"/>
              </w:rPr>
              <w:t>Discussion point</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UB-04 / CMS-1450 / 837I institutional</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CMS-1500 / 837P professional</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Billing entity</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UB-04 FL 01 institutional billing provider</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CMS-1500 Item 33 billing provider/supplier</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Claim type</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UB-04 FL 04 Type of Bill</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CMS-1500 Item 1 payer/program selection</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Revenue code</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UB-04 FL 42, institutional only</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No direct professional equivalent</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HCPCS/CPT/NOC</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UB-04 FL 44 / 837I service line</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CMS-1500 Item 24D / 837P service line</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NDC</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UB-04 FL 43 or 837I equivalent when required</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CMS-1500 shaded service line or 837P equivalent when required</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Units/charge</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FL 46 and FL 47</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Item 24G and Item 24F (with Item 28 total)</w:t>
            </w:r>
          </w:p>
        </w:tc>
      </w:tr>
    </w:tbl>
    <w:p>
      <w:pPr>
        <w:pStyle w:val="Heading2"/>
        <w:spacing w:after="80" w:line="269" w:lineRule="auto"/>
      </w:pPr>
      <w:r>
        <w:t>Escalation triggers for ARM</w:t>
      </w:r>
    </w:p>
    <w:tbl>
      <w:tblPr>
        <w:tblW w:type="pct" w:w="5000"/>
        <w:jc w:val="center"/>
        <w:tblLook w:firstColumn="1" w:firstRow="1" w:lastColumn="0" w:lastRow="0" w:noHBand="0" w:noVBand="1" w:val="04A0"/>
      </w:tblPr>
      <w:tblGrid>
        <w:gridCol w:w="2880"/>
        <w:gridCol w:w="2880"/>
        <w:gridCol w:w="2880"/>
      </w:tblGrid>
      <w:tr>
        <w:tc>
          <w:tcPr>
            <w:tcW w:type="dxa" w:w="2880"/>
            <w:vAlign w:val="top"/>
            <w:tcMar>
              <w:top w:w="90" w:type="dxa"/>
              <w:bottom w:w="90" w:type="dxa"/>
              <w:start w:w="110" w:type="dxa"/>
              <w:end w:w="110" w:type="dxa"/>
            </w:tcMar>
          </w:tcPr>
          <w:p>
            <w:pPr>
              <w:spacing w:before="0" w:after="40" w:line="259" w:lineRule="auto"/>
            </w:pPr>
            <w:r>
              <w:rPr>
                <w:rFonts w:ascii="Calibri" w:hAnsi="Calibri"/>
                <w:b/>
                <w:sz w:val="21"/>
              </w:rPr>
              <w:t>Trigger</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Escalate to</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Reason</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Payer rejects interim pathway</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Provider coding lead + payer rep + MAC contact</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Avoid repeated denials on initial cycles.</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NDC or unit mismatch</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Pharmacy, billing, and coding</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Manual pricing and claim edits depend on exact package detail.</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Sourcing conflict (buy-and-bill vs white-bagging)</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Payer policy team + provider contracting + specialty pharmacy</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Channel mismatch changes claim mechanics and margin.</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Modifier disagreement (JW/JZ/25/340B)</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Coding/compliance</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Modifier misuse creates audit risk and payment delays.</w:t>
            </w:r>
          </w:p>
        </w:tc>
      </w:tr>
    </w:tbl>
    <w:p>
      <w:pPr>
        <w:pStyle w:val="Heading2"/>
        <w:spacing w:after="80" w:line="269" w:lineRule="auto"/>
      </w:pPr>
      <w:r>
        <w:t>Source and compliance note</w:t>
      </w:r>
    </w:p>
    <w:p>
      <w:pPr>
        <w:spacing w:after="80" w:line="269" w:lineRule="auto"/>
      </w:pPr>
      <w:r>
        <w:t>This ARM material is intended for education and claim-pathway alignment. It does not replace the NUBC Official UB-04 Data Specifications Manual, NUCC 1500 Reference Instruction Manual, ASC X12 implementation guides, payer companion guides, MAC instructions, Medicaid/MCO billing instructions, provider coding review, or institutional revenue-cycle policy.</w:t>
      </w:r>
    </w:p>
    <w:p>
      <w:pPr>
        <w:spacing w:after="80" w:line="269" w:lineRule="auto"/>
      </w:pPr>
      <w:r>
        <w:t>Final coding, claim-format, modifier, NDC, unit, and documentation decisions are the responsibility of the provider, payer, coding team, compliance team, pharmacy team, and revenue-cycle team.</w:t>
      </w:r>
    </w:p>
    <w:p>
      <w:pPr>
        <w:spacing w:after="80" w:line="269" w:lineRule="auto"/>
      </w:pPr>
      <w:r>
        <w:t>Core references: CMS 1450/837I MLN, CMS Chapter 25, CMS 1500/837P MLN, CMS Chapter 26, NUBC UB-04 resources, NUCC 1500 manual, and payer/MAC companion guides.</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